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9E10B">
      <w:pPr>
        <w:autoSpaceDE w:val="0"/>
        <w:autoSpaceDN w:val="0"/>
        <w:adjustRightInd w:val="0"/>
        <w:spacing w:line="480" w:lineRule="auto"/>
        <w:ind w:firstLine="0" w:firstLineChars="0"/>
        <w:jc w:val="both"/>
        <w:rPr>
          <w:rFonts w:hint="eastAsia" w:ascii="宋体" w:hAnsi="宋体" w:eastAsia="宋体" w:cs="宋体"/>
          <w:b/>
          <w:bCs/>
          <w:color w:val="auto"/>
          <w:sz w:val="48"/>
          <w:szCs w:val="48"/>
          <w:lang w:val="en-US" w:eastAsia="zh-CN"/>
        </w:rPr>
      </w:pPr>
      <w:bookmarkStart w:id="112" w:name="_GoBack"/>
      <w:bookmarkEnd w:id="112"/>
    </w:p>
    <w:p w14:paraId="1AA33A5F">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赤峰矿业（集团）有限责任公司</w:t>
      </w:r>
    </w:p>
    <w:p w14:paraId="0D9C3AE1">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w w:val="100"/>
          <w:sz w:val="48"/>
          <w:szCs w:val="48"/>
          <w:lang w:val="en-US" w:eastAsia="zh-CN"/>
        </w:rPr>
        <w:t>松山区羊草沟-下歪脖子井白云岩矿</w:t>
      </w:r>
    </w:p>
    <w:p w14:paraId="042FDF2A">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zh-CN"/>
        </w:rPr>
      </w:pPr>
      <w:r>
        <w:rPr>
          <w:rFonts w:hint="eastAsia" w:ascii="宋体" w:hAnsi="宋体" w:eastAsia="宋体" w:cs="宋体"/>
          <w:b/>
          <w:bCs/>
          <w:color w:val="auto"/>
          <w:sz w:val="48"/>
          <w:szCs w:val="48"/>
          <w:lang w:val="zh-CN"/>
        </w:rPr>
        <w:t>202</w:t>
      </w:r>
      <w:r>
        <w:rPr>
          <w:rFonts w:hint="eastAsia" w:ascii="宋体" w:hAnsi="宋体" w:eastAsia="宋体" w:cs="宋体"/>
          <w:b/>
          <w:bCs/>
          <w:color w:val="auto"/>
          <w:sz w:val="48"/>
          <w:szCs w:val="48"/>
          <w:lang w:val="en-US" w:eastAsia="zh-CN"/>
        </w:rPr>
        <w:t>5</w:t>
      </w:r>
      <w:r>
        <w:rPr>
          <w:rFonts w:hint="eastAsia" w:ascii="宋体" w:hAnsi="宋体" w:eastAsia="宋体" w:cs="宋体"/>
          <w:b/>
          <w:bCs/>
          <w:color w:val="auto"/>
          <w:sz w:val="48"/>
          <w:szCs w:val="48"/>
          <w:lang w:val="zh-CN"/>
        </w:rPr>
        <w:t>年度矿山地质环境治理计划书</w:t>
      </w:r>
    </w:p>
    <w:p w14:paraId="330ADA39">
      <w:pPr>
        <w:autoSpaceDE w:val="0"/>
        <w:autoSpaceDN w:val="0"/>
        <w:adjustRightInd w:val="0"/>
        <w:spacing w:line="480" w:lineRule="auto"/>
        <w:rPr>
          <w:rFonts w:hint="eastAsia" w:ascii="宋体" w:hAnsi="宋体" w:eastAsia="宋体" w:cs="宋体"/>
          <w:b/>
          <w:bCs/>
          <w:color w:val="auto"/>
          <w:sz w:val="44"/>
          <w:szCs w:val="44"/>
          <w:highlight w:val="yellow"/>
          <w:lang w:val="zh-CN"/>
        </w:rPr>
      </w:pPr>
    </w:p>
    <w:p w14:paraId="107E74BF">
      <w:pPr>
        <w:autoSpaceDE w:val="0"/>
        <w:autoSpaceDN w:val="0"/>
        <w:adjustRightInd w:val="0"/>
        <w:spacing w:line="480" w:lineRule="auto"/>
        <w:rPr>
          <w:rFonts w:hint="eastAsia" w:ascii="宋体" w:hAnsi="宋体" w:eastAsia="宋体" w:cs="宋体"/>
          <w:b/>
          <w:bCs/>
          <w:color w:val="auto"/>
          <w:sz w:val="44"/>
          <w:szCs w:val="44"/>
          <w:highlight w:val="yellow"/>
          <w:lang w:val="zh-CN"/>
        </w:rPr>
      </w:pPr>
    </w:p>
    <w:p w14:paraId="45C93912">
      <w:pPr>
        <w:pStyle w:val="10"/>
        <w:ind w:firstLine="480"/>
        <w:rPr>
          <w:rFonts w:hint="eastAsia" w:ascii="宋体" w:hAnsi="宋体" w:eastAsia="宋体" w:cs="宋体"/>
          <w:color w:val="auto"/>
          <w:lang w:val="zh-CN"/>
        </w:rPr>
      </w:pPr>
    </w:p>
    <w:p w14:paraId="1A6BEC0B">
      <w:pPr>
        <w:autoSpaceDE w:val="0"/>
        <w:autoSpaceDN w:val="0"/>
        <w:adjustRightInd w:val="0"/>
        <w:spacing w:line="480" w:lineRule="auto"/>
        <w:ind w:firstLine="723"/>
        <w:jc w:val="both"/>
        <w:rPr>
          <w:rFonts w:hint="eastAsia" w:ascii="宋体" w:hAnsi="宋体" w:eastAsia="宋体" w:cs="宋体"/>
          <w:b/>
          <w:bCs/>
          <w:color w:val="auto"/>
          <w:sz w:val="36"/>
          <w:szCs w:val="36"/>
          <w:lang w:val="zh-CN"/>
        </w:rPr>
      </w:pPr>
    </w:p>
    <w:p w14:paraId="50BC887E">
      <w:pPr>
        <w:autoSpaceDE w:val="0"/>
        <w:autoSpaceDN w:val="0"/>
        <w:adjustRightInd w:val="0"/>
        <w:spacing w:line="480" w:lineRule="auto"/>
        <w:ind w:firstLine="723"/>
        <w:jc w:val="both"/>
        <w:rPr>
          <w:rFonts w:hint="eastAsia" w:ascii="宋体" w:hAnsi="宋体" w:eastAsia="宋体" w:cs="宋体"/>
          <w:b/>
          <w:bCs/>
          <w:color w:val="auto"/>
          <w:sz w:val="36"/>
          <w:szCs w:val="36"/>
          <w:lang w:val="zh-CN"/>
        </w:rPr>
      </w:pPr>
    </w:p>
    <w:p w14:paraId="4284A183">
      <w:pPr>
        <w:pStyle w:val="2"/>
        <w:rPr>
          <w:rFonts w:hint="eastAsia" w:ascii="宋体" w:hAnsi="宋体" w:eastAsia="宋体" w:cs="宋体"/>
          <w:b/>
          <w:bCs/>
          <w:color w:val="auto"/>
          <w:sz w:val="36"/>
          <w:szCs w:val="36"/>
          <w:lang w:val="zh-CN"/>
        </w:rPr>
      </w:pPr>
    </w:p>
    <w:p w14:paraId="3C013902">
      <w:pPr>
        <w:pStyle w:val="2"/>
        <w:rPr>
          <w:rFonts w:hint="eastAsia" w:ascii="宋体" w:hAnsi="宋体" w:eastAsia="宋体" w:cs="宋体"/>
          <w:b/>
          <w:bCs/>
          <w:color w:val="auto"/>
          <w:sz w:val="36"/>
          <w:szCs w:val="36"/>
          <w:lang w:val="zh-CN"/>
        </w:rPr>
      </w:pPr>
    </w:p>
    <w:p w14:paraId="28A296F0">
      <w:pPr>
        <w:pStyle w:val="2"/>
        <w:rPr>
          <w:rFonts w:hint="eastAsia" w:ascii="宋体" w:hAnsi="宋体" w:eastAsia="宋体" w:cs="宋体"/>
          <w:b/>
          <w:bCs/>
          <w:color w:val="auto"/>
          <w:sz w:val="36"/>
          <w:szCs w:val="36"/>
          <w:lang w:val="zh-CN"/>
        </w:rPr>
      </w:pPr>
    </w:p>
    <w:p w14:paraId="464AD6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eastAsia="zh-CN"/>
        </w:rPr>
        <w:t>赤峰矿业（集团）有限责任公司</w:t>
      </w:r>
    </w:p>
    <w:p w14:paraId="46C443B7">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default" w:ascii="Times New Roman" w:hAnsi="Times New Roman" w:eastAsia="宋体" w:cs="Times New Roman"/>
          <w:color w:val="auto"/>
          <w:sz w:val="32"/>
          <w:szCs w:val="32"/>
        </w:rPr>
      </w:pPr>
    </w:p>
    <w:p w14:paraId="3CA40FA7">
      <w:pPr>
        <w:autoSpaceDE w:val="0"/>
        <w:autoSpaceDN w:val="0"/>
        <w:adjustRightInd w:val="0"/>
        <w:spacing w:line="480" w:lineRule="auto"/>
        <w:ind w:left="0" w:leftChars="0" w:firstLine="0" w:firstLineChars="0"/>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二〇</w:t>
      </w:r>
      <w:r>
        <w:rPr>
          <w:rFonts w:hint="eastAsia" w:asciiTheme="minorEastAsia" w:hAnsiTheme="minorEastAsia" w:eastAsiaTheme="minorEastAsia" w:cstheme="minorEastAsia"/>
          <w:color w:val="auto"/>
          <w:sz w:val="32"/>
          <w:szCs w:val="32"/>
          <w:lang w:eastAsia="zh-CN"/>
        </w:rPr>
        <w:t>二</w:t>
      </w:r>
      <w:r>
        <w:rPr>
          <w:rFonts w:hint="eastAsia" w:asciiTheme="minorEastAsia" w:hAnsiTheme="minorEastAsia" w:eastAsiaTheme="minorEastAsia" w:cstheme="minorEastAsia"/>
          <w:color w:val="auto"/>
          <w:sz w:val="32"/>
          <w:szCs w:val="32"/>
          <w:lang w:val="en-US" w:eastAsia="zh-CN"/>
        </w:rPr>
        <w:t>五</w:t>
      </w:r>
      <w:r>
        <w:rPr>
          <w:rFonts w:hint="eastAsia" w:asciiTheme="minorEastAsia" w:hAnsiTheme="minorEastAsia" w:eastAsiaTheme="minorEastAsia" w:cstheme="minorEastAsia"/>
          <w:color w:val="auto"/>
          <w:sz w:val="32"/>
          <w:szCs w:val="32"/>
        </w:rPr>
        <w:t>年</w:t>
      </w:r>
      <w:r>
        <w:rPr>
          <w:rFonts w:hint="eastAsia" w:asciiTheme="minorEastAsia" w:hAnsiTheme="minorEastAsia" w:eastAsiaTheme="minorEastAsia" w:cstheme="minorEastAsia"/>
          <w:color w:val="auto"/>
          <w:sz w:val="32"/>
          <w:szCs w:val="32"/>
          <w:lang w:val="en-US" w:eastAsia="zh-CN"/>
        </w:rPr>
        <w:t>三</w:t>
      </w:r>
      <w:r>
        <w:rPr>
          <w:rFonts w:hint="eastAsia" w:asciiTheme="minorEastAsia" w:hAnsiTheme="minorEastAsia" w:eastAsiaTheme="minorEastAsia" w:cstheme="minorEastAsia"/>
          <w:color w:val="auto"/>
          <w:sz w:val="32"/>
          <w:szCs w:val="32"/>
        </w:rPr>
        <w:t>月</w:t>
      </w:r>
    </w:p>
    <w:p w14:paraId="3828CDFB">
      <w:pP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br w:type="page"/>
      </w:r>
    </w:p>
    <w:p w14:paraId="09EB3F5D">
      <w:pPr>
        <w:autoSpaceDE w:val="0"/>
        <w:autoSpaceDN w:val="0"/>
        <w:adjustRightInd w:val="0"/>
        <w:spacing w:line="480" w:lineRule="auto"/>
        <w:ind w:firstLine="0" w:firstLineChars="0"/>
        <w:jc w:val="center"/>
        <w:rPr>
          <w:rFonts w:hint="eastAsia" w:ascii="宋体" w:hAnsi="宋体" w:eastAsia="宋体" w:cs="宋体"/>
          <w:b/>
          <w:bCs/>
          <w:color w:val="auto"/>
          <w:sz w:val="21"/>
          <w:szCs w:val="21"/>
          <w:lang w:val="en-US" w:eastAsia="zh-CN"/>
        </w:rPr>
      </w:pPr>
    </w:p>
    <w:p w14:paraId="66BDA6A8">
      <w:pPr>
        <w:autoSpaceDE w:val="0"/>
        <w:autoSpaceDN w:val="0"/>
        <w:adjustRightInd w:val="0"/>
        <w:spacing w:line="480" w:lineRule="auto"/>
        <w:ind w:firstLine="0" w:firstLineChars="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赤峰矿业（集团）有限责任公司</w:t>
      </w:r>
    </w:p>
    <w:p w14:paraId="5E9B24E2">
      <w:pPr>
        <w:autoSpaceDE w:val="0"/>
        <w:autoSpaceDN w:val="0"/>
        <w:adjustRightInd w:val="0"/>
        <w:spacing w:line="480" w:lineRule="auto"/>
        <w:ind w:firstLine="0" w:firstLineChars="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w w:val="100"/>
          <w:sz w:val="44"/>
          <w:szCs w:val="44"/>
          <w:lang w:val="en-US" w:eastAsia="zh-CN"/>
        </w:rPr>
        <w:t>松山区羊草沟-下歪脖子井白云岩矿</w:t>
      </w:r>
    </w:p>
    <w:p w14:paraId="5680AC0D">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color w:val="auto"/>
          <w:sz w:val="36"/>
          <w:szCs w:val="36"/>
          <w:lang w:eastAsia="zh-CN"/>
        </w:rPr>
      </w:pPr>
      <w:r>
        <w:rPr>
          <w:rFonts w:hint="eastAsia" w:ascii="宋体" w:hAnsi="宋体" w:eastAsia="宋体" w:cs="宋体"/>
          <w:b/>
          <w:bCs/>
          <w:color w:val="auto"/>
          <w:sz w:val="44"/>
          <w:szCs w:val="44"/>
          <w:lang w:val="zh-CN"/>
        </w:rPr>
        <w:t>202</w:t>
      </w:r>
      <w:r>
        <w:rPr>
          <w:rFonts w:hint="eastAsia" w:ascii="宋体" w:hAnsi="宋体" w:eastAsia="宋体" w:cs="宋体"/>
          <w:b/>
          <w:bCs/>
          <w:color w:val="auto"/>
          <w:sz w:val="44"/>
          <w:szCs w:val="44"/>
          <w:lang w:val="en-US" w:eastAsia="zh-CN"/>
        </w:rPr>
        <w:t>5</w:t>
      </w:r>
      <w:r>
        <w:rPr>
          <w:rFonts w:hint="eastAsia" w:ascii="宋体" w:hAnsi="宋体" w:eastAsia="宋体" w:cs="宋体"/>
          <w:b/>
          <w:bCs/>
          <w:color w:val="auto"/>
          <w:sz w:val="44"/>
          <w:szCs w:val="44"/>
          <w:lang w:val="zh-CN"/>
        </w:rPr>
        <w:t>年度矿山地质环境治理计划书</w:t>
      </w:r>
    </w:p>
    <w:p w14:paraId="092D105D">
      <w:pPr>
        <w:keepNext w:val="0"/>
        <w:keepLines w:val="0"/>
        <w:pageBreakBefore w:val="0"/>
        <w:widowControl w:val="0"/>
        <w:kinsoku/>
        <w:wordWrap/>
        <w:overflowPunct/>
        <w:topLinePunct w:val="0"/>
        <w:autoSpaceDE/>
        <w:autoSpaceDN/>
        <w:bidi w:val="0"/>
        <w:adjustRightInd/>
        <w:snapToGrid w:val="0"/>
        <w:spacing w:line="240" w:lineRule="auto"/>
        <w:ind w:left="3125" w:leftChars="779" w:hanging="944" w:hangingChars="294"/>
        <w:textAlignment w:val="auto"/>
        <w:rPr>
          <w:rFonts w:hint="default" w:ascii="Times New Roman" w:hAnsi="Times New Roman" w:eastAsia="宋体" w:cs="Times New Roman"/>
          <w:b/>
          <w:bCs/>
          <w:snapToGrid w:val="0"/>
          <w:color w:val="auto"/>
          <w:sz w:val="32"/>
          <w:szCs w:val="32"/>
        </w:rPr>
      </w:pPr>
    </w:p>
    <w:p w14:paraId="265949BF">
      <w:pPr>
        <w:pStyle w:val="2"/>
        <w:jc w:val="both"/>
        <w:rPr>
          <w:rFonts w:hint="default" w:ascii="Times New Roman" w:hAnsi="Times New Roman" w:eastAsia="宋体" w:cs="Times New Roman"/>
          <w:b/>
          <w:bCs/>
          <w:snapToGrid w:val="0"/>
          <w:color w:val="auto"/>
          <w:sz w:val="32"/>
          <w:szCs w:val="32"/>
        </w:rPr>
      </w:pPr>
    </w:p>
    <w:p w14:paraId="214E1FFB">
      <w:pPr>
        <w:pStyle w:val="2"/>
        <w:rPr>
          <w:rFonts w:hint="default" w:ascii="Times New Roman" w:hAnsi="Times New Roman" w:eastAsia="宋体" w:cs="Times New Roman"/>
          <w:b/>
          <w:bCs/>
          <w:snapToGrid w:val="0"/>
          <w:color w:val="auto"/>
          <w:sz w:val="32"/>
          <w:szCs w:val="32"/>
        </w:rPr>
      </w:pPr>
    </w:p>
    <w:p w14:paraId="72438B32">
      <w:pPr>
        <w:pStyle w:val="2"/>
        <w:rPr>
          <w:rFonts w:hint="default" w:ascii="Times New Roman" w:hAnsi="Times New Roman" w:eastAsia="宋体" w:cs="Times New Roman"/>
          <w:b/>
          <w:bCs/>
          <w:snapToGrid w:val="0"/>
          <w:color w:val="auto"/>
          <w:sz w:val="32"/>
          <w:szCs w:val="32"/>
        </w:rPr>
      </w:pPr>
    </w:p>
    <w:p w14:paraId="7841B43A">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309D390D">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1F946336">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单</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位：</w:t>
      </w:r>
      <w:r>
        <w:rPr>
          <w:rFonts w:hint="default" w:ascii="Times New Roman" w:hAnsi="Times New Roman" w:eastAsia="宋体" w:cs="Times New Roman"/>
          <w:b/>
          <w:color w:val="auto"/>
          <w:spacing w:val="0"/>
          <w:sz w:val="30"/>
          <w:szCs w:val="30"/>
          <w:lang w:val="en-US" w:eastAsia="zh-CN"/>
        </w:rPr>
        <w:t>赤峰矿业（集团）有限责任公司</w:t>
      </w:r>
    </w:p>
    <w:p w14:paraId="399B08D1">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法定代表人：</w:t>
      </w:r>
      <w:r>
        <w:rPr>
          <w:rFonts w:hint="eastAsia" w:ascii="Times New Roman" w:hAnsi="Times New Roman" w:eastAsia="宋体" w:cs="Times New Roman"/>
          <w:b/>
          <w:color w:val="auto"/>
          <w:spacing w:val="0"/>
          <w:sz w:val="30"/>
          <w:szCs w:val="30"/>
          <w:lang w:val="en-US" w:eastAsia="zh-CN"/>
        </w:rPr>
        <w:t>夏景图</w:t>
      </w:r>
    </w:p>
    <w:p w14:paraId="082BA46C">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项目负责人：</w:t>
      </w:r>
      <w:r>
        <w:rPr>
          <w:rFonts w:hint="eastAsia" w:ascii="Times New Roman" w:hAnsi="Times New Roman" w:eastAsia="宋体" w:cs="Times New Roman"/>
          <w:b/>
          <w:color w:val="auto"/>
          <w:spacing w:val="0"/>
          <w:sz w:val="30"/>
          <w:szCs w:val="30"/>
          <w:lang w:val="en-US" w:eastAsia="zh-CN"/>
        </w:rPr>
        <w:t>李文阔</w:t>
      </w:r>
    </w:p>
    <w:p w14:paraId="663DE74A">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rPr>
      </w:pPr>
      <w:r>
        <w:rPr>
          <w:rFonts w:hint="default" w:ascii="Times New Roman" w:hAnsi="Times New Roman" w:eastAsia="宋体" w:cs="Times New Roman"/>
          <w:b/>
          <w:color w:val="auto"/>
          <w:spacing w:val="0"/>
          <w:sz w:val="30"/>
          <w:szCs w:val="30"/>
        </w:rPr>
        <w:t>编  写  人：</w:t>
      </w:r>
      <w:r>
        <w:rPr>
          <w:rFonts w:hint="eastAsia" w:ascii="Times New Roman" w:hAnsi="Times New Roman" w:eastAsia="宋体" w:cs="Times New Roman"/>
          <w:b/>
          <w:color w:val="auto"/>
          <w:spacing w:val="0"/>
          <w:sz w:val="30"/>
          <w:szCs w:val="30"/>
          <w:lang w:val="en-US" w:eastAsia="zh-CN"/>
        </w:rPr>
        <w:t>齐丽君  韩特</w:t>
      </w:r>
      <w:r>
        <w:rPr>
          <w:rFonts w:hint="default" w:ascii="Times New Roman" w:hAnsi="Times New Roman" w:eastAsia="宋体" w:cs="Times New Roman"/>
          <w:b/>
          <w:color w:val="auto"/>
          <w:spacing w:val="0"/>
          <w:sz w:val="30"/>
          <w:szCs w:val="30"/>
          <w:lang w:val="en-US" w:eastAsia="zh-CN"/>
        </w:rPr>
        <w:t xml:space="preserve"> </w:t>
      </w:r>
    </w:p>
    <w:p w14:paraId="2725280E">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eastAsia"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审      核：</w:t>
      </w:r>
      <w:r>
        <w:rPr>
          <w:rFonts w:hint="eastAsia" w:ascii="Times New Roman" w:hAnsi="Times New Roman" w:eastAsia="宋体" w:cs="Times New Roman"/>
          <w:b/>
          <w:color w:val="auto"/>
          <w:spacing w:val="0"/>
          <w:sz w:val="30"/>
          <w:szCs w:val="30"/>
          <w:lang w:eastAsia="zh-CN"/>
        </w:rPr>
        <w:t>车璐飞</w:t>
      </w:r>
    </w:p>
    <w:p w14:paraId="525493C4">
      <w:pPr>
        <w:ind w:left="0" w:leftChars="0" w:firstLine="602" w:firstLineChars="200"/>
        <w:rPr>
          <w:rFonts w:hint="eastAsia"/>
          <w:color w:val="auto"/>
          <w:lang w:val="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间：</w:t>
      </w:r>
      <w:r>
        <w:rPr>
          <w:rFonts w:hint="default" w:ascii="Times New Roman" w:hAnsi="Times New Roman" w:eastAsia="宋体" w:cs="Times New Roman"/>
          <w:b/>
          <w:color w:val="auto"/>
          <w:spacing w:val="0"/>
          <w:sz w:val="30"/>
          <w:szCs w:val="30"/>
          <w:lang w:eastAsia="zh-CN"/>
        </w:rPr>
        <w:t>202</w:t>
      </w:r>
      <w:r>
        <w:rPr>
          <w:rFonts w:hint="eastAsia" w:ascii="Times New Roman" w:hAnsi="Times New Roman" w:eastAsia="宋体" w:cs="Times New Roman"/>
          <w:b/>
          <w:color w:val="auto"/>
          <w:spacing w:val="0"/>
          <w:sz w:val="30"/>
          <w:szCs w:val="30"/>
          <w:lang w:val="en-US" w:eastAsia="zh-CN"/>
        </w:rPr>
        <w:t>5</w:t>
      </w:r>
      <w:r>
        <w:rPr>
          <w:rFonts w:hint="default" w:ascii="Times New Roman" w:hAnsi="Times New Roman" w:eastAsia="宋体" w:cs="Times New Roman"/>
          <w:b/>
          <w:color w:val="auto"/>
          <w:spacing w:val="0"/>
          <w:sz w:val="30"/>
          <w:szCs w:val="30"/>
        </w:rPr>
        <w:t>年</w:t>
      </w:r>
      <w:r>
        <w:rPr>
          <w:rFonts w:hint="default" w:ascii="Times New Roman" w:hAnsi="Times New Roman" w:eastAsia="宋体" w:cs="Times New Roman"/>
          <w:b/>
          <w:color w:val="auto"/>
          <w:spacing w:val="0"/>
          <w:sz w:val="30"/>
          <w:szCs w:val="30"/>
          <w:lang w:val="en-US" w:eastAsia="zh-CN"/>
        </w:rPr>
        <w:t>3</w:t>
      </w:r>
      <w:r>
        <w:rPr>
          <w:rFonts w:hint="default" w:ascii="Times New Roman" w:hAnsi="Times New Roman" w:eastAsia="宋体" w:cs="Times New Roman"/>
          <w:b/>
          <w:color w:val="auto"/>
          <w:spacing w:val="0"/>
          <w:sz w:val="30"/>
          <w:szCs w:val="30"/>
        </w:rPr>
        <w:t>月</w:t>
      </w:r>
    </w:p>
    <w:p w14:paraId="5498FAA7">
      <w:pPr>
        <w:ind w:left="0" w:leftChars="0" w:firstLine="0" w:firstLineChars="0"/>
        <w:rPr>
          <w:rFonts w:hint="eastAsia"/>
          <w:color w:val="auto"/>
          <w:lang w:val="zh-CN"/>
        </w:rPr>
      </w:pPr>
      <w:r>
        <w:rPr>
          <w:rFonts w:hint="eastAsia"/>
          <w:color w:val="auto"/>
          <w:lang w:val="zh-CN"/>
        </w:rPr>
        <w:br w:type="page"/>
      </w:r>
    </w:p>
    <w:p w14:paraId="2E161DE8">
      <w:pPr>
        <w:spacing w:line="480" w:lineRule="auto"/>
        <w:ind w:firstLine="0" w:firstLineChars="0"/>
        <w:jc w:val="center"/>
        <w:rPr>
          <w:rFonts w:hint="eastAsia" w:ascii="宋体" w:hAnsi="宋体" w:eastAsia="宋体" w:cs="宋体"/>
          <w:b/>
          <w:bCs/>
          <w:color w:val="auto"/>
          <w:sz w:val="32"/>
          <w:szCs w:val="32"/>
        </w:rPr>
      </w:pPr>
      <w:bookmarkStart w:id="0" w:name="_Toc27620"/>
      <w:bookmarkStart w:id="1" w:name="_Toc18797"/>
      <w:bookmarkStart w:id="2" w:name="_Toc18093"/>
      <w:bookmarkStart w:id="3" w:name="_Toc32204"/>
      <w:bookmarkStart w:id="4" w:name="_Toc28934"/>
      <w:r>
        <w:rPr>
          <w:rFonts w:hint="eastAsia" w:ascii="宋体" w:hAnsi="宋体" w:eastAsia="宋体" w:cs="宋体"/>
          <w:b/>
          <w:bCs/>
          <w:color w:val="auto"/>
          <w:sz w:val="36"/>
          <w:szCs w:val="36"/>
        </w:rPr>
        <w:t>目    录</w:t>
      </w:r>
    </w:p>
    <w:p w14:paraId="4DA7FA23">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ind w:left="0" w:leftChars="0" w:firstLine="480" w:firstLineChars="200"/>
        <w:textAlignment w:val="auto"/>
        <w:rPr>
          <w:rFonts w:hint="default" w:ascii="Times New Roman" w:hAnsi="Times New Roman" w:eastAsia="宋体" w:cs="Times New Roman"/>
          <w:sz w:val="24"/>
          <w:szCs w:val="24"/>
        </w:rPr>
      </w:pPr>
      <w:r>
        <w:rPr>
          <w:rFonts w:hint="eastAsia" w:ascii="宋体" w:hAnsi="宋体" w:eastAsia="宋体" w:cs="宋体"/>
          <w:color w:val="auto"/>
          <w:sz w:val="24"/>
          <w:szCs w:val="24"/>
          <w:highlight w:val="yellow"/>
        </w:rPr>
        <w:fldChar w:fldCharType="begin"/>
      </w:r>
      <w:r>
        <w:rPr>
          <w:rFonts w:hint="eastAsia" w:ascii="宋体" w:hAnsi="宋体" w:eastAsia="宋体" w:cs="宋体"/>
          <w:color w:val="auto"/>
          <w:sz w:val="24"/>
          <w:szCs w:val="24"/>
          <w:highlight w:val="yellow"/>
        </w:rPr>
        <w:instrText xml:space="preserve">TOC \o "1-3" \h \u </w:instrText>
      </w:r>
      <w:r>
        <w:rPr>
          <w:rFonts w:hint="eastAsia" w:ascii="宋体" w:hAnsi="宋体" w:eastAsia="宋体" w:cs="宋体"/>
          <w:color w:val="auto"/>
          <w:sz w:val="24"/>
          <w:szCs w:val="24"/>
          <w:highlight w:val="yellow"/>
        </w:rPr>
        <w:fldChar w:fldCharType="separate"/>
      </w: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_Toc16963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val="zh-CN"/>
        </w:rPr>
        <w:t>一</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zh-CN"/>
        </w:rPr>
        <w:t>矿山基本情况</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_Toc16963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39457510">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_Toc17616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二、</w:t>
      </w:r>
      <w:r>
        <w:rPr>
          <w:rFonts w:hint="default" w:ascii="Times New Roman" w:hAnsi="Times New Roman" w:eastAsia="宋体" w:cs="Times New Roman"/>
          <w:bCs/>
          <w:sz w:val="24"/>
          <w:szCs w:val="24"/>
        </w:rPr>
        <w:t>矿山地质环境治理方案的编制与执行情况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_Toc17616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03A587A7">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_Toc12170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一</w:t>
      </w:r>
      <w:r>
        <w:rPr>
          <w:rFonts w:hint="default" w:ascii="Times New Roman" w:hAnsi="Times New Roman" w:eastAsia="宋体" w:cs="Times New Roman"/>
          <w:bCs/>
          <w:sz w:val="24"/>
          <w:szCs w:val="24"/>
          <w:lang w:eastAsia="zh-CN"/>
        </w:rPr>
        <w:t>）矿山地质环境治理方案</w:t>
      </w:r>
      <w:r>
        <w:rPr>
          <w:rFonts w:hint="default" w:ascii="Times New Roman" w:hAnsi="Times New Roman" w:eastAsia="宋体" w:cs="Times New Roman"/>
          <w:bCs/>
          <w:sz w:val="24"/>
          <w:szCs w:val="24"/>
          <w:lang w:val="en-US" w:eastAsia="zh-CN"/>
        </w:rPr>
        <w:t>编制情况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_Toc12170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518B4653">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_Toc31597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（二）治理方案规划的近期治理工程内容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_Toc31597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32682343">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_Toc2557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（三）矿山地质环境治理方案执行情况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_Toc2557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32DA6D89">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_Toc1110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eastAsia="zh-CN"/>
        </w:rPr>
        <w:t>三、</w:t>
      </w:r>
      <w:r>
        <w:rPr>
          <w:rFonts w:hint="default" w:ascii="Times New Roman" w:hAnsi="Times New Roman" w:eastAsia="宋体" w:cs="Times New Roman"/>
          <w:sz w:val="24"/>
          <w:szCs w:val="24"/>
        </w:rPr>
        <w:t>本年度矿山生产计划</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_Toc1110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0B82F428">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_Toc27933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（一）本年度的主要生产指标计划</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_Toc27933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6DF8CA1F">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_Toc3457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（二）开采范围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_Toc3457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09566975">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_Toc13727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eastAsia="zh-CN"/>
        </w:rPr>
        <w:t>四、</w:t>
      </w:r>
      <w:r>
        <w:rPr>
          <w:rFonts w:hint="default" w:ascii="Times New Roman" w:hAnsi="Times New Roman" w:eastAsia="宋体" w:cs="Times New Roman"/>
          <w:sz w:val="24"/>
          <w:szCs w:val="24"/>
        </w:rPr>
        <w:t>矿山地质环境问题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_Toc13727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5A4F764B">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_Toc5400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一</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矿山地质环境问题现状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_Toc5400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72F5A59D">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_Toc21536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（二）矿山地质环境问题预测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_Toc21536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03963E06">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_Toc4064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eastAsia="zh-CN"/>
        </w:rPr>
        <w:t>五、</w:t>
      </w:r>
      <w:r>
        <w:rPr>
          <w:rFonts w:hint="default" w:ascii="Times New Roman" w:hAnsi="Times New Roman" w:eastAsia="宋体" w:cs="Times New Roman"/>
          <w:sz w:val="24"/>
          <w:szCs w:val="24"/>
        </w:rPr>
        <w:t>矿山地质环境防治工程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_Toc4064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04EEDB48">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_Toc32392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（一）矿山地质环境治理区的确定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39990EC1">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_Toc26507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（二）矿山地质环境治理工程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_Toc26507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64C76BB9">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_Toc32129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（三）矿山地质环境监测工程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_Toc32129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37485E09">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_Toc14547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eastAsia="zh-CN"/>
        </w:rPr>
        <w:t>六、</w:t>
      </w:r>
      <w:r>
        <w:rPr>
          <w:rFonts w:hint="default" w:ascii="Times New Roman" w:hAnsi="Times New Roman" w:eastAsia="宋体" w:cs="Times New Roman"/>
          <w:sz w:val="24"/>
          <w:szCs w:val="24"/>
        </w:rPr>
        <w:t>经费估算</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_Toc14547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2F73D691">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_Toc32428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（一）估算说明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_Toc32428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5EC72314">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_Toc14175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zh-CN" w:eastAsia="zh-CN"/>
        </w:rPr>
        <w:t>（二）主要工程量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_Toc14175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208EEB76">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_Toc22909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zh-CN" w:eastAsia="zh-CN"/>
        </w:rPr>
        <w:t>（三）估算结果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_Toc22909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3B0AD487">
      <w:pPr>
        <w:pStyle w:val="16"/>
        <w:tabs>
          <w:tab w:val="right" w:leader="dot" w:pos="8508"/>
        </w:tabs>
        <w:rPr>
          <w:rFonts w:hint="eastAsia" w:ascii="宋体" w:hAnsi="宋体" w:eastAsia="宋体" w:cs="宋体"/>
          <w:color w:val="auto"/>
          <w:highlight w:val="yellow"/>
          <w:lang w:val="zh-CN"/>
        </w:rPr>
        <w:sectPr>
          <w:headerReference r:id="rId5" w:type="default"/>
          <w:footerReference r:id="rId6" w:type="default"/>
          <w:pgSz w:w="11910" w:h="16840"/>
          <w:pgMar w:top="1701" w:right="1701" w:bottom="1701" w:left="1701" w:header="851" w:footer="992" w:gutter="0"/>
          <w:pgNumType w:start="1"/>
          <w:cols w:space="720" w:num="1"/>
        </w:sectPr>
      </w:pPr>
      <w:r>
        <w:rPr>
          <w:rFonts w:hint="eastAsia" w:ascii="宋体" w:hAnsi="宋体" w:eastAsia="宋体" w:cs="宋体"/>
          <w:color w:val="auto"/>
          <w:szCs w:val="24"/>
          <w:highlight w:val="yellow"/>
        </w:rPr>
        <w:fldChar w:fldCharType="end"/>
      </w:r>
    </w:p>
    <w:p w14:paraId="6B5E67DB">
      <w:pPr>
        <w:pStyle w:val="3"/>
        <w:keepNext/>
        <w:keepLines/>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lang w:val="zh-CN"/>
        </w:rPr>
      </w:pPr>
      <w:bookmarkStart w:id="5" w:name="_Toc16286"/>
      <w:bookmarkStart w:id="6" w:name="_Toc16963"/>
      <w:r>
        <w:rPr>
          <w:rFonts w:hint="eastAsia" w:ascii="宋体" w:hAnsi="宋体" w:eastAsia="宋体" w:cs="宋体"/>
          <w:color w:val="auto"/>
          <w:lang w:val="zh-CN"/>
        </w:rPr>
        <w:t>一</w:t>
      </w:r>
      <w:r>
        <w:rPr>
          <w:rFonts w:hint="eastAsia" w:ascii="宋体" w:hAnsi="宋体" w:eastAsia="宋体" w:cs="宋体"/>
          <w:color w:val="auto"/>
          <w:lang w:val="en-US" w:eastAsia="zh-CN"/>
        </w:rPr>
        <w:t>、</w:t>
      </w:r>
      <w:r>
        <w:rPr>
          <w:rFonts w:hint="eastAsia" w:ascii="宋体" w:hAnsi="宋体" w:eastAsia="宋体" w:cs="宋体"/>
          <w:color w:val="auto"/>
          <w:lang w:val="zh-CN"/>
        </w:rPr>
        <w:t>矿山基本情况</w:t>
      </w:r>
      <w:bookmarkEnd w:id="0"/>
      <w:bookmarkEnd w:id="1"/>
      <w:bookmarkEnd w:id="2"/>
      <w:bookmarkEnd w:id="3"/>
      <w:bookmarkEnd w:id="4"/>
      <w:bookmarkEnd w:id="5"/>
      <w:bookmarkEnd w:id="6"/>
      <w:bookmarkStart w:id="7" w:name="_Toc32476"/>
    </w:p>
    <w:bookmarkEnd w:id="7"/>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950"/>
        <w:gridCol w:w="1226"/>
        <w:gridCol w:w="1279"/>
        <w:gridCol w:w="300"/>
        <w:gridCol w:w="2389"/>
      </w:tblGrid>
      <w:tr w14:paraId="6ADA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ign w:val="center"/>
          </w:tcPr>
          <w:p w14:paraId="525D9037">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矿山企业基本信息</w:t>
            </w:r>
          </w:p>
        </w:tc>
      </w:tr>
      <w:tr w14:paraId="3E5E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103391F8">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矿山名称</w:t>
            </w:r>
          </w:p>
        </w:tc>
        <w:tc>
          <w:tcPr>
            <w:tcW w:w="4094" w:type="pct"/>
            <w:gridSpan w:val="5"/>
            <w:noWrap/>
            <w:vAlign w:val="center"/>
          </w:tcPr>
          <w:p w14:paraId="2BB7F4C1">
            <w:pPr>
              <w:pStyle w:val="24"/>
              <w:rPr>
                <w:rFonts w:hint="eastAsia" w:ascii="宋体" w:hAnsi="宋体" w:eastAsia="宋体" w:cs="宋体"/>
                <w:color w:val="auto"/>
                <w:sz w:val="21"/>
                <w:szCs w:val="21"/>
                <w:lang w:val="zh-CN"/>
              </w:rPr>
            </w:pPr>
            <w:r>
              <w:rPr>
                <w:rFonts w:hint="default" w:ascii="Times New Roman" w:hAnsi="Times New Roman" w:eastAsia="宋体" w:cs="Times New Roman"/>
                <w:bCs/>
                <w:color w:val="auto"/>
                <w:kern w:val="2"/>
                <w:sz w:val="21"/>
                <w:szCs w:val="21"/>
                <w:lang w:val="en-US" w:eastAsia="zh-CN"/>
              </w:rPr>
              <w:t>赤峰矿业（集团）有限责任公司</w:t>
            </w:r>
            <w:r>
              <w:rPr>
                <w:rFonts w:hint="eastAsia" w:ascii="宋体" w:hAnsi="宋体" w:eastAsia="宋体" w:cs="宋体"/>
                <w:color w:val="auto"/>
                <w:sz w:val="21"/>
                <w:szCs w:val="21"/>
                <w:lang w:val="zh-CN"/>
              </w:rPr>
              <w:t>松山区羊草沟-下歪脖子井白云岩矿</w:t>
            </w:r>
          </w:p>
        </w:tc>
      </w:tr>
      <w:tr w14:paraId="098F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7786B192">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采矿权人</w:t>
            </w:r>
          </w:p>
        </w:tc>
        <w:tc>
          <w:tcPr>
            <w:tcW w:w="1820" w:type="pct"/>
            <w:gridSpan w:val="2"/>
            <w:noWrap/>
            <w:vAlign w:val="center"/>
          </w:tcPr>
          <w:p w14:paraId="7F1815DB">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eastAsia="zh-CN"/>
              </w:rPr>
              <w:t>赤峰矿业（集团）有限责任公司</w:t>
            </w:r>
          </w:p>
        </w:tc>
        <w:tc>
          <w:tcPr>
            <w:tcW w:w="904" w:type="pct"/>
            <w:gridSpan w:val="2"/>
            <w:noWrap/>
            <w:vAlign w:val="center"/>
          </w:tcPr>
          <w:p w14:paraId="60ED5D22">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法人代表</w:t>
            </w:r>
          </w:p>
        </w:tc>
        <w:tc>
          <w:tcPr>
            <w:tcW w:w="1369" w:type="pct"/>
            <w:noWrap/>
            <w:vAlign w:val="center"/>
          </w:tcPr>
          <w:p w14:paraId="7B10E442">
            <w:pPr>
              <w:pStyle w:val="24"/>
              <w:rPr>
                <w:rFonts w:hint="eastAsia" w:ascii="宋体" w:hAnsi="宋体" w:eastAsia="宋体" w:cs="宋体"/>
                <w:color w:val="auto"/>
                <w:sz w:val="21"/>
                <w:szCs w:val="21"/>
                <w:lang w:val="zh-CN"/>
              </w:rPr>
            </w:pPr>
            <w:r>
              <w:rPr>
                <w:rFonts w:hint="default" w:ascii="Times New Roman" w:hAnsi="Times New Roman" w:eastAsia="宋体" w:cs="Times New Roman"/>
                <w:color w:val="auto"/>
                <w:sz w:val="21"/>
                <w:szCs w:val="21"/>
                <w:lang w:val="zh-CN"/>
              </w:rPr>
              <w:t>夏景图</w:t>
            </w:r>
          </w:p>
        </w:tc>
      </w:tr>
      <w:tr w14:paraId="714B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37E2272C">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采矿许可证号</w:t>
            </w:r>
          </w:p>
        </w:tc>
        <w:tc>
          <w:tcPr>
            <w:tcW w:w="1820" w:type="pct"/>
            <w:gridSpan w:val="2"/>
            <w:noWrap/>
            <w:vAlign w:val="center"/>
          </w:tcPr>
          <w:p w14:paraId="6B414220">
            <w:pPr>
              <w:pStyle w:val="24"/>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C1504002015067130139299</w:t>
            </w:r>
          </w:p>
        </w:tc>
        <w:tc>
          <w:tcPr>
            <w:tcW w:w="904" w:type="pct"/>
            <w:gridSpan w:val="2"/>
            <w:noWrap/>
            <w:vAlign w:val="center"/>
          </w:tcPr>
          <w:p w14:paraId="20FCAC8C">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发证机关</w:t>
            </w:r>
          </w:p>
        </w:tc>
        <w:tc>
          <w:tcPr>
            <w:tcW w:w="1369" w:type="pct"/>
            <w:noWrap/>
            <w:vAlign w:val="center"/>
          </w:tcPr>
          <w:p w14:paraId="25AADF58">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赤峰市自然资源局</w:t>
            </w:r>
          </w:p>
        </w:tc>
      </w:tr>
      <w:tr w14:paraId="722B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430079E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有效期限</w:t>
            </w:r>
          </w:p>
        </w:tc>
        <w:tc>
          <w:tcPr>
            <w:tcW w:w="1820" w:type="pct"/>
            <w:gridSpan w:val="2"/>
            <w:noWrap/>
            <w:vAlign w:val="center"/>
          </w:tcPr>
          <w:p w14:paraId="2ED53F76">
            <w:pPr>
              <w:pStyle w:val="24"/>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2018.6.29-2025.12.29</w:t>
            </w:r>
          </w:p>
        </w:tc>
        <w:tc>
          <w:tcPr>
            <w:tcW w:w="904" w:type="pct"/>
            <w:gridSpan w:val="2"/>
            <w:noWrap/>
            <w:vAlign w:val="center"/>
          </w:tcPr>
          <w:p w14:paraId="0D1EE4E4">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发证日期</w:t>
            </w:r>
          </w:p>
        </w:tc>
        <w:tc>
          <w:tcPr>
            <w:tcW w:w="1369" w:type="pct"/>
            <w:noWrap/>
            <w:vAlign w:val="center"/>
          </w:tcPr>
          <w:p w14:paraId="2F9B23D9">
            <w:pPr>
              <w:pStyle w:val="24"/>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2024.9.19</w:t>
            </w:r>
          </w:p>
        </w:tc>
      </w:tr>
      <w:tr w14:paraId="134A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484F0C47">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矿区地址</w:t>
            </w:r>
          </w:p>
        </w:tc>
        <w:tc>
          <w:tcPr>
            <w:tcW w:w="4094" w:type="pct"/>
            <w:gridSpan w:val="5"/>
            <w:noWrap/>
            <w:vAlign w:val="center"/>
          </w:tcPr>
          <w:p w14:paraId="740CEE41">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赤峰市松山区</w:t>
            </w:r>
            <w:r>
              <w:rPr>
                <w:rFonts w:hint="eastAsia" w:ascii="宋体" w:hAnsi="宋体" w:eastAsia="宋体" w:cs="宋体"/>
                <w:color w:val="auto"/>
                <w:sz w:val="21"/>
                <w:szCs w:val="21"/>
                <w:lang w:val="zh-CN" w:eastAsia="zh-CN"/>
              </w:rPr>
              <w:t>安庆镇、哈拉道口镇</w:t>
            </w:r>
          </w:p>
        </w:tc>
      </w:tr>
      <w:tr w14:paraId="3CDD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1EB06573">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经纬度坐标</w:t>
            </w:r>
          </w:p>
        </w:tc>
        <w:tc>
          <w:tcPr>
            <w:tcW w:w="4094" w:type="pct"/>
            <w:gridSpan w:val="5"/>
            <w:noWrap/>
            <w:vAlign w:val="center"/>
          </w:tcPr>
          <w:p w14:paraId="5B86C7BB">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东经：119°11′37″—119°21′17″；北纬：42°32′43″— 42°38′50″</w:t>
            </w:r>
            <w:r>
              <w:rPr>
                <w:rFonts w:hint="eastAsia" w:ascii="Times New Roman" w:hAnsi="Times New Roman" w:eastAsia="宋体" w:cs="Times New Roman"/>
                <w:color w:val="auto"/>
                <w:sz w:val="21"/>
                <w:szCs w:val="21"/>
                <w:lang w:val="zh-CN"/>
              </w:rPr>
              <w:t>。</w:t>
            </w:r>
          </w:p>
        </w:tc>
      </w:tr>
      <w:tr w14:paraId="4C77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18D36280">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经济类型</w:t>
            </w:r>
          </w:p>
        </w:tc>
        <w:tc>
          <w:tcPr>
            <w:tcW w:w="1820" w:type="pct"/>
            <w:gridSpan w:val="2"/>
            <w:noWrap/>
            <w:vAlign w:val="center"/>
          </w:tcPr>
          <w:p w14:paraId="463C0918">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有限责任公司</w:t>
            </w:r>
          </w:p>
        </w:tc>
        <w:tc>
          <w:tcPr>
            <w:tcW w:w="904" w:type="pct"/>
            <w:gridSpan w:val="2"/>
            <w:noWrap/>
            <w:vAlign w:val="center"/>
          </w:tcPr>
          <w:p w14:paraId="7578E5A3">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生产规模</w:t>
            </w:r>
          </w:p>
        </w:tc>
        <w:tc>
          <w:tcPr>
            <w:tcW w:w="1369" w:type="pct"/>
            <w:noWrap/>
            <w:vAlign w:val="center"/>
          </w:tcPr>
          <w:p w14:paraId="080BF167">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中型</w:t>
            </w:r>
          </w:p>
        </w:tc>
      </w:tr>
      <w:tr w14:paraId="6376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09B90178">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开采矿种</w:t>
            </w:r>
          </w:p>
        </w:tc>
        <w:tc>
          <w:tcPr>
            <w:tcW w:w="1820" w:type="pct"/>
            <w:gridSpan w:val="2"/>
            <w:noWrap/>
            <w:vAlign w:val="center"/>
          </w:tcPr>
          <w:p w14:paraId="5FC9DE9B">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eastAsia="zh-CN"/>
              </w:rPr>
              <w:t>白云岩</w:t>
            </w:r>
          </w:p>
        </w:tc>
        <w:tc>
          <w:tcPr>
            <w:tcW w:w="904" w:type="pct"/>
            <w:gridSpan w:val="2"/>
            <w:noWrap/>
            <w:vAlign w:val="center"/>
          </w:tcPr>
          <w:p w14:paraId="3C2934BB">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采矿方式</w:t>
            </w:r>
          </w:p>
        </w:tc>
        <w:tc>
          <w:tcPr>
            <w:tcW w:w="1369" w:type="pct"/>
            <w:noWrap/>
            <w:vAlign w:val="center"/>
          </w:tcPr>
          <w:p w14:paraId="70929CD0">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露天开采</w:t>
            </w:r>
          </w:p>
        </w:tc>
      </w:tr>
      <w:tr w14:paraId="254D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746EA05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矿区面积</w:t>
            </w:r>
          </w:p>
        </w:tc>
        <w:tc>
          <w:tcPr>
            <w:tcW w:w="1820" w:type="pct"/>
            <w:gridSpan w:val="2"/>
            <w:noWrap/>
            <w:vAlign w:val="center"/>
          </w:tcPr>
          <w:p w14:paraId="273841B7">
            <w:pPr>
              <w:pStyle w:val="24"/>
              <w:rPr>
                <w:rFonts w:hint="default" w:ascii="宋体" w:hAnsi="宋体" w:eastAsia="宋体" w:cs="宋体"/>
                <w:color w:val="auto"/>
                <w:sz w:val="21"/>
                <w:szCs w:val="21"/>
                <w:lang w:val="en-US"/>
              </w:rPr>
            </w:pPr>
            <w:r>
              <w:rPr>
                <w:rFonts w:hint="eastAsia" w:ascii="宋体" w:hAnsi="宋体" w:eastAsia="宋体" w:cs="宋体"/>
                <w:color w:val="auto"/>
                <w:sz w:val="21"/>
                <w:szCs w:val="21"/>
                <w:lang w:val="zh-CN"/>
              </w:rPr>
              <w:t>4.0746</w:t>
            </w:r>
            <w:r>
              <w:rPr>
                <w:rFonts w:hint="eastAsia" w:ascii="宋体" w:hAnsi="宋体" w:eastAsia="宋体" w:cs="宋体"/>
                <w:color w:val="auto"/>
                <w:sz w:val="21"/>
                <w:szCs w:val="21"/>
                <w:lang w:val="en-US" w:eastAsia="zh-CN"/>
              </w:rPr>
              <w:t>km</w:t>
            </w:r>
            <w:r>
              <w:rPr>
                <w:rFonts w:hint="eastAsia" w:ascii="宋体" w:hAnsi="宋体" w:eastAsia="宋体" w:cs="宋体"/>
                <w:color w:val="auto"/>
                <w:sz w:val="21"/>
                <w:szCs w:val="21"/>
                <w:vertAlign w:val="superscript"/>
                <w:lang w:val="en-US" w:eastAsia="zh-CN"/>
              </w:rPr>
              <w:t>2</w:t>
            </w:r>
          </w:p>
        </w:tc>
        <w:tc>
          <w:tcPr>
            <w:tcW w:w="904" w:type="pct"/>
            <w:gridSpan w:val="2"/>
            <w:noWrap/>
            <w:vAlign w:val="center"/>
          </w:tcPr>
          <w:p w14:paraId="19618B9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生产现状</w:t>
            </w:r>
          </w:p>
        </w:tc>
        <w:tc>
          <w:tcPr>
            <w:tcW w:w="1369" w:type="pct"/>
            <w:noWrap/>
            <w:vAlign w:val="center"/>
          </w:tcPr>
          <w:p w14:paraId="7EEBD237">
            <w:pPr>
              <w:pStyle w:val="24"/>
              <w:rPr>
                <w:rFonts w:hint="eastAsia" w:ascii="宋体" w:hAnsi="宋体" w:eastAsia="宋体" w:cs="宋体"/>
                <w:color w:val="auto"/>
                <w:sz w:val="21"/>
                <w:szCs w:val="21"/>
              </w:rPr>
            </w:pPr>
            <w:r>
              <w:rPr>
                <w:rFonts w:hint="eastAsia" w:ascii="宋体" w:hAnsi="宋体" w:eastAsia="宋体" w:cs="宋体"/>
                <w:color w:val="auto"/>
                <w:sz w:val="21"/>
                <w:szCs w:val="21"/>
              </w:rPr>
              <w:t>新建</w:t>
            </w:r>
          </w:p>
        </w:tc>
      </w:tr>
      <w:tr w14:paraId="662A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3F4CD596">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建矿时间</w:t>
            </w:r>
          </w:p>
        </w:tc>
        <w:tc>
          <w:tcPr>
            <w:tcW w:w="1820" w:type="pct"/>
            <w:gridSpan w:val="2"/>
            <w:noWrap/>
            <w:vAlign w:val="center"/>
          </w:tcPr>
          <w:p w14:paraId="2E8E6CD8">
            <w:pPr>
              <w:pStyle w:val="24"/>
              <w:rPr>
                <w:rFonts w:hint="eastAsia" w:ascii="宋体" w:hAnsi="宋体" w:eastAsia="宋体" w:cs="宋体"/>
                <w:color w:val="auto"/>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尚未建设</w:t>
            </w:r>
          </w:p>
        </w:tc>
        <w:tc>
          <w:tcPr>
            <w:tcW w:w="904" w:type="pct"/>
            <w:gridSpan w:val="2"/>
            <w:noWrap/>
            <w:vAlign w:val="center"/>
          </w:tcPr>
          <w:p w14:paraId="5DFCC60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设计生产能力</w:t>
            </w:r>
          </w:p>
        </w:tc>
        <w:tc>
          <w:tcPr>
            <w:tcW w:w="1369" w:type="pct"/>
            <w:noWrap/>
            <w:vAlign w:val="center"/>
          </w:tcPr>
          <w:p w14:paraId="4C56E950">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lang w:val="zh-CN"/>
              </w:rPr>
              <w:t>万吨/年</w:t>
            </w:r>
          </w:p>
        </w:tc>
      </w:tr>
      <w:tr w14:paraId="5532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3BDC291A">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设计服务年限</w:t>
            </w:r>
          </w:p>
        </w:tc>
        <w:tc>
          <w:tcPr>
            <w:tcW w:w="1820" w:type="pct"/>
            <w:gridSpan w:val="2"/>
            <w:noWrap/>
            <w:vAlign w:val="center"/>
          </w:tcPr>
          <w:p w14:paraId="711D77B7">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11.26</w:t>
            </w:r>
            <w:r>
              <w:rPr>
                <w:rFonts w:hint="eastAsia" w:ascii="宋体" w:hAnsi="宋体" w:eastAsia="宋体" w:cs="宋体"/>
                <w:color w:val="auto"/>
                <w:sz w:val="21"/>
                <w:szCs w:val="21"/>
                <w:lang w:val="zh-CN"/>
              </w:rPr>
              <w:t>年</w:t>
            </w:r>
          </w:p>
        </w:tc>
        <w:tc>
          <w:tcPr>
            <w:tcW w:w="904" w:type="pct"/>
            <w:gridSpan w:val="2"/>
            <w:noWrap/>
            <w:vAlign w:val="center"/>
          </w:tcPr>
          <w:p w14:paraId="000E919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实际生产能力</w:t>
            </w:r>
          </w:p>
        </w:tc>
        <w:tc>
          <w:tcPr>
            <w:tcW w:w="1369" w:type="pct"/>
            <w:noWrap/>
            <w:vAlign w:val="center"/>
          </w:tcPr>
          <w:p w14:paraId="585308EF">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w:t>
            </w:r>
          </w:p>
        </w:tc>
      </w:tr>
      <w:tr w14:paraId="33A0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013A461B">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剩余服务年限</w:t>
            </w:r>
          </w:p>
        </w:tc>
        <w:tc>
          <w:tcPr>
            <w:tcW w:w="1820" w:type="pct"/>
            <w:gridSpan w:val="2"/>
            <w:noWrap/>
            <w:vAlign w:val="center"/>
          </w:tcPr>
          <w:p w14:paraId="60258C0A">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11.26</w:t>
            </w:r>
            <w:r>
              <w:rPr>
                <w:rFonts w:hint="eastAsia" w:ascii="宋体" w:hAnsi="宋体" w:eastAsia="宋体" w:cs="宋体"/>
                <w:color w:val="auto"/>
                <w:sz w:val="21"/>
                <w:szCs w:val="21"/>
                <w:lang w:val="zh-CN"/>
              </w:rPr>
              <w:t>年</w:t>
            </w:r>
          </w:p>
        </w:tc>
        <w:tc>
          <w:tcPr>
            <w:tcW w:w="904" w:type="pct"/>
            <w:gridSpan w:val="2"/>
            <w:noWrap/>
            <w:vAlign w:val="center"/>
          </w:tcPr>
          <w:p w14:paraId="258E1976">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开采深度</w:t>
            </w:r>
          </w:p>
        </w:tc>
        <w:tc>
          <w:tcPr>
            <w:tcW w:w="1369" w:type="pct"/>
            <w:noWrap/>
            <w:vAlign w:val="center"/>
          </w:tcPr>
          <w:p w14:paraId="647254E0">
            <w:pPr>
              <w:pStyle w:val="24"/>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600m</w:t>
            </w:r>
            <w:r>
              <w:rPr>
                <w:rFonts w:hint="eastAsia" w:ascii="宋体" w:hAnsi="宋体" w:eastAsia="宋体" w:cs="宋体"/>
                <w:color w:val="auto"/>
                <w:sz w:val="21"/>
                <w:szCs w:val="21"/>
                <w:lang w:val="zh-CN" w:eastAsia="zh-CN"/>
              </w:rPr>
              <w:t>m至</w:t>
            </w:r>
            <w:r>
              <w:rPr>
                <w:rFonts w:hint="eastAsia" w:ascii="宋体" w:hAnsi="宋体" w:eastAsia="宋体" w:cs="宋体"/>
                <w:color w:val="auto"/>
                <w:sz w:val="21"/>
                <w:szCs w:val="21"/>
                <w:lang w:val="en-US" w:eastAsia="zh-CN"/>
              </w:rPr>
              <w:t>850</w:t>
            </w:r>
            <w:r>
              <w:rPr>
                <w:rFonts w:hint="eastAsia" w:ascii="宋体" w:hAnsi="宋体" w:eastAsia="宋体" w:cs="宋体"/>
                <w:color w:val="auto"/>
                <w:sz w:val="21"/>
                <w:szCs w:val="21"/>
                <w:lang w:val="zh-CN" w:eastAsia="zh-CN"/>
              </w:rPr>
              <w:t>m标高</w:t>
            </w:r>
          </w:p>
          <w:p w14:paraId="266097D1">
            <w:pPr>
              <w:pStyle w:val="24"/>
              <w:rPr>
                <w:rFonts w:hint="eastAsia" w:ascii="宋体" w:hAnsi="宋体" w:eastAsia="宋体" w:cs="宋体"/>
                <w:color w:val="auto"/>
                <w:lang w:val="zh-CN"/>
              </w:rPr>
            </w:pPr>
            <w:r>
              <w:rPr>
                <w:rFonts w:hint="eastAsia" w:ascii="宋体" w:hAnsi="宋体" w:eastAsia="宋体" w:cs="宋体"/>
                <w:color w:val="auto"/>
                <w:sz w:val="21"/>
                <w:szCs w:val="21"/>
                <w:lang w:val="en-US" w:eastAsia="zh-CN"/>
              </w:rPr>
              <w:t>700m</w:t>
            </w:r>
            <w:r>
              <w:rPr>
                <w:rFonts w:hint="eastAsia" w:ascii="宋体" w:hAnsi="宋体" w:eastAsia="宋体" w:cs="宋体"/>
                <w:color w:val="auto"/>
                <w:sz w:val="21"/>
                <w:szCs w:val="21"/>
                <w:lang w:val="zh-CN" w:eastAsia="zh-CN"/>
              </w:rPr>
              <w:t>m至</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lang w:val="zh-CN" w:eastAsia="zh-CN"/>
              </w:rPr>
              <w:t>m标高</w:t>
            </w:r>
          </w:p>
        </w:tc>
      </w:tr>
      <w:tr w14:paraId="5E57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09BD2344">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查明资源储量</w:t>
            </w:r>
          </w:p>
        </w:tc>
        <w:tc>
          <w:tcPr>
            <w:tcW w:w="1820" w:type="pct"/>
            <w:gridSpan w:val="2"/>
            <w:noWrap/>
            <w:vAlign w:val="center"/>
          </w:tcPr>
          <w:p w14:paraId="0D60DA9D">
            <w:pPr>
              <w:pStyle w:val="24"/>
              <w:rPr>
                <w:rFonts w:hint="eastAsia" w:ascii="宋体" w:hAnsi="宋体" w:eastAsia="宋体" w:cs="宋体"/>
                <w:color w:val="auto"/>
                <w:sz w:val="21"/>
                <w:szCs w:val="21"/>
                <w:lang w:val="en-US"/>
              </w:rPr>
            </w:pPr>
            <w:r>
              <w:rPr>
                <w:rFonts w:hint="eastAsia" w:ascii="宋体" w:hAnsi="宋体" w:eastAsia="宋体" w:cs="宋体"/>
                <w:color w:val="auto"/>
                <w:sz w:val="21"/>
                <w:szCs w:val="21"/>
                <w:lang w:val="zh-CN"/>
              </w:rPr>
              <w:t>矿石量</w:t>
            </w:r>
            <w:r>
              <w:rPr>
                <w:rFonts w:hint="eastAsia" w:ascii="宋体" w:hAnsi="宋体" w:eastAsia="宋体" w:cs="宋体"/>
                <w:color w:val="auto"/>
                <w:sz w:val="21"/>
                <w:szCs w:val="21"/>
                <w:lang w:val="zh-CN" w:eastAsia="zh-CN"/>
              </w:rPr>
              <w:t>659.37万</w:t>
            </w:r>
            <w:r>
              <w:rPr>
                <w:rFonts w:hint="eastAsia" w:ascii="宋体" w:hAnsi="宋体" w:eastAsia="宋体" w:cs="宋体"/>
                <w:color w:val="auto"/>
                <w:sz w:val="21"/>
                <w:szCs w:val="21"/>
                <w:lang w:val="en-US" w:eastAsia="zh-CN"/>
              </w:rPr>
              <w:t>t</w:t>
            </w:r>
          </w:p>
        </w:tc>
        <w:tc>
          <w:tcPr>
            <w:tcW w:w="904" w:type="pct"/>
            <w:gridSpan w:val="2"/>
            <w:noWrap/>
            <w:vAlign w:val="center"/>
          </w:tcPr>
          <w:p w14:paraId="10945A03">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剩余资源储量</w:t>
            </w:r>
          </w:p>
        </w:tc>
        <w:tc>
          <w:tcPr>
            <w:tcW w:w="1369" w:type="pct"/>
            <w:noWrap/>
            <w:vAlign w:val="center"/>
          </w:tcPr>
          <w:p w14:paraId="5A9E65FF">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矿石量</w:t>
            </w:r>
            <w:r>
              <w:rPr>
                <w:rFonts w:hint="eastAsia" w:ascii="宋体" w:hAnsi="宋体" w:eastAsia="宋体" w:cs="宋体"/>
                <w:color w:val="auto"/>
                <w:sz w:val="21"/>
                <w:szCs w:val="21"/>
                <w:lang w:val="zh-CN" w:eastAsia="zh-CN"/>
              </w:rPr>
              <w:t>659.37万</w:t>
            </w:r>
            <w:r>
              <w:rPr>
                <w:rFonts w:hint="eastAsia" w:ascii="宋体" w:hAnsi="宋体" w:eastAsia="宋体" w:cs="宋体"/>
                <w:color w:val="auto"/>
                <w:sz w:val="21"/>
                <w:szCs w:val="21"/>
                <w:lang w:val="en-US" w:eastAsia="zh-CN"/>
              </w:rPr>
              <w:t>t</w:t>
            </w:r>
          </w:p>
        </w:tc>
      </w:tr>
      <w:tr w14:paraId="6C96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restart"/>
            <w:noWrap/>
            <w:vAlign w:val="center"/>
          </w:tcPr>
          <w:p w14:paraId="04E1E4DE">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矿区范围</w:t>
            </w:r>
          </w:p>
          <w:p w14:paraId="1A06B01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拐点坐标</w:t>
            </w:r>
          </w:p>
          <w:p w14:paraId="67E5E938">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zh-CN"/>
              </w:rPr>
            </w:pPr>
            <w:r>
              <w:rPr>
                <w:rFonts w:hint="default" w:ascii="宋体" w:hAnsi="宋体" w:eastAsia="宋体" w:cs="宋体"/>
                <w:color w:val="auto"/>
                <w:kern w:val="0"/>
                <w:sz w:val="21"/>
                <w:szCs w:val="21"/>
                <w:lang w:val="en-US" w:eastAsia="zh-CN" w:bidi="ar-SA"/>
              </w:rPr>
              <w:t>（引自采矿权设置文件）</w:t>
            </w:r>
          </w:p>
        </w:tc>
        <w:tc>
          <w:tcPr>
            <w:tcW w:w="4094" w:type="pct"/>
            <w:gridSpan w:val="5"/>
            <w:noWrap/>
            <w:vAlign w:val="center"/>
          </w:tcPr>
          <w:p w14:paraId="2713D2FA">
            <w:pPr>
              <w:pStyle w:val="24"/>
              <w:rPr>
                <w:rFonts w:hint="eastAsia" w:ascii="宋体" w:hAnsi="宋体" w:eastAsia="宋体" w:cs="宋体"/>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2000国家大地坐标系</w:t>
            </w:r>
          </w:p>
        </w:tc>
      </w:tr>
      <w:tr w14:paraId="4ABF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74B24770">
            <w:pPr>
              <w:pStyle w:val="24"/>
              <w:rPr>
                <w:rFonts w:hint="eastAsia" w:ascii="宋体" w:hAnsi="宋体" w:eastAsia="宋体" w:cs="宋体"/>
                <w:color w:val="auto"/>
                <w:sz w:val="21"/>
                <w:szCs w:val="21"/>
                <w:lang w:val="zh-CN"/>
              </w:rPr>
            </w:pPr>
          </w:p>
        </w:tc>
        <w:tc>
          <w:tcPr>
            <w:tcW w:w="1117" w:type="pct"/>
            <w:noWrap/>
            <w:vAlign w:val="center"/>
          </w:tcPr>
          <w:p w14:paraId="7F55C595">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lang w:val="zh-CN"/>
              </w:rPr>
            </w:pPr>
            <w:r>
              <w:rPr>
                <w:rFonts w:hint="default" w:ascii="Times New Roman" w:hAnsi="Times New Roman" w:eastAsia="宋体" w:cs="Times New Roman"/>
                <w:color w:val="auto"/>
                <w:sz w:val="21"/>
                <w:szCs w:val="21"/>
                <w:lang w:eastAsia="zh-CN"/>
              </w:rPr>
              <w:t>拐点编号</w:t>
            </w:r>
          </w:p>
        </w:tc>
        <w:tc>
          <w:tcPr>
            <w:tcW w:w="1435" w:type="pct"/>
            <w:gridSpan w:val="2"/>
            <w:noWrap/>
            <w:vAlign w:val="center"/>
          </w:tcPr>
          <w:p w14:paraId="7A4F7093">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lang w:val="zh-CN"/>
              </w:rPr>
            </w:pPr>
            <w:r>
              <w:rPr>
                <w:rFonts w:hint="default" w:ascii="Times New Roman" w:hAnsi="Times New Roman" w:eastAsia="宋体" w:cs="Times New Roman"/>
                <w:color w:val="auto"/>
                <w:sz w:val="21"/>
                <w:szCs w:val="21"/>
                <w:lang w:val="en-US" w:eastAsia="zh-CN"/>
              </w:rPr>
              <w:t>X</w:t>
            </w:r>
          </w:p>
        </w:tc>
        <w:tc>
          <w:tcPr>
            <w:tcW w:w="1541" w:type="pct"/>
            <w:gridSpan w:val="2"/>
            <w:noWrap/>
            <w:vAlign w:val="center"/>
          </w:tcPr>
          <w:p w14:paraId="4C3D060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Y</w:t>
            </w:r>
          </w:p>
        </w:tc>
      </w:tr>
      <w:tr w14:paraId="5B2F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44278E0E">
            <w:pPr>
              <w:pStyle w:val="24"/>
              <w:rPr>
                <w:rFonts w:hint="eastAsia" w:ascii="宋体" w:hAnsi="宋体" w:eastAsia="宋体" w:cs="宋体"/>
                <w:color w:val="auto"/>
                <w:sz w:val="21"/>
                <w:szCs w:val="21"/>
                <w:lang w:val="zh-CN"/>
              </w:rPr>
            </w:pPr>
          </w:p>
        </w:tc>
        <w:tc>
          <w:tcPr>
            <w:tcW w:w="1117" w:type="pct"/>
            <w:noWrap/>
            <w:vAlign w:val="center"/>
          </w:tcPr>
          <w:p w14:paraId="5A2CB8C3">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1</w:t>
            </w:r>
          </w:p>
        </w:tc>
        <w:tc>
          <w:tcPr>
            <w:tcW w:w="1435" w:type="pct"/>
            <w:gridSpan w:val="2"/>
            <w:noWrap/>
            <w:vAlign w:val="center"/>
          </w:tcPr>
          <w:p w14:paraId="1ABC0E2C">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4713133.6190</w:t>
            </w:r>
          </w:p>
        </w:tc>
        <w:tc>
          <w:tcPr>
            <w:tcW w:w="1541" w:type="pct"/>
            <w:gridSpan w:val="2"/>
            <w:noWrap/>
            <w:vAlign w:val="center"/>
          </w:tcPr>
          <w:p w14:paraId="1184C2A7">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40433783.9715</w:t>
            </w:r>
          </w:p>
        </w:tc>
      </w:tr>
      <w:tr w14:paraId="4FB4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6B819EE5">
            <w:pPr>
              <w:pStyle w:val="24"/>
              <w:rPr>
                <w:rFonts w:hint="eastAsia" w:ascii="宋体" w:hAnsi="宋体" w:eastAsia="宋体" w:cs="宋体"/>
                <w:color w:val="auto"/>
                <w:sz w:val="21"/>
                <w:szCs w:val="21"/>
                <w:lang w:val="zh-CN"/>
              </w:rPr>
            </w:pPr>
          </w:p>
        </w:tc>
        <w:tc>
          <w:tcPr>
            <w:tcW w:w="1117" w:type="pct"/>
            <w:noWrap/>
            <w:vAlign w:val="center"/>
          </w:tcPr>
          <w:p w14:paraId="3D470FA6">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2</w:t>
            </w:r>
          </w:p>
        </w:tc>
        <w:tc>
          <w:tcPr>
            <w:tcW w:w="1435" w:type="pct"/>
            <w:gridSpan w:val="2"/>
            <w:noWrap/>
            <w:vAlign w:val="center"/>
          </w:tcPr>
          <w:p w14:paraId="07F6F3AE">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4713030.6193</w:t>
            </w:r>
          </w:p>
        </w:tc>
        <w:tc>
          <w:tcPr>
            <w:tcW w:w="1541" w:type="pct"/>
            <w:gridSpan w:val="2"/>
            <w:noWrap/>
            <w:vAlign w:val="center"/>
          </w:tcPr>
          <w:p w14:paraId="6F36725A">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40434062.9724</w:t>
            </w:r>
          </w:p>
        </w:tc>
      </w:tr>
      <w:tr w14:paraId="04E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7AF20E84">
            <w:pPr>
              <w:pStyle w:val="24"/>
              <w:rPr>
                <w:rFonts w:hint="eastAsia" w:ascii="宋体" w:hAnsi="宋体" w:eastAsia="宋体" w:cs="宋体"/>
                <w:color w:val="auto"/>
                <w:sz w:val="21"/>
                <w:szCs w:val="21"/>
                <w:lang w:val="zh-CN"/>
              </w:rPr>
            </w:pPr>
          </w:p>
        </w:tc>
        <w:tc>
          <w:tcPr>
            <w:tcW w:w="1117" w:type="pct"/>
            <w:noWrap/>
            <w:vAlign w:val="center"/>
          </w:tcPr>
          <w:p w14:paraId="1017809E">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3</w:t>
            </w:r>
          </w:p>
        </w:tc>
        <w:tc>
          <w:tcPr>
            <w:tcW w:w="1435" w:type="pct"/>
            <w:gridSpan w:val="2"/>
            <w:noWrap/>
            <w:vAlign w:val="center"/>
          </w:tcPr>
          <w:p w14:paraId="0045908A">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4713814.6229</w:t>
            </w:r>
          </w:p>
        </w:tc>
        <w:tc>
          <w:tcPr>
            <w:tcW w:w="1541" w:type="pct"/>
            <w:gridSpan w:val="2"/>
            <w:noWrap/>
            <w:vAlign w:val="center"/>
          </w:tcPr>
          <w:p w14:paraId="3F3817CA">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40435090.9734</w:t>
            </w:r>
          </w:p>
        </w:tc>
      </w:tr>
      <w:tr w14:paraId="1039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282CD9DE">
            <w:pPr>
              <w:pStyle w:val="24"/>
              <w:rPr>
                <w:rFonts w:hint="eastAsia" w:ascii="宋体" w:hAnsi="宋体" w:eastAsia="宋体" w:cs="宋体"/>
                <w:color w:val="auto"/>
                <w:sz w:val="21"/>
                <w:szCs w:val="21"/>
                <w:lang w:val="zh-CN"/>
              </w:rPr>
            </w:pPr>
          </w:p>
        </w:tc>
        <w:tc>
          <w:tcPr>
            <w:tcW w:w="1117" w:type="pct"/>
            <w:noWrap/>
            <w:vAlign w:val="center"/>
          </w:tcPr>
          <w:p w14:paraId="622DF409">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w:t>
            </w:r>
          </w:p>
        </w:tc>
        <w:tc>
          <w:tcPr>
            <w:tcW w:w="1435" w:type="pct"/>
            <w:gridSpan w:val="2"/>
            <w:noWrap/>
            <w:vAlign w:val="center"/>
          </w:tcPr>
          <w:p w14:paraId="7AA70A33">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4713528.6230</w:t>
            </w:r>
          </w:p>
        </w:tc>
        <w:tc>
          <w:tcPr>
            <w:tcW w:w="1541" w:type="pct"/>
            <w:gridSpan w:val="2"/>
            <w:noWrap/>
            <w:vAlign w:val="center"/>
          </w:tcPr>
          <w:p w14:paraId="64FD785A">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40435397.9748</w:t>
            </w:r>
          </w:p>
        </w:tc>
      </w:tr>
      <w:tr w14:paraId="279B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0930E7AD">
            <w:pPr>
              <w:pStyle w:val="24"/>
              <w:rPr>
                <w:rFonts w:hint="eastAsia" w:ascii="宋体" w:hAnsi="宋体" w:eastAsia="宋体" w:cs="宋体"/>
                <w:color w:val="auto"/>
                <w:sz w:val="21"/>
                <w:szCs w:val="21"/>
                <w:lang w:val="zh-CN"/>
              </w:rPr>
            </w:pPr>
          </w:p>
        </w:tc>
        <w:tc>
          <w:tcPr>
            <w:tcW w:w="1117" w:type="pct"/>
            <w:noWrap/>
            <w:vAlign w:val="center"/>
          </w:tcPr>
          <w:p w14:paraId="3FC644A2">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5</w:t>
            </w:r>
          </w:p>
        </w:tc>
        <w:tc>
          <w:tcPr>
            <w:tcW w:w="1435" w:type="pct"/>
            <w:gridSpan w:val="2"/>
            <w:noWrap/>
            <w:vAlign w:val="center"/>
          </w:tcPr>
          <w:p w14:paraId="58E2AE44">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4713528.6281</w:t>
            </w:r>
          </w:p>
        </w:tc>
        <w:tc>
          <w:tcPr>
            <w:tcW w:w="1541" w:type="pct"/>
            <w:gridSpan w:val="2"/>
            <w:noWrap/>
            <w:vAlign w:val="center"/>
          </w:tcPr>
          <w:p w14:paraId="0B945931">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40437918.9814</w:t>
            </w:r>
          </w:p>
        </w:tc>
      </w:tr>
      <w:tr w14:paraId="5A48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4E62871F">
            <w:pPr>
              <w:pStyle w:val="24"/>
              <w:rPr>
                <w:rFonts w:hint="eastAsia" w:ascii="宋体" w:hAnsi="宋体" w:eastAsia="宋体" w:cs="宋体"/>
                <w:color w:val="auto"/>
                <w:sz w:val="21"/>
                <w:szCs w:val="21"/>
                <w:lang w:val="zh-CN"/>
              </w:rPr>
            </w:pPr>
          </w:p>
        </w:tc>
        <w:tc>
          <w:tcPr>
            <w:tcW w:w="1117" w:type="pct"/>
            <w:noWrap/>
            <w:vAlign w:val="center"/>
          </w:tcPr>
          <w:p w14:paraId="3EBC44A0">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6</w:t>
            </w:r>
          </w:p>
        </w:tc>
        <w:tc>
          <w:tcPr>
            <w:tcW w:w="1435" w:type="pct"/>
            <w:gridSpan w:val="2"/>
            <w:noWrap/>
            <w:vAlign w:val="center"/>
          </w:tcPr>
          <w:p w14:paraId="30495E01">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4712825.6266</w:t>
            </w:r>
          </w:p>
        </w:tc>
        <w:tc>
          <w:tcPr>
            <w:tcW w:w="1541" w:type="pct"/>
            <w:gridSpan w:val="2"/>
            <w:noWrap/>
            <w:vAlign w:val="center"/>
          </w:tcPr>
          <w:p w14:paraId="050EAD2E">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40437893.9828</w:t>
            </w:r>
          </w:p>
        </w:tc>
      </w:tr>
      <w:tr w14:paraId="2D5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37A97D70">
            <w:pPr>
              <w:pStyle w:val="24"/>
              <w:rPr>
                <w:rFonts w:hint="eastAsia" w:ascii="宋体" w:hAnsi="宋体" w:eastAsia="宋体" w:cs="宋体"/>
                <w:color w:val="auto"/>
                <w:sz w:val="21"/>
                <w:szCs w:val="21"/>
                <w:lang w:val="zh-CN"/>
              </w:rPr>
            </w:pPr>
          </w:p>
        </w:tc>
        <w:tc>
          <w:tcPr>
            <w:tcW w:w="1117" w:type="pct"/>
            <w:noWrap/>
            <w:vAlign w:val="center"/>
          </w:tcPr>
          <w:p w14:paraId="74E37AB0">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7</w:t>
            </w:r>
          </w:p>
        </w:tc>
        <w:tc>
          <w:tcPr>
            <w:tcW w:w="1435" w:type="pct"/>
            <w:gridSpan w:val="2"/>
            <w:noWrap/>
            <w:vAlign w:val="center"/>
          </w:tcPr>
          <w:p w14:paraId="320C8BBF">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4712743.6215</w:t>
            </w:r>
          </w:p>
        </w:tc>
        <w:tc>
          <w:tcPr>
            <w:tcW w:w="1541" w:type="pct"/>
            <w:gridSpan w:val="2"/>
            <w:noWrap/>
            <w:vAlign w:val="center"/>
          </w:tcPr>
          <w:p w14:paraId="008982CB">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40435472.9767</w:t>
            </w:r>
          </w:p>
        </w:tc>
      </w:tr>
      <w:tr w14:paraId="0095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03D1AA18">
            <w:pPr>
              <w:pStyle w:val="24"/>
              <w:rPr>
                <w:rFonts w:hint="eastAsia" w:ascii="宋体" w:hAnsi="宋体" w:eastAsia="宋体" w:cs="宋体"/>
                <w:color w:val="auto"/>
                <w:sz w:val="21"/>
                <w:szCs w:val="21"/>
                <w:lang w:val="zh-CN"/>
              </w:rPr>
            </w:pPr>
          </w:p>
        </w:tc>
        <w:tc>
          <w:tcPr>
            <w:tcW w:w="1117" w:type="pct"/>
            <w:noWrap/>
            <w:vAlign w:val="center"/>
          </w:tcPr>
          <w:p w14:paraId="38790691">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8</w:t>
            </w:r>
          </w:p>
        </w:tc>
        <w:tc>
          <w:tcPr>
            <w:tcW w:w="1435" w:type="pct"/>
            <w:gridSpan w:val="2"/>
            <w:noWrap/>
            <w:vAlign w:val="center"/>
          </w:tcPr>
          <w:p w14:paraId="0C537656">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4712531.6188</w:t>
            </w:r>
          </w:p>
        </w:tc>
        <w:tc>
          <w:tcPr>
            <w:tcW w:w="1541" w:type="pct"/>
            <w:gridSpan w:val="2"/>
            <w:noWrap/>
            <w:vAlign w:val="center"/>
          </w:tcPr>
          <w:p w14:paraId="322C1706">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40434287.9742</w:t>
            </w:r>
          </w:p>
        </w:tc>
      </w:tr>
      <w:tr w14:paraId="5079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0303BC76">
            <w:pPr>
              <w:pStyle w:val="24"/>
              <w:rPr>
                <w:rFonts w:hint="eastAsia" w:ascii="宋体" w:hAnsi="宋体" w:eastAsia="宋体" w:cs="宋体"/>
                <w:color w:val="auto"/>
                <w:sz w:val="21"/>
                <w:szCs w:val="21"/>
                <w:lang w:val="zh-CN"/>
              </w:rPr>
            </w:pPr>
          </w:p>
        </w:tc>
        <w:tc>
          <w:tcPr>
            <w:tcW w:w="1117" w:type="pct"/>
            <w:noWrap/>
            <w:vAlign w:val="center"/>
          </w:tcPr>
          <w:p w14:paraId="05444D57">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9</w:t>
            </w:r>
          </w:p>
        </w:tc>
        <w:tc>
          <w:tcPr>
            <w:tcW w:w="1435" w:type="pct"/>
            <w:gridSpan w:val="2"/>
            <w:noWrap/>
            <w:vAlign w:val="center"/>
          </w:tcPr>
          <w:p w14:paraId="3A7E2B18">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4712565.6178</w:t>
            </w:r>
          </w:p>
        </w:tc>
        <w:tc>
          <w:tcPr>
            <w:tcW w:w="1541" w:type="pct"/>
            <w:gridSpan w:val="2"/>
            <w:noWrap/>
            <w:vAlign w:val="center"/>
          </w:tcPr>
          <w:p w14:paraId="73C96172">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40433766.9728</w:t>
            </w:r>
          </w:p>
        </w:tc>
      </w:tr>
      <w:tr w14:paraId="36AD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38525BB4">
            <w:pPr>
              <w:pStyle w:val="24"/>
              <w:rPr>
                <w:rFonts w:hint="eastAsia" w:ascii="宋体" w:hAnsi="宋体" w:eastAsia="宋体" w:cs="宋体"/>
                <w:color w:val="auto"/>
                <w:sz w:val="21"/>
                <w:szCs w:val="21"/>
                <w:lang w:val="zh-CN"/>
              </w:rPr>
            </w:pPr>
          </w:p>
        </w:tc>
        <w:tc>
          <w:tcPr>
            <w:tcW w:w="4094" w:type="pct"/>
            <w:gridSpan w:val="5"/>
            <w:noWrap/>
            <w:vAlign w:val="center"/>
          </w:tcPr>
          <w:p w14:paraId="24004178">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kern w:val="0"/>
                <w:sz w:val="21"/>
                <w:szCs w:val="21"/>
                <w:highlight w:val="none"/>
                <w:shd w:val="clear" w:color="auto" w:fill="auto"/>
              </w:rPr>
              <w:t>面积：3.1752km</w:t>
            </w:r>
            <w:r>
              <w:rPr>
                <w:rFonts w:hint="eastAsia" w:ascii="宋体" w:hAnsi="宋体" w:eastAsia="宋体" w:cs="宋体"/>
                <w:color w:val="auto"/>
                <w:kern w:val="0"/>
                <w:sz w:val="21"/>
                <w:szCs w:val="21"/>
                <w:highlight w:val="none"/>
                <w:shd w:val="clear" w:color="auto" w:fill="auto"/>
                <w:vertAlign w:val="superscript"/>
              </w:rPr>
              <w:t>2</w:t>
            </w:r>
            <w:r>
              <w:rPr>
                <w:rFonts w:hint="eastAsia" w:ascii="宋体" w:hAnsi="宋体" w:eastAsia="宋体" w:cs="宋体"/>
                <w:color w:val="auto"/>
                <w:kern w:val="0"/>
                <w:sz w:val="21"/>
                <w:szCs w:val="21"/>
                <w:highlight w:val="none"/>
                <w:shd w:val="clear" w:color="auto" w:fill="auto"/>
              </w:rPr>
              <w:t>，标高850-600m</w:t>
            </w:r>
            <w:r>
              <w:rPr>
                <w:rFonts w:hint="eastAsia" w:ascii="宋体" w:hAnsi="宋体" w:eastAsia="宋体" w:cs="宋体"/>
                <w:color w:val="auto"/>
                <w:kern w:val="0"/>
                <w:sz w:val="21"/>
                <w:szCs w:val="21"/>
                <w:highlight w:val="none"/>
                <w:shd w:val="clear" w:color="auto" w:fill="auto"/>
                <w:lang w:eastAsia="zh-CN"/>
              </w:rPr>
              <w:t>。</w:t>
            </w:r>
          </w:p>
        </w:tc>
      </w:tr>
      <w:tr w14:paraId="1E6D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14BC7478">
            <w:pPr>
              <w:pStyle w:val="24"/>
              <w:rPr>
                <w:rFonts w:hint="eastAsia" w:ascii="宋体" w:hAnsi="宋体" w:eastAsia="宋体" w:cs="宋体"/>
                <w:color w:val="auto"/>
                <w:sz w:val="21"/>
                <w:szCs w:val="21"/>
                <w:lang w:val="zh-CN"/>
              </w:rPr>
            </w:pPr>
          </w:p>
        </w:tc>
        <w:tc>
          <w:tcPr>
            <w:tcW w:w="1117" w:type="pct"/>
            <w:noWrap/>
            <w:vAlign w:val="center"/>
          </w:tcPr>
          <w:p w14:paraId="4E5E0C6A">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color w:val="auto"/>
                <w:kern w:val="0"/>
                <w:sz w:val="21"/>
                <w:szCs w:val="21"/>
                <w:highlight w:val="none"/>
                <w:shd w:val="clear" w:color="auto" w:fill="auto"/>
              </w:rPr>
              <w:t>10</w:t>
            </w:r>
          </w:p>
        </w:tc>
        <w:tc>
          <w:tcPr>
            <w:tcW w:w="1435" w:type="pct"/>
            <w:gridSpan w:val="2"/>
            <w:noWrap/>
            <w:vAlign w:val="center"/>
          </w:tcPr>
          <w:p w14:paraId="21C8ABFC">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4723765.6670</w:t>
            </w:r>
          </w:p>
        </w:tc>
        <w:tc>
          <w:tcPr>
            <w:tcW w:w="1541" w:type="pct"/>
            <w:gridSpan w:val="2"/>
            <w:noWrap/>
            <w:vAlign w:val="center"/>
          </w:tcPr>
          <w:p w14:paraId="005A4236">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40445885.9800</w:t>
            </w:r>
          </w:p>
        </w:tc>
      </w:tr>
      <w:tr w14:paraId="6AD8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0A9EB6A6">
            <w:pPr>
              <w:pStyle w:val="24"/>
              <w:rPr>
                <w:rFonts w:hint="eastAsia" w:ascii="宋体" w:hAnsi="宋体" w:eastAsia="宋体" w:cs="宋体"/>
                <w:color w:val="auto"/>
                <w:sz w:val="21"/>
                <w:szCs w:val="21"/>
                <w:lang w:val="zh-CN"/>
              </w:rPr>
            </w:pPr>
          </w:p>
        </w:tc>
        <w:tc>
          <w:tcPr>
            <w:tcW w:w="1117" w:type="pct"/>
            <w:noWrap/>
            <w:vAlign w:val="center"/>
          </w:tcPr>
          <w:p w14:paraId="441A5B1B">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color w:val="auto"/>
                <w:kern w:val="0"/>
                <w:sz w:val="21"/>
                <w:szCs w:val="21"/>
                <w:highlight w:val="none"/>
                <w:shd w:val="clear" w:color="auto" w:fill="auto"/>
              </w:rPr>
              <w:t>11</w:t>
            </w:r>
          </w:p>
        </w:tc>
        <w:tc>
          <w:tcPr>
            <w:tcW w:w="1435" w:type="pct"/>
            <w:gridSpan w:val="2"/>
            <w:noWrap/>
            <w:vAlign w:val="center"/>
          </w:tcPr>
          <w:p w14:paraId="165359F6">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4723722.6694</w:t>
            </w:r>
          </w:p>
        </w:tc>
        <w:tc>
          <w:tcPr>
            <w:tcW w:w="1541" w:type="pct"/>
            <w:gridSpan w:val="2"/>
            <w:noWrap/>
            <w:vAlign w:val="center"/>
          </w:tcPr>
          <w:p w14:paraId="44483593">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40447083.9827</w:t>
            </w:r>
          </w:p>
        </w:tc>
      </w:tr>
      <w:tr w14:paraId="3D4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6F92C490">
            <w:pPr>
              <w:pStyle w:val="24"/>
              <w:rPr>
                <w:rFonts w:hint="eastAsia" w:ascii="宋体" w:hAnsi="宋体" w:eastAsia="宋体" w:cs="宋体"/>
                <w:color w:val="auto"/>
                <w:sz w:val="21"/>
                <w:szCs w:val="21"/>
                <w:lang w:val="zh-CN"/>
              </w:rPr>
            </w:pPr>
          </w:p>
        </w:tc>
        <w:tc>
          <w:tcPr>
            <w:tcW w:w="1117" w:type="pct"/>
            <w:noWrap/>
            <w:vAlign w:val="center"/>
          </w:tcPr>
          <w:p w14:paraId="2E8D149A">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color w:val="auto"/>
                <w:kern w:val="0"/>
                <w:sz w:val="21"/>
                <w:szCs w:val="21"/>
                <w:highlight w:val="none"/>
                <w:shd w:val="clear" w:color="auto" w:fill="auto"/>
              </w:rPr>
              <w:t>12</w:t>
            </w:r>
          </w:p>
        </w:tc>
        <w:tc>
          <w:tcPr>
            <w:tcW w:w="1435" w:type="pct"/>
            <w:gridSpan w:val="2"/>
            <w:noWrap/>
            <w:vAlign w:val="center"/>
          </w:tcPr>
          <w:p w14:paraId="1796C9B7">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4722973.6678</w:t>
            </w:r>
          </w:p>
        </w:tc>
        <w:tc>
          <w:tcPr>
            <w:tcW w:w="1541" w:type="pct"/>
            <w:gridSpan w:val="2"/>
            <w:noWrap/>
            <w:vAlign w:val="center"/>
          </w:tcPr>
          <w:p w14:paraId="606F5748">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40447057.9840</w:t>
            </w:r>
          </w:p>
        </w:tc>
      </w:tr>
      <w:tr w14:paraId="7E89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3E3B9496">
            <w:pPr>
              <w:pStyle w:val="24"/>
              <w:rPr>
                <w:rFonts w:hint="eastAsia" w:ascii="宋体" w:hAnsi="宋体" w:eastAsia="宋体" w:cs="宋体"/>
                <w:color w:val="auto"/>
                <w:sz w:val="21"/>
                <w:szCs w:val="21"/>
                <w:lang w:val="zh-CN"/>
              </w:rPr>
            </w:pPr>
          </w:p>
        </w:tc>
        <w:tc>
          <w:tcPr>
            <w:tcW w:w="1117" w:type="pct"/>
            <w:noWrap/>
            <w:vAlign w:val="center"/>
          </w:tcPr>
          <w:p w14:paraId="3E927552">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color w:val="auto"/>
                <w:kern w:val="0"/>
                <w:sz w:val="21"/>
                <w:szCs w:val="21"/>
                <w:highlight w:val="none"/>
                <w:shd w:val="clear" w:color="auto" w:fill="auto"/>
              </w:rPr>
              <w:t>13</w:t>
            </w:r>
          </w:p>
        </w:tc>
        <w:tc>
          <w:tcPr>
            <w:tcW w:w="1435" w:type="pct"/>
            <w:gridSpan w:val="2"/>
            <w:noWrap/>
            <w:vAlign w:val="center"/>
          </w:tcPr>
          <w:p w14:paraId="22D71707">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4723015.6655</w:t>
            </w:r>
          </w:p>
        </w:tc>
        <w:tc>
          <w:tcPr>
            <w:tcW w:w="1541" w:type="pct"/>
            <w:gridSpan w:val="2"/>
            <w:noWrap/>
            <w:vAlign w:val="center"/>
          </w:tcPr>
          <w:p w14:paraId="14CB861B">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40445858.9813</w:t>
            </w:r>
          </w:p>
        </w:tc>
      </w:tr>
      <w:tr w14:paraId="43B6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333D9788">
            <w:pPr>
              <w:pStyle w:val="24"/>
              <w:rPr>
                <w:rFonts w:hint="eastAsia" w:ascii="宋体" w:hAnsi="宋体" w:eastAsia="宋体" w:cs="宋体"/>
                <w:color w:val="auto"/>
                <w:sz w:val="21"/>
                <w:szCs w:val="21"/>
                <w:lang w:val="zh-CN"/>
              </w:rPr>
            </w:pPr>
          </w:p>
        </w:tc>
        <w:tc>
          <w:tcPr>
            <w:tcW w:w="4094" w:type="pct"/>
            <w:gridSpan w:val="5"/>
            <w:noWrap/>
            <w:vAlign w:val="center"/>
          </w:tcPr>
          <w:p w14:paraId="3D464647">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kern w:val="0"/>
                <w:sz w:val="21"/>
                <w:szCs w:val="21"/>
                <w:highlight w:val="none"/>
                <w:shd w:val="clear" w:color="auto" w:fill="auto"/>
              </w:rPr>
              <w:t>面积：0.8994km</w:t>
            </w:r>
            <w:r>
              <w:rPr>
                <w:rFonts w:hint="eastAsia" w:ascii="宋体" w:hAnsi="宋体" w:eastAsia="宋体" w:cs="宋体"/>
                <w:color w:val="auto"/>
                <w:kern w:val="0"/>
                <w:sz w:val="21"/>
                <w:szCs w:val="21"/>
                <w:highlight w:val="none"/>
                <w:shd w:val="clear" w:color="auto" w:fill="auto"/>
                <w:vertAlign w:val="superscript"/>
              </w:rPr>
              <w:t>2</w:t>
            </w:r>
            <w:r>
              <w:rPr>
                <w:rFonts w:hint="eastAsia" w:ascii="宋体" w:hAnsi="宋体" w:eastAsia="宋体" w:cs="宋体"/>
                <w:color w:val="auto"/>
                <w:kern w:val="0"/>
                <w:sz w:val="21"/>
                <w:szCs w:val="21"/>
                <w:highlight w:val="none"/>
                <w:shd w:val="clear" w:color="auto" w:fill="auto"/>
              </w:rPr>
              <w:t>，标高700-500m</w:t>
            </w:r>
            <w:r>
              <w:rPr>
                <w:rFonts w:hint="eastAsia" w:ascii="宋体" w:hAnsi="宋体" w:eastAsia="宋体" w:cs="宋体"/>
                <w:color w:val="auto"/>
                <w:kern w:val="0"/>
                <w:sz w:val="21"/>
                <w:szCs w:val="21"/>
                <w:highlight w:val="none"/>
                <w:shd w:val="clear" w:color="auto" w:fill="auto"/>
                <w:lang w:eastAsia="zh-CN"/>
              </w:rPr>
              <w:t>。</w:t>
            </w:r>
          </w:p>
        </w:tc>
      </w:tr>
      <w:tr w14:paraId="6AF6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51BBF909">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基金计提</w:t>
            </w:r>
          </w:p>
        </w:tc>
        <w:tc>
          <w:tcPr>
            <w:tcW w:w="1820" w:type="pct"/>
            <w:gridSpan w:val="2"/>
            <w:noWrap/>
            <w:vAlign w:val="center"/>
          </w:tcPr>
          <w:p w14:paraId="0996A6EE">
            <w:pPr>
              <w:pStyle w:val="2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904" w:type="pct"/>
            <w:gridSpan w:val="2"/>
            <w:noWrap/>
            <w:vAlign w:val="center"/>
          </w:tcPr>
          <w:p w14:paraId="223B4660">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基金使用</w:t>
            </w:r>
          </w:p>
        </w:tc>
        <w:tc>
          <w:tcPr>
            <w:tcW w:w="1369" w:type="pct"/>
            <w:noWrap/>
            <w:vAlign w:val="center"/>
          </w:tcPr>
          <w:p w14:paraId="6B43E44D">
            <w:pPr>
              <w:pStyle w:val="2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6B5A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ign w:val="center"/>
          </w:tcPr>
          <w:p w14:paraId="33FEB5FC">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矿山企业联系方式</w:t>
            </w:r>
          </w:p>
        </w:tc>
      </w:tr>
      <w:tr w14:paraId="3E3A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0EEE08BE">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联系人</w:t>
            </w:r>
          </w:p>
        </w:tc>
        <w:tc>
          <w:tcPr>
            <w:tcW w:w="3176" w:type="dxa"/>
            <w:gridSpan w:val="2"/>
            <w:noWrap/>
            <w:vAlign w:val="center"/>
          </w:tcPr>
          <w:p w14:paraId="2661AF0A">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车璐飞</w:t>
            </w:r>
          </w:p>
        </w:tc>
        <w:tc>
          <w:tcPr>
            <w:tcW w:w="1579" w:type="dxa"/>
            <w:gridSpan w:val="2"/>
            <w:noWrap/>
            <w:vAlign w:val="center"/>
          </w:tcPr>
          <w:p w14:paraId="1D8D52A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手机号</w:t>
            </w:r>
          </w:p>
        </w:tc>
        <w:tc>
          <w:tcPr>
            <w:tcW w:w="2389" w:type="dxa"/>
            <w:noWrap/>
            <w:vAlign w:val="center"/>
          </w:tcPr>
          <w:p w14:paraId="36277E9F">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18504760036</w:t>
            </w:r>
          </w:p>
        </w:tc>
      </w:tr>
      <w:tr w14:paraId="62AD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65FE552F">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通讯地址</w:t>
            </w:r>
          </w:p>
        </w:tc>
        <w:tc>
          <w:tcPr>
            <w:tcW w:w="3176" w:type="dxa"/>
            <w:gridSpan w:val="2"/>
            <w:noWrap/>
            <w:vAlign w:val="center"/>
          </w:tcPr>
          <w:p w14:paraId="03ACDB6C">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赤峰市新城区玉龙大街中核大厦</w:t>
            </w:r>
          </w:p>
        </w:tc>
        <w:tc>
          <w:tcPr>
            <w:tcW w:w="1579" w:type="dxa"/>
            <w:gridSpan w:val="2"/>
            <w:noWrap/>
            <w:vAlign w:val="center"/>
          </w:tcPr>
          <w:p w14:paraId="756D233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邮编</w:t>
            </w:r>
          </w:p>
        </w:tc>
        <w:tc>
          <w:tcPr>
            <w:tcW w:w="2389" w:type="dxa"/>
            <w:noWrap/>
            <w:vAlign w:val="center"/>
          </w:tcPr>
          <w:p w14:paraId="6C51DBFA">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024000</w:t>
            </w:r>
          </w:p>
        </w:tc>
      </w:tr>
      <w:tr w14:paraId="6D65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611D1EE7">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固定电话</w:t>
            </w:r>
          </w:p>
        </w:tc>
        <w:tc>
          <w:tcPr>
            <w:tcW w:w="3176" w:type="dxa"/>
            <w:gridSpan w:val="2"/>
            <w:noWrap/>
            <w:vAlign w:val="center"/>
          </w:tcPr>
          <w:p w14:paraId="59DE2038">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04765678700</w:t>
            </w:r>
          </w:p>
        </w:tc>
        <w:tc>
          <w:tcPr>
            <w:tcW w:w="1579" w:type="dxa"/>
            <w:gridSpan w:val="2"/>
            <w:noWrap/>
            <w:vAlign w:val="center"/>
          </w:tcPr>
          <w:p w14:paraId="24824A1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E-mail</w:t>
            </w:r>
          </w:p>
        </w:tc>
        <w:tc>
          <w:tcPr>
            <w:tcW w:w="2389" w:type="dxa"/>
            <w:noWrap/>
            <w:vAlign w:val="center"/>
          </w:tcPr>
          <w:p w14:paraId="61D9F639">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CFKYJT@163.com</w:t>
            </w:r>
          </w:p>
        </w:tc>
      </w:tr>
    </w:tbl>
    <w:p w14:paraId="74A25DA7">
      <w:pPr>
        <w:widowControl/>
        <w:ind w:firstLine="562"/>
        <w:jc w:val="center"/>
        <w:rPr>
          <w:rFonts w:hint="eastAsia" w:ascii="宋体" w:hAnsi="宋体" w:eastAsia="宋体" w:cs="宋体"/>
          <w:b/>
          <w:color w:val="auto"/>
          <w:highlight w:val="yellow"/>
        </w:rPr>
        <w:sectPr>
          <w:footerReference r:id="rId7" w:type="default"/>
          <w:pgSz w:w="11910" w:h="16840"/>
          <w:pgMar w:top="1701" w:right="1701" w:bottom="1701" w:left="1701" w:header="851" w:footer="992" w:gutter="0"/>
          <w:pgNumType w:start="1"/>
          <w:cols w:space="720" w:num="1"/>
        </w:sectPr>
      </w:pPr>
    </w:p>
    <w:p w14:paraId="3FBECE85">
      <w:pPr>
        <w:pStyle w:val="3"/>
        <w:jc w:val="center"/>
        <w:rPr>
          <w:rStyle w:val="22"/>
          <w:rFonts w:hint="eastAsia" w:ascii="宋体" w:hAnsi="宋体" w:eastAsia="宋体" w:cs="宋体"/>
          <w:b/>
          <w:bCs/>
          <w:color w:val="auto"/>
        </w:rPr>
      </w:pPr>
      <w:bookmarkStart w:id="8" w:name="_Toc17616"/>
      <w:bookmarkStart w:id="9" w:name="_Toc11838"/>
      <w:bookmarkStart w:id="10" w:name="_Toc24097"/>
      <w:bookmarkStart w:id="11" w:name="_Toc31921"/>
      <w:bookmarkStart w:id="12" w:name="_Toc29154"/>
      <w:bookmarkStart w:id="13" w:name="_Toc16070"/>
      <w:bookmarkStart w:id="14" w:name="_Toc6618"/>
      <w:r>
        <w:rPr>
          <w:rStyle w:val="22"/>
          <w:rFonts w:hint="eastAsia" w:ascii="宋体" w:hAnsi="宋体" w:eastAsia="宋体" w:cs="宋体"/>
          <w:b/>
          <w:bCs/>
          <w:color w:val="auto"/>
          <w:lang w:val="en-US" w:eastAsia="zh-CN"/>
        </w:rPr>
        <w:t>二、</w:t>
      </w:r>
      <w:r>
        <w:rPr>
          <w:rStyle w:val="22"/>
          <w:rFonts w:hint="eastAsia" w:ascii="宋体" w:hAnsi="宋体" w:eastAsia="宋体" w:cs="宋体"/>
          <w:b/>
          <w:bCs/>
          <w:color w:val="auto"/>
        </w:rPr>
        <w:t>矿山地质环境治理方案的编制与执行情况</w:t>
      </w:r>
      <w:bookmarkEnd w:id="8"/>
      <w:bookmarkEnd w:id="9"/>
      <w:bookmarkEnd w:id="10"/>
      <w:bookmarkEnd w:id="11"/>
      <w:bookmarkEnd w:id="12"/>
      <w:bookmarkEnd w:id="13"/>
      <w:bookmarkEnd w:id="14"/>
    </w:p>
    <w:p w14:paraId="36E70A3F">
      <w:pPr>
        <w:ind w:firstLine="562"/>
        <w:outlineLvl w:val="1"/>
        <w:rPr>
          <w:rFonts w:hint="default" w:ascii="宋体" w:hAnsi="宋体" w:eastAsia="宋体" w:cs="宋体"/>
          <w:b/>
          <w:bCs/>
          <w:color w:val="auto"/>
          <w:lang w:val="en-US" w:eastAsia="zh-CN"/>
        </w:rPr>
      </w:pPr>
      <w:bookmarkStart w:id="15" w:name="_Toc12170"/>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）矿山地质环境治理方案</w:t>
      </w:r>
      <w:r>
        <w:rPr>
          <w:rFonts w:hint="eastAsia" w:ascii="宋体" w:hAnsi="宋体" w:eastAsia="宋体" w:cs="宋体"/>
          <w:b/>
          <w:bCs/>
          <w:color w:val="auto"/>
          <w:sz w:val="24"/>
          <w:szCs w:val="24"/>
          <w:lang w:val="en-US" w:eastAsia="zh-CN"/>
        </w:rPr>
        <w:t>编制情况</w:t>
      </w:r>
      <w:bookmarkEnd w:id="15"/>
    </w:p>
    <w:p w14:paraId="59DE1A65">
      <w:pPr>
        <w:keepNext w:val="0"/>
        <w:keepLines w:val="0"/>
        <w:pageBreakBefore w:val="0"/>
        <w:widowControl/>
        <w:suppressLineNumbers w:val="0"/>
        <w:kinsoku/>
        <w:overflowPunct/>
        <w:topLinePunct w:val="0"/>
        <w:autoSpaceDE/>
        <w:autoSpaceDN/>
        <w:bidi w:val="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采矿权人赤峰矿业（集团）有限责任公司于2021年3月委托</w:t>
      </w:r>
      <w:r>
        <w:rPr>
          <w:rFonts w:hint="default" w:ascii="Times New Roman" w:hAnsi="Times New Roman" w:eastAsia="宋体" w:cs="Times New Roman"/>
          <w:color w:val="auto"/>
          <w:kern w:val="0"/>
          <w:sz w:val="24"/>
          <w:szCs w:val="24"/>
          <w:lang w:val="en-US" w:eastAsia="zh-CN" w:bidi="ar"/>
        </w:rPr>
        <w:t>中国建筑材料工业地质勘查中心辽宁总队</w:t>
      </w:r>
      <w:r>
        <w:rPr>
          <w:rFonts w:hint="default" w:ascii="Times New Roman" w:hAnsi="Times New Roman" w:eastAsia="宋体" w:cs="Times New Roman"/>
          <w:color w:val="auto"/>
          <w:sz w:val="24"/>
          <w:szCs w:val="24"/>
          <w:lang w:val="en-US" w:eastAsia="zh-CN"/>
        </w:rPr>
        <w:t>编制了《</w:t>
      </w:r>
      <w:r>
        <w:rPr>
          <w:rFonts w:hint="default" w:ascii="Times New Roman" w:hAnsi="Times New Roman" w:eastAsia="宋体" w:cs="Times New Roman"/>
          <w:color w:val="auto"/>
          <w:kern w:val="0"/>
          <w:sz w:val="24"/>
          <w:szCs w:val="24"/>
          <w:lang w:val="en-US" w:eastAsia="zh-CN" w:bidi="ar"/>
        </w:rPr>
        <w:t>赤峰矿业（集团）有限责任公司松山区羊草沟-下歪脖子井白云岩矿矿山地质环境保护与土地复垦方案</w:t>
      </w:r>
      <w:r>
        <w:rPr>
          <w:rFonts w:hint="default" w:ascii="Times New Roman" w:hAnsi="Times New Roman" w:eastAsia="宋体" w:cs="Times New Roman"/>
          <w:color w:val="auto"/>
          <w:sz w:val="24"/>
          <w:szCs w:val="24"/>
          <w:lang w:val="en-US" w:eastAsia="zh-CN"/>
        </w:rPr>
        <w:t>》。</w:t>
      </w:r>
    </w:p>
    <w:p w14:paraId="2564A0D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2021年9月11日，受赤峰市自然资源局委托，内蒙古赤峰地质矿产勘查开发有限责任公司组织有关专家在赤峰市召开会议，对由</w:t>
      </w:r>
      <w:r>
        <w:rPr>
          <w:rFonts w:hint="default" w:ascii="Times New Roman" w:hAnsi="Times New Roman" w:eastAsia="宋体" w:cs="Times New Roman"/>
          <w:color w:val="auto"/>
          <w:kern w:val="0"/>
          <w:sz w:val="24"/>
          <w:szCs w:val="24"/>
          <w:lang w:val="en-US" w:eastAsia="zh-CN" w:bidi="ar"/>
        </w:rPr>
        <w:t>中国建筑材料工业地质勘查中心辽宁总队</w:t>
      </w:r>
      <w:r>
        <w:rPr>
          <w:rFonts w:hint="default" w:ascii="Times New Roman" w:hAnsi="Times New Roman" w:eastAsia="宋体" w:cs="Times New Roman"/>
          <w:color w:val="auto"/>
          <w:sz w:val="24"/>
          <w:szCs w:val="24"/>
          <w:lang w:val="en-US" w:eastAsia="zh-CN"/>
        </w:rPr>
        <w:t>编制、赤峰矿业（集团）有限责任公司提交的《</w:t>
      </w:r>
      <w:r>
        <w:rPr>
          <w:rFonts w:hint="default" w:ascii="Times New Roman" w:hAnsi="Times New Roman" w:eastAsia="宋体" w:cs="Times New Roman"/>
          <w:color w:val="auto"/>
          <w:kern w:val="0"/>
          <w:sz w:val="24"/>
          <w:szCs w:val="24"/>
          <w:lang w:val="en-US" w:eastAsia="zh-CN" w:bidi="ar"/>
        </w:rPr>
        <w:t>赤峰矿业（集团）有限责任公司松山区羊草沟-下歪脖子井白云岩矿矿山地质环境保护与土地复垦方案</w:t>
      </w:r>
      <w:r>
        <w:rPr>
          <w:rFonts w:hint="default" w:ascii="Times New Roman" w:hAnsi="Times New Roman" w:eastAsia="宋体" w:cs="Times New Roman"/>
          <w:color w:val="auto"/>
          <w:sz w:val="24"/>
          <w:szCs w:val="24"/>
          <w:lang w:val="en-US" w:eastAsia="zh-CN"/>
        </w:rPr>
        <w:t>》（以下简称《方案》）进行了审查。</w:t>
      </w:r>
    </w:p>
    <w:p w14:paraId="1C62D529">
      <w:pPr>
        <w:keepNext w:val="0"/>
        <w:keepLines w:val="0"/>
        <w:pageBreakBefore w:val="0"/>
        <w:kinsoku/>
        <w:overflowPunct/>
        <w:topLinePunct w:val="0"/>
        <w:autoSpaceDE/>
        <w:autoSpaceDN/>
        <w:bidi w:val="0"/>
        <w:ind w:firstLine="560"/>
        <w:jc w:val="left"/>
        <w:textAlignment w:val="auto"/>
        <w:rPr>
          <w:rFonts w:hint="eastAsia" w:ascii="宋体" w:hAnsi="宋体" w:eastAsia="宋体" w:cs="宋体"/>
          <w:color w:val="auto"/>
          <w:lang w:eastAsia="zh-CN"/>
        </w:rPr>
      </w:pPr>
      <w:r>
        <w:rPr>
          <w:rFonts w:hint="default" w:ascii="Times New Roman" w:hAnsi="Times New Roman" w:eastAsia="宋体" w:cs="Times New Roman"/>
          <w:color w:val="auto"/>
          <w:sz w:val="24"/>
          <w:szCs w:val="24"/>
          <w:lang w:val="en-US" w:eastAsia="zh-CN"/>
        </w:rPr>
        <w:t>评审结果，《方案》通过了内蒙古赤峰地质矿产勘查开发有限责任公司组织的专家审查（评审文号：赤矿治评字[2021]138号）。</w:t>
      </w:r>
    </w:p>
    <w:p w14:paraId="3C1D49DE">
      <w:pPr>
        <w:keepNext w:val="0"/>
        <w:keepLines w:val="0"/>
        <w:pageBreakBefore w:val="0"/>
        <w:widowControl w:val="0"/>
        <w:kinsoku/>
        <w:wordWrap w:val="0"/>
        <w:overflowPunct/>
        <w:topLinePunct w:val="0"/>
        <w:autoSpaceDE/>
        <w:autoSpaceDN/>
        <w:bidi w:val="0"/>
        <w:adjustRightInd/>
        <w:snapToGrid/>
        <w:ind w:firstLine="560"/>
        <w:textAlignment w:val="auto"/>
        <w:outlineLvl w:val="1"/>
        <w:rPr>
          <w:rFonts w:hint="eastAsia" w:ascii="宋体" w:hAnsi="宋体" w:eastAsia="宋体" w:cs="宋体"/>
          <w:color w:val="auto"/>
          <w:lang w:eastAsia="zh-CN"/>
        </w:rPr>
      </w:pPr>
      <w:bookmarkStart w:id="16" w:name="_Toc2635"/>
      <w:bookmarkStart w:id="17" w:name="_Toc31597"/>
      <w:r>
        <w:rPr>
          <w:rFonts w:hint="eastAsia" w:ascii="Times New Roman" w:hAnsi="Times New Roman" w:eastAsia="宋体" w:cs="Times New Roman"/>
          <w:b/>
          <w:bCs/>
          <w:color w:val="auto"/>
          <w:sz w:val="24"/>
          <w:szCs w:val="24"/>
          <w:lang w:val="en-US" w:eastAsia="zh-CN"/>
        </w:rPr>
        <w:t>（二）</w:t>
      </w:r>
      <w:r>
        <w:rPr>
          <w:rFonts w:hint="default" w:ascii="Times New Roman" w:hAnsi="Times New Roman" w:eastAsia="宋体" w:cs="Times New Roman"/>
          <w:b/>
          <w:bCs/>
          <w:color w:val="auto"/>
          <w:sz w:val="24"/>
          <w:szCs w:val="24"/>
          <w:lang w:val="en-US" w:eastAsia="zh-CN"/>
        </w:rPr>
        <w:t>治理方案规划的近期治理工程内容</w:t>
      </w:r>
      <w:bookmarkEnd w:id="16"/>
      <w:bookmarkEnd w:id="17"/>
    </w:p>
    <w:p w14:paraId="4CE60D7C">
      <w:pPr>
        <w:pStyle w:val="55"/>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矿山地质环境保护与土地复垦方案》规划的近期（首期）治理工程实施时间为2021年1月1日-2025年12月31日，近期治理工程对象为</w:t>
      </w:r>
      <w:r>
        <w:rPr>
          <w:rFonts w:hint="default" w:ascii="Times New Roman" w:hAnsi="Times New Roman" w:eastAsia="宋体" w:cs="Times New Roman"/>
          <w:b/>
          <w:bCs/>
          <w:color w:val="auto"/>
          <w:sz w:val="24"/>
          <w:szCs w:val="24"/>
        </w:rPr>
        <w:t>下歪脖子井采区</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rPr>
        <w:t>CK1、CK2、废石堆、钻机平台（ZJPT1~ZIPT2）、探槽（TC1～TC28）、矿区道路（部分路段）</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羊</w:t>
      </w:r>
      <w:r>
        <w:rPr>
          <w:rFonts w:hint="default" w:ascii="Times New Roman" w:hAnsi="Times New Roman" w:eastAsia="宋体" w:cs="Times New Roman"/>
          <w:color w:val="auto"/>
          <w:sz w:val="24"/>
          <w:szCs w:val="24"/>
        </w:rPr>
        <w:t>草沟采区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钻机平台（ZJPT1~ZJPT5）、探槽（TC1～TC4）及矿区道路</w:t>
      </w:r>
      <w:r>
        <w:rPr>
          <w:rFonts w:hint="default" w:ascii="Times New Roman" w:hAnsi="Times New Roman" w:eastAsia="宋体" w:cs="Times New Roman"/>
          <w:color w:val="auto"/>
          <w:sz w:val="24"/>
          <w:szCs w:val="24"/>
          <w:lang w:val="en-US" w:eastAsia="zh-CN"/>
        </w:rPr>
        <w:t>。</w:t>
      </w:r>
    </w:p>
    <w:p w14:paraId="76251669">
      <w:pPr>
        <w:keepNext w:val="0"/>
        <w:keepLines w:val="0"/>
        <w:pageBreakBefore w:val="0"/>
        <w:widowControl w:val="0"/>
        <w:kinsoku/>
        <w:overflowPunct/>
        <w:topLinePunct w:val="0"/>
        <w:bidi w:val="0"/>
        <w:snapToGrid/>
        <w:ind w:firstLine="56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各单元设计治理工程措施如下：</w:t>
      </w:r>
    </w:p>
    <w:p w14:paraId="77E67FFE">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下歪脖子井采区</w:t>
      </w:r>
    </w:p>
    <w:p w14:paraId="2CC6CACB">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1、拟建</w:t>
      </w:r>
      <w:r>
        <w:rPr>
          <w:rFonts w:hint="default" w:ascii="Times New Roman" w:hAnsi="Times New Roman" w:eastAsia="宋体" w:cs="Times New Roman"/>
          <w:color w:val="auto"/>
          <w:sz w:val="24"/>
          <w:szCs w:val="24"/>
        </w:rPr>
        <w:t>露天采场</w:t>
      </w:r>
    </w:p>
    <w:p w14:paraId="74946378">
      <w:pPr>
        <w:pStyle w:val="34"/>
        <w:keepNext w:val="0"/>
        <w:keepLines w:val="0"/>
        <w:pageBreakBefore w:val="0"/>
        <w:widowControl w:val="0"/>
        <w:kinsoku/>
        <w:overflowPunct/>
        <w:topLinePunct w:val="0"/>
        <w:bidi w:val="0"/>
        <w:snapToGrid/>
        <w:spacing w:line="360" w:lineRule="auto"/>
        <w:ind w:firstLine="496"/>
        <w:jc w:val="left"/>
        <w:textAlignment w:val="auto"/>
        <w:rPr>
          <w:rFonts w:hint="default" w:ascii="Times New Roman" w:hAnsi="Times New Roman" w:eastAsia="宋体" w:cs="Times New Roman"/>
          <w:color w:val="auto"/>
          <w:spacing w:val="4"/>
          <w:kern w:val="0"/>
          <w:sz w:val="24"/>
          <w:szCs w:val="24"/>
        </w:rPr>
      </w:pPr>
      <w:r>
        <w:rPr>
          <w:rFonts w:hint="default" w:ascii="Times New Roman" w:hAnsi="Times New Roman" w:eastAsia="宋体" w:cs="Times New Roman"/>
          <w:color w:val="auto"/>
          <w:spacing w:val="4"/>
          <w:kern w:val="0"/>
          <w:sz w:val="24"/>
          <w:szCs w:val="24"/>
        </w:rPr>
        <w:t>近期对拟建露天采场拟开采区域进行表土剥离，表土堆存于拟建表土存放场。矿山生产要严格按《开发利用方案》施工，在拟建露天采场外围边界设置警示牌及网围栏、及时清理危岩体，对到界的615m、595m台阶进行清理然后覆土、恢复植被。</w:t>
      </w:r>
    </w:p>
    <w:p w14:paraId="0CCF561B">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2、CK1</w:t>
      </w:r>
    </w:p>
    <w:p w14:paraId="405B23B8">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近期对CK1利用废石堆废石进行回填至接近原始地形，对回填后的场地进行覆土，撒播草籽，管护。</w:t>
      </w:r>
    </w:p>
    <w:p w14:paraId="5D8C0273">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3、CK2</w:t>
      </w:r>
    </w:p>
    <w:p w14:paraId="3011F6AC">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近期对CK2利用周边废石回填至接近原始地形，对回填后的场地进行覆土，撒播草籽，管护。</w:t>
      </w:r>
    </w:p>
    <w:p w14:paraId="703EB643">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4、拟建1#废石场</w:t>
      </w:r>
    </w:p>
    <w:p w14:paraId="153C6E3F">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近期，对场地进行表土剥离，</w:t>
      </w:r>
      <w:r>
        <w:rPr>
          <w:rFonts w:hint="default" w:ascii="Times New Roman" w:hAnsi="Times New Roman" w:eastAsia="宋体" w:cs="Times New Roman"/>
          <w:color w:val="auto"/>
          <w:spacing w:val="4"/>
          <w:kern w:val="0"/>
          <w:sz w:val="24"/>
          <w:szCs w:val="24"/>
        </w:rPr>
        <w:t>表土用于近期治理场地，多余表土堆存至拟建表土存放场，在下游设置挡渣墙。</w:t>
      </w:r>
    </w:p>
    <w:p w14:paraId="6DD38EFD">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5、拟建2#废石场</w:t>
      </w:r>
    </w:p>
    <w:p w14:paraId="534DE3C3">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近期，对场地进行表土剥离，</w:t>
      </w:r>
      <w:r>
        <w:rPr>
          <w:rFonts w:hint="default" w:ascii="Times New Roman" w:hAnsi="Times New Roman" w:eastAsia="宋体" w:cs="Times New Roman"/>
          <w:color w:val="auto"/>
          <w:spacing w:val="4"/>
          <w:kern w:val="0"/>
          <w:sz w:val="24"/>
          <w:szCs w:val="24"/>
        </w:rPr>
        <w:t>表土用于近期治理场地，多余表土堆存至拟建表土存放场。</w:t>
      </w:r>
    </w:p>
    <w:p w14:paraId="2E64F889">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6、废石堆</w:t>
      </w:r>
    </w:p>
    <w:p w14:paraId="6DB17334">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近期对废石堆清运至CK1作为回填物料，对清运后的场地覆土、撒播草籽，管护。</w:t>
      </w:r>
    </w:p>
    <w:p w14:paraId="524D3588">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7、钻机平台（ZJPT1~ZIPT2）</w:t>
      </w:r>
    </w:p>
    <w:p w14:paraId="4FEB615D">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近期利用周边废石对场地进行回填，然后覆土、撒播草籽、管护。</w:t>
      </w:r>
    </w:p>
    <w:p w14:paraId="726C1959">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8、探槽（TC1～TC28）</w:t>
      </w:r>
    </w:p>
    <w:p w14:paraId="1B0550BB">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近期利用探槽周边堆放废石渣对其进行回填，然后全面覆土、撒播草籽、管护。</w:t>
      </w:r>
    </w:p>
    <w:p w14:paraId="3FEBA885">
      <w:pPr>
        <w:keepNext w:val="0"/>
        <w:keepLines w:val="0"/>
        <w:pageBreakBefore w:val="0"/>
        <w:widowControl w:val="0"/>
        <w:kinsoku/>
        <w:overflowPunct/>
        <w:topLinePunct w:val="0"/>
        <w:bidi w:val="0"/>
        <w:snapToGrid/>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9、拟建表土存放场</w:t>
      </w:r>
    </w:p>
    <w:p w14:paraId="7D46009C">
      <w:pPr>
        <w:keepNext w:val="0"/>
        <w:keepLines w:val="0"/>
        <w:pageBreakBefore w:val="0"/>
        <w:widowControl w:val="0"/>
        <w:kinsoku/>
        <w:overflowPunct/>
        <w:topLinePunct w:val="0"/>
        <w:bidi w:val="0"/>
        <w:snapToGrid/>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近期，对场地堆积表土撒播草籽保护土壤。</w:t>
      </w:r>
    </w:p>
    <w:p w14:paraId="49BD72D5">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10、拟建工业场地</w:t>
      </w:r>
    </w:p>
    <w:p w14:paraId="36EA05E5">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近期对场地表土剥离，表土集中堆放至表土存放场；在场地周围建设花坛，绿化美化。</w:t>
      </w:r>
    </w:p>
    <w:p w14:paraId="2DE10D8C">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11、矿区道路</w:t>
      </w:r>
    </w:p>
    <w:p w14:paraId="7D7BB46D">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近期对不利用路段进行治理，然后全面覆土，撒播草籽、管护。</w:t>
      </w:r>
    </w:p>
    <w:p w14:paraId="68E7FE12">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羊草沟采区：</w:t>
      </w:r>
    </w:p>
    <w:p w14:paraId="619A900D">
      <w:pPr>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pacing w:val="-4"/>
          <w:sz w:val="24"/>
          <w:szCs w:val="24"/>
        </w:rPr>
        <w:t>1</w:t>
      </w:r>
      <w:r>
        <w:rPr>
          <w:rFonts w:hint="default" w:ascii="Times New Roman" w:hAnsi="Times New Roman" w:eastAsia="宋体" w:cs="Times New Roman"/>
          <w:bCs/>
          <w:color w:val="auto"/>
          <w:sz w:val="24"/>
          <w:szCs w:val="24"/>
        </w:rPr>
        <w:t>、钻机平台（ZJPT1~ZJPT5）</w:t>
      </w:r>
    </w:p>
    <w:p w14:paraId="22865EBF">
      <w:pPr>
        <w:keepNext w:val="0"/>
        <w:keepLines w:val="0"/>
        <w:pageBreakBefore w:val="0"/>
        <w:widowControl w:val="0"/>
        <w:kinsoku/>
        <w:overflowPunct/>
        <w:topLinePunct w:val="0"/>
        <w:bidi w:val="0"/>
        <w:snapToGrid/>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近期利用周边废石对场地进行回填，然后覆土、恢复植被、管护。</w:t>
      </w:r>
    </w:p>
    <w:p w14:paraId="4716BF3C">
      <w:pPr>
        <w:keepNext w:val="0"/>
        <w:keepLines w:val="0"/>
        <w:pageBreakBefore w:val="0"/>
        <w:widowControl w:val="0"/>
        <w:kinsoku/>
        <w:overflowPunct/>
        <w:topLinePunct w:val="0"/>
        <w:bidi w:val="0"/>
        <w:snapToGrid/>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2、探槽（TC1～TC4）</w:t>
      </w:r>
    </w:p>
    <w:p w14:paraId="2134BFBC">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近期利用探槽周边堆放废石渣对其进行回填，然后全面覆土、恢复植被、管护。</w:t>
      </w:r>
    </w:p>
    <w:p w14:paraId="51585694">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3、矿区道路</w:t>
      </w:r>
    </w:p>
    <w:p w14:paraId="2A26DD38">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近期对不利用路段进行治理，然后全面覆土，撒播草籽、管护。</w:t>
      </w:r>
    </w:p>
    <w:p w14:paraId="667452DC">
      <w:pPr>
        <w:keepNext w:val="0"/>
        <w:keepLines w:val="0"/>
        <w:pageBreakBefore w:val="0"/>
        <w:widowControl w:val="0"/>
        <w:kinsoku/>
        <w:overflowPunct/>
        <w:topLinePunct w:val="0"/>
        <w:bidi w:val="0"/>
        <w:snapToGrid/>
        <w:ind w:left="0" w:leftChars="0" w:firstLine="480" w:firstLineChars="200"/>
        <w:jc w:val="left"/>
        <w:textAlignment w:val="auto"/>
        <w:rPr>
          <w:rFonts w:hint="eastAsia" w:ascii="宋体" w:hAnsi="宋体" w:eastAsia="宋体" w:cs="宋体"/>
          <w:color w:val="auto"/>
          <w:sz w:val="28"/>
          <w:szCs w:val="28"/>
        </w:rPr>
      </w:pPr>
      <w:r>
        <w:rPr>
          <w:rFonts w:hint="default" w:ascii="Times New Roman" w:hAnsi="Times New Roman" w:eastAsia="宋体" w:cs="Times New Roman"/>
          <w:bCs/>
          <w:color w:val="auto"/>
          <w:kern w:val="0"/>
          <w:sz w:val="24"/>
          <w:szCs w:val="24"/>
        </w:rPr>
        <w:t>矿山生产期间及管护期，对各工程场地地质灾害、地形地貌景观及土地资源、地下水水质进行监测；对复垦植被进行管护</w:t>
      </w:r>
      <w:r>
        <w:rPr>
          <w:rFonts w:hint="default" w:ascii="Times New Roman" w:hAnsi="Times New Roman" w:eastAsia="宋体" w:cs="Times New Roman"/>
          <w:color w:val="auto"/>
          <w:sz w:val="24"/>
          <w:szCs w:val="24"/>
        </w:rPr>
        <w:t>。</w:t>
      </w:r>
    </w:p>
    <w:p w14:paraId="34CFB6F7">
      <w:pPr>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4"/>
          <w:szCs w:val="24"/>
        </w:rPr>
        <w:t>具体治理工程年度实施计划见表</w:t>
      </w:r>
      <w:r>
        <w:rPr>
          <w:rFonts w:hint="eastAsia" w:ascii="宋体" w:hAnsi="宋体" w:eastAsia="宋体" w:cs="宋体"/>
          <w:color w:val="auto"/>
          <w:sz w:val="24"/>
          <w:szCs w:val="24"/>
          <w:lang w:val="en-US" w:eastAsia="zh-CN"/>
        </w:rPr>
        <w:t>2-1。</w:t>
      </w:r>
    </w:p>
    <w:p w14:paraId="699406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表</w:t>
      </w: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 xml:space="preserve">  矿山地质环境近期治理年度实施计划安排表</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117"/>
        <w:gridCol w:w="1732"/>
        <w:gridCol w:w="1087"/>
        <w:gridCol w:w="2339"/>
        <w:gridCol w:w="1353"/>
      </w:tblGrid>
      <w:tr w14:paraId="5C93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shd w:val="clear" w:color="auto" w:fill="auto"/>
            <w:vAlign w:val="center"/>
          </w:tcPr>
          <w:p w14:paraId="434C6F1D">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治理时</w:t>
            </w:r>
            <w:r>
              <w:rPr>
                <w:rFonts w:hint="eastAsia" w:ascii="宋体" w:hAnsi="宋体" w:eastAsia="宋体" w:cs="宋体"/>
                <w:color w:val="auto"/>
                <w:kern w:val="0"/>
                <w:sz w:val="21"/>
                <w:szCs w:val="21"/>
                <w:highlight w:val="none"/>
                <w:lang w:eastAsia="zh-CN"/>
              </w:rPr>
              <w:t>间</w:t>
            </w:r>
            <w:r>
              <w:rPr>
                <w:rFonts w:hint="eastAsia" w:ascii="宋体" w:hAnsi="宋体" w:eastAsia="宋体" w:cs="宋体"/>
                <w:color w:val="auto"/>
                <w:kern w:val="0"/>
                <w:sz w:val="21"/>
                <w:szCs w:val="21"/>
                <w:highlight w:val="none"/>
              </w:rPr>
              <w:t>（年）</w:t>
            </w:r>
          </w:p>
        </w:tc>
        <w:tc>
          <w:tcPr>
            <w:tcW w:w="2849" w:type="dxa"/>
            <w:gridSpan w:val="2"/>
            <w:shd w:val="clear" w:color="auto" w:fill="auto"/>
            <w:vAlign w:val="center"/>
          </w:tcPr>
          <w:p w14:paraId="431F1723">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治理工程场地</w:t>
            </w:r>
          </w:p>
        </w:tc>
        <w:tc>
          <w:tcPr>
            <w:tcW w:w="1087" w:type="dxa"/>
            <w:vAlign w:val="center"/>
          </w:tcPr>
          <w:p w14:paraId="591D32EE">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面积（m</w:t>
            </w:r>
            <w:r>
              <w:rPr>
                <w:rFonts w:hint="eastAsia" w:ascii="宋体" w:hAnsi="宋体" w:eastAsia="宋体" w:cs="宋体"/>
                <w:color w:val="auto"/>
                <w:kern w:val="0"/>
                <w:sz w:val="21"/>
                <w:szCs w:val="21"/>
                <w:highlight w:val="none"/>
                <w:vertAlign w:val="superscript"/>
              </w:rPr>
              <w:t>2</w:t>
            </w:r>
            <w:r>
              <w:rPr>
                <w:rFonts w:hint="eastAsia" w:ascii="宋体" w:hAnsi="宋体" w:eastAsia="宋体" w:cs="宋体"/>
                <w:color w:val="auto"/>
                <w:kern w:val="0"/>
                <w:sz w:val="21"/>
                <w:szCs w:val="21"/>
                <w:highlight w:val="none"/>
              </w:rPr>
              <w:t>）</w:t>
            </w:r>
          </w:p>
        </w:tc>
        <w:tc>
          <w:tcPr>
            <w:tcW w:w="3692" w:type="dxa"/>
            <w:gridSpan w:val="2"/>
            <w:shd w:val="clear" w:color="auto" w:fill="auto"/>
            <w:vAlign w:val="center"/>
          </w:tcPr>
          <w:p w14:paraId="2FB25D0B">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治理工程量</w:t>
            </w:r>
          </w:p>
        </w:tc>
      </w:tr>
      <w:tr w14:paraId="0404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vAlign w:val="center"/>
          </w:tcPr>
          <w:p w14:paraId="29ACE16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.1.1-</w:t>
            </w:r>
          </w:p>
          <w:p w14:paraId="23C27DFD">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.12.31</w:t>
            </w:r>
          </w:p>
        </w:tc>
        <w:tc>
          <w:tcPr>
            <w:tcW w:w="1117" w:type="dxa"/>
            <w:vMerge w:val="restart"/>
            <w:shd w:val="clear" w:color="auto" w:fill="auto"/>
            <w:noWrap/>
            <w:vAlign w:val="center"/>
          </w:tcPr>
          <w:p w14:paraId="65319D29">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vMerge w:val="restart"/>
            <w:shd w:val="clear" w:color="auto" w:fill="auto"/>
            <w:noWrap/>
            <w:vAlign w:val="center"/>
          </w:tcPr>
          <w:p w14:paraId="469528BB">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rPr>
              <w:t>露天采场</w:t>
            </w:r>
          </w:p>
        </w:tc>
        <w:tc>
          <w:tcPr>
            <w:tcW w:w="1087" w:type="dxa"/>
            <w:vMerge w:val="restart"/>
            <w:vAlign w:val="center"/>
          </w:tcPr>
          <w:p w14:paraId="04A0AFE6">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65522</w:t>
            </w:r>
          </w:p>
        </w:tc>
        <w:tc>
          <w:tcPr>
            <w:tcW w:w="2339" w:type="dxa"/>
            <w:shd w:val="clear" w:color="auto" w:fill="auto"/>
            <w:vAlign w:val="center"/>
          </w:tcPr>
          <w:p w14:paraId="25581F46">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网围栏（m）</w:t>
            </w:r>
          </w:p>
        </w:tc>
        <w:tc>
          <w:tcPr>
            <w:tcW w:w="1353" w:type="dxa"/>
            <w:shd w:val="clear" w:color="auto" w:fill="auto"/>
            <w:noWrap/>
            <w:vAlign w:val="center"/>
          </w:tcPr>
          <w:p w14:paraId="44E7422B">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r>
      <w:tr w14:paraId="0ACA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32F95B3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4C1004F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64634E0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055CD4A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6D4FC6D3">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警示牌（块）</w:t>
            </w:r>
          </w:p>
        </w:tc>
        <w:tc>
          <w:tcPr>
            <w:tcW w:w="1353" w:type="dxa"/>
            <w:shd w:val="clear" w:color="auto" w:fill="auto"/>
            <w:noWrap/>
            <w:vAlign w:val="center"/>
          </w:tcPr>
          <w:p w14:paraId="63B6BCD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1900</w:t>
            </w:r>
          </w:p>
        </w:tc>
      </w:tr>
      <w:tr w14:paraId="15AB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A8CC76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7C8F401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099C2C6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159A0BF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0300513C">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表土剥离（m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noWrap/>
            <w:vAlign w:val="center"/>
          </w:tcPr>
          <w:p w14:paraId="6AEEFB2A">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134100</w:t>
            </w:r>
          </w:p>
        </w:tc>
      </w:tr>
      <w:tr w14:paraId="4DD2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99064B0">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040274B1">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732" w:type="dxa"/>
            <w:vMerge w:val="restart"/>
            <w:shd w:val="clear" w:color="auto" w:fill="auto"/>
            <w:vAlign w:val="center"/>
          </w:tcPr>
          <w:p w14:paraId="6A6A1F97">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废石场</w:t>
            </w:r>
          </w:p>
        </w:tc>
        <w:tc>
          <w:tcPr>
            <w:tcW w:w="1087" w:type="dxa"/>
            <w:vMerge w:val="restart"/>
            <w:vAlign w:val="center"/>
          </w:tcPr>
          <w:p w14:paraId="68F8144B">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39100</w:t>
            </w:r>
          </w:p>
        </w:tc>
        <w:tc>
          <w:tcPr>
            <w:tcW w:w="2339" w:type="dxa"/>
            <w:shd w:val="clear" w:color="auto" w:fill="auto"/>
            <w:vAlign w:val="center"/>
          </w:tcPr>
          <w:p w14:paraId="222EB604">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表土剥离（m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noWrap/>
            <w:vAlign w:val="center"/>
          </w:tcPr>
          <w:p w14:paraId="7234812A">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11730</w:t>
            </w:r>
          </w:p>
        </w:tc>
      </w:tr>
      <w:tr w14:paraId="6DFA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22E7DC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3188BA84">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732" w:type="dxa"/>
            <w:vMerge w:val="continue"/>
            <w:shd w:val="clear" w:color="auto" w:fill="auto"/>
            <w:vAlign w:val="center"/>
          </w:tcPr>
          <w:p w14:paraId="266DB0D8">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087" w:type="dxa"/>
            <w:vMerge w:val="continue"/>
            <w:vAlign w:val="center"/>
          </w:tcPr>
          <w:p w14:paraId="3BFBD843">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74DD03C">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挡渣墙</w:t>
            </w: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noWrap/>
            <w:vAlign w:val="center"/>
          </w:tcPr>
          <w:p w14:paraId="6D9AA94B">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p>
        </w:tc>
      </w:tr>
      <w:tr w14:paraId="0479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DD0412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8B6FE61">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732" w:type="dxa"/>
            <w:shd w:val="clear" w:color="auto" w:fill="auto"/>
            <w:vAlign w:val="center"/>
          </w:tcPr>
          <w:p w14:paraId="75125979">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废石场</w:t>
            </w:r>
          </w:p>
        </w:tc>
        <w:tc>
          <w:tcPr>
            <w:tcW w:w="1087" w:type="dxa"/>
            <w:vAlign w:val="center"/>
          </w:tcPr>
          <w:p w14:paraId="594B0639">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35000</w:t>
            </w:r>
          </w:p>
        </w:tc>
        <w:tc>
          <w:tcPr>
            <w:tcW w:w="2339" w:type="dxa"/>
            <w:shd w:val="clear" w:color="auto" w:fill="auto"/>
            <w:vAlign w:val="center"/>
          </w:tcPr>
          <w:p w14:paraId="0E3AA41C">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表土剥离（m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noWrap/>
            <w:vAlign w:val="center"/>
          </w:tcPr>
          <w:p w14:paraId="054A0D90">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10500</w:t>
            </w:r>
          </w:p>
        </w:tc>
      </w:tr>
      <w:tr w14:paraId="4D43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6AF2DD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31F1E1C4">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restart"/>
            <w:shd w:val="clear" w:color="auto" w:fill="auto"/>
            <w:vAlign w:val="center"/>
          </w:tcPr>
          <w:p w14:paraId="2671F88E">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bidi="ar"/>
              </w:rPr>
              <w:t>拟建工业场地</w:t>
            </w:r>
          </w:p>
        </w:tc>
        <w:tc>
          <w:tcPr>
            <w:tcW w:w="1087" w:type="dxa"/>
            <w:vMerge w:val="restart"/>
            <w:vAlign w:val="center"/>
          </w:tcPr>
          <w:p w14:paraId="4A547726">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3800</w:t>
            </w:r>
          </w:p>
        </w:tc>
        <w:tc>
          <w:tcPr>
            <w:tcW w:w="2339" w:type="dxa"/>
            <w:shd w:val="clear" w:color="auto" w:fill="auto"/>
            <w:vAlign w:val="center"/>
          </w:tcPr>
          <w:p w14:paraId="16383E94">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表土剥离（m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302122B1">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1140</w:t>
            </w:r>
          </w:p>
        </w:tc>
      </w:tr>
      <w:tr w14:paraId="0EC3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8DC4FBC">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A9BA16A">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517F6580">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67262B17">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5CBF81CA">
            <w:pPr>
              <w:wordWrap/>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eastAsia="zh-CN"/>
              </w:rPr>
              <w:t>）</w:t>
            </w:r>
          </w:p>
        </w:tc>
        <w:tc>
          <w:tcPr>
            <w:tcW w:w="1353" w:type="dxa"/>
            <w:shd w:val="clear" w:color="auto" w:fill="auto"/>
            <w:noWrap/>
            <w:vAlign w:val="center"/>
          </w:tcPr>
          <w:p w14:paraId="03EAB422">
            <w:pPr>
              <w:widowControl/>
              <w:wordWrap/>
              <w:spacing w:line="240" w:lineRule="auto"/>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r>
      <w:tr w14:paraId="6CD1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3D457B8">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28C42B3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4B1B40CF">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66E18359">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A17A310">
            <w:pPr>
              <w:wordWrap/>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覆土</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7DDC0073">
            <w:pPr>
              <w:widowControl/>
              <w:wordWrap/>
              <w:spacing w:line="240" w:lineRule="auto"/>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w:t>
            </w:r>
          </w:p>
        </w:tc>
      </w:tr>
      <w:tr w14:paraId="09F8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E8370A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224D0CAA">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6874D0F9">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3438E513">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E5DC783">
            <w:pPr>
              <w:wordWrap/>
              <w:spacing w:after="0"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栽植花种（</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eastAsia="zh-CN"/>
              </w:rPr>
              <w:t>）</w:t>
            </w:r>
          </w:p>
        </w:tc>
        <w:tc>
          <w:tcPr>
            <w:tcW w:w="1353" w:type="dxa"/>
            <w:shd w:val="clear" w:color="auto" w:fill="auto"/>
            <w:noWrap/>
            <w:vAlign w:val="center"/>
          </w:tcPr>
          <w:p w14:paraId="2A6CB1CB">
            <w:pPr>
              <w:wordWrap/>
              <w:spacing w:after="0"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w:t>
            </w:r>
          </w:p>
        </w:tc>
      </w:tr>
      <w:tr w14:paraId="60EE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76259D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536DB718">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shd w:val="clear" w:color="auto" w:fill="auto"/>
            <w:vAlign w:val="center"/>
          </w:tcPr>
          <w:p w14:paraId="56DFA2DE">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拟建表土存放场</w:t>
            </w:r>
          </w:p>
        </w:tc>
        <w:tc>
          <w:tcPr>
            <w:tcW w:w="1087" w:type="dxa"/>
            <w:vAlign w:val="center"/>
          </w:tcPr>
          <w:p w14:paraId="39DFB7EC">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15300</w:t>
            </w:r>
          </w:p>
        </w:tc>
        <w:tc>
          <w:tcPr>
            <w:tcW w:w="2339" w:type="dxa"/>
            <w:shd w:val="clear" w:color="auto" w:fill="auto"/>
            <w:vAlign w:val="center"/>
          </w:tcPr>
          <w:p w14:paraId="42F0664D">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703E37A8">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15300</w:t>
            </w:r>
          </w:p>
        </w:tc>
      </w:tr>
      <w:tr w14:paraId="119B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A67D738">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7628" w:type="dxa"/>
            <w:gridSpan w:val="5"/>
            <w:shd w:val="clear" w:color="auto" w:fill="auto"/>
            <w:vAlign w:val="center"/>
          </w:tcPr>
          <w:p w14:paraId="0A1835F6">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41E6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vAlign w:val="center"/>
          </w:tcPr>
          <w:p w14:paraId="697D0965">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w:t>
            </w:r>
          </w:p>
          <w:p w14:paraId="122805F6">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.12.31</w:t>
            </w:r>
          </w:p>
        </w:tc>
        <w:tc>
          <w:tcPr>
            <w:tcW w:w="1117" w:type="dxa"/>
            <w:vMerge w:val="restart"/>
            <w:shd w:val="clear" w:color="auto" w:fill="auto"/>
            <w:vAlign w:val="center"/>
          </w:tcPr>
          <w:p w14:paraId="4CF94385">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vMerge w:val="restart"/>
            <w:shd w:val="clear" w:color="auto" w:fill="auto"/>
            <w:vAlign w:val="center"/>
          </w:tcPr>
          <w:p w14:paraId="160F3BCF">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rPr>
              <w:t>CK1</w:t>
            </w:r>
          </w:p>
        </w:tc>
        <w:tc>
          <w:tcPr>
            <w:tcW w:w="1087" w:type="dxa"/>
            <w:vMerge w:val="restart"/>
            <w:vAlign w:val="center"/>
          </w:tcPr>
          <w:p w14:paraId="10CD1B8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1069</w:t>
            </w:r>
          </w:p>
        </w:tc>
        <w:tc>
          <w:tcPr>
            <w:tcW w:w="2339" w:type="dxa"/>
            <w:shd w:val="clear" w:color="auto" w:fill="auto"/>
            <w:vAlign w:val="center"/>
          </w:tcPr>
          <w:p w14:paraId="2D7E2B8E">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4692BC25">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2125</w:t>
            </w:r>
          </w:p>
        </w:tc>
      </w:tr>
      <w:tr w14:paraId="6466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B54ADB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7180515">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53494F4E">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21D2732A">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72F9BFD">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石</w:t>
            </w:r>
            <w:r>
              <w:rPr>
                <w:rFonts w:hint="eastAsia" w:ascii="宋体" w:hAnsi="宋体" w:eastAsia="宋体" w:cs="宋体"/>
                <w:color w:val="auto"/>
                <w:sz w:val="21"/>
                <w:szCs w:val="21"/>
                <w:highlight w:val="none"/>
              </w:rPr>
              <w:t>方整平（m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43E07FC3">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w:t>
            </w:r>
          </w:p>
        </w:tc>
      </w:tr>
      <w:tr w14:paraId="3864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0F13AD6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25E6F974">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18F5477B">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7E56FCD7">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6A7EE63C">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16312DBF">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w:t>
            </w:r>
          </w:p>
        </w:tc>
      </w:tr>
      <w:tr w14:paraId="7703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E9ECED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3159C21C">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039F167C">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5585CC03">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455B0DC3">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4807C026">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1069</w:t>
            </w:r>
          </w:p>
        </w:tc>
      </w:tr>
      <w:tr w14:paraId="0303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6A07C8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36B99282">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restart"/>
            <w:shd w:val="clear" w:color="auto" w:fill="auto"/>
            <w:vAlign w:val="center"/>
          </w:tcPr>
          <w:p w14:paraId="0B28B437">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rPr>
              <w:t>CK2</w:t>
            </w:r>
          </w:p>
        </w:tc>
        <w:tc>
          <w:tcPr>
            <w:tcW w:w="1087" w:type="dxa"/>
            <w:vMerge w:val="restart"/>
            <w:vAlign w:val="center"/>
          </w:tcPr>
          <w:p w14:paraId="374540AC">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617</w:t>
            </w:r>
          </w:p>
        </w:tc>
        <w:tc>
          <w:tcPr>
            <w:tcW w:w="2339" w:type="dxa"/>
            <w:shd w:val="clear" w:color="auto" w:fill="auto"/>
            <w:vAlign w:val="center"/>
          </w:tcPr>
          <w:p w14:paraId="3394F452">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054B47D6">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516</w:t>
            </w:r>
          </w:p>
        </w:tc>
      </w:tr>
      <w:tr w14:paraId="7F16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08FFE31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74B50CD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476D194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7FC625EC">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32F34161">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石</w:t>
            </w:r>
            <w:r>
              <w:rPr>
                <w:rFonts w:hint="eastAsia" w:ascii="宋体" w:hAnsi="宋体" w:eastAsia="宋体" w:cs="宋体"/>
                <w:color w:val="auto"/>
                <w:sz w:val="21"/>
                <w:szCs w:val="21"/>
                <w:highlight w:val="none"/>
              </w:rPr>
              <w:t>方整平（m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06D57C31">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w:t>
            </w:r>
          </w:p>
        </w:tc>
      </w:tr>
      <w:tr w14:paraId="4875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EF2B24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AFEB4B3">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4CE17CB1">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2619C6A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4962EA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425A8380">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w:t>
            </w:r>
          </w:p>
        </w:tc>
      </w:tr>
      <w:tr w14:paraId="0C0D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9236EA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7AD3A0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50692150">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5BCA6562">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12CE77F3">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3257197A">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617</w:t>
            </w:r>
          </w:p>
        </w:tc>
      </w:tr>
      <w:tr w14:paraId="1216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69B020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5AF5D7AD">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restart"/>
            <w:shd w:val="clear" w:color="auto" w:fill="auto"/>
            <w:vAlign w:val="center"/>
          </w:tcPr>
          <w:p w14:paraId="3553566E">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rPr>
              <w:t>废石堆</w:t>
            </w:r>
          </w:p>
        </w:tc>
        <w:tc>
          <w:tcPr>
            <w:tcW w:w="1087" w:type="dxa"/>
            <w:vMerge w:val="restart"/>
            <w:vAlign w:val="center"/>
          </w:tcPr>
          <w:p w14:paraId="131FAE5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934</w:t>
            </w:r>
          </w:p>
        </w:tc>
        <w:tc>
          <w:tcPr>
            <w:tcW w:w="2339" w:type="dxa"/>
            <w:shd w:val="clear" w:color="auto" w:fill="auto"/>
            <w:vAlign w:val="center"/>
          </w:tcPr>
          <w:p w14:paraId="640161BD">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清运</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57ABFBBA">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2177</w:t>
            </w:r>
          </w:p>
        </w:tc>
      </w:tr>
      <w:tr w14:paraId="389D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85BF1F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A5C022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37AB3471">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7E3AB866">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72400FD">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130B82C4">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280</w:t>
            </w:r>
          </w:p>
        </w:tc>
      </w:tr>
      <w:tr w14:paraId="011F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0E9B37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10F776B2">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7AAFEFAF">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48FEF325">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54D99868">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0665167B">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934</w:t>
            </w:r>
          </w:p>
        </w:tc>
      </w:tr>
      <w:tr w14:paraId="5D70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78A81C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1C391F0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shd w:val="clear" w:color="auto" w:fill="auto"/>
            <w:noWrap/>
            <w:vAlign w:val="center"/>
          </w:tcPr>
          <w:p w14:paraId="19358862">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钻机平台</w:t>
            </w:r>
          </w:p>
        </w:tc>
        <w:tc>
          <w:tcPr>
            <w:tcW w:w="1087" w:type="dxa"/>
            <w:vMerge w:val="restart"/>
            <w:vAlign w:val="center"/>
          </w:tcPr>
          <w:p w14:paraId="75AC0A82">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61</w:t>
            </w:r>
          </w:p>
        </w:tc>
        <w:tc>
          <w:tcPr>
            <w:tcW w:w="2339" w:type="dxa"/>
            <w:shd w:val="clear" w:color="auto" w:fill="auto"/>
            <w:vAlign w:val="center"/>
          </w:tcPr>
          <w:p w14:paraId="56660905">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21F93505">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182</w:t>
            </w:r>
          </w:p>
        </w:tc>
      </w:tr>
      <w:tr w14:paraId="386A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F4F740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4C21C13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2358A01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584532D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5C5B4F96">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346D8915">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18</w:t>
            </w:r>
          </w:p>
        </w:tc>
      </w:tr>
      <w:tr w14:paraId="2AED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644831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75490CA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27C9919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779C2E3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46F585B1">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227CE6D1">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61</w:t>
            </w:r>
          </w:p>
        </w:tc>
      </w:tr>
      <w:tr w14:paraId="22FF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1EE586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1408FF4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shd w:val="clear" w:color="auto" w:fill="auto"/>
            <w:noWrap/>
            <w:vAlign w:val="center"/>
          </w:tcPr>
          <w:p w14:paraId="39A61F85">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探槽</w:t>
            </w:r>
          </w:p>
        </w:tc>
        <w:tc>
          <w:tcPr>
            <w:tcW w:w="1087" w:type="dxa"/>
            <w:vMerge w:val="restart"/>
            <w:vAlign w:val="center"/>
          </w:tcPr>
          <w:p w14:paraId="513291A5">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4248</w:t>
            </w:r>
          </w:p>
        </w:tc>
        <w:tc>
          <w:tcPr>
            <w:tcW w:w="2339" w:type="dxa"/>
            <w:shd w:val="clear" w:color="auto" w:fill="auto"/>
            <w:vAlign w:val="center"/>
          </w:tcPr>
          <w:p w14:paraId="0D5AA469">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5CFF1E9D">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2161</w:t>
            </w:r>
          </w:p>
        </w:tc>
      </w:tr>
      <w:tr w14:paraId="2E0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2AD76D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110645F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shd w:val="clear" w:color="auto" w:fill="auto"/>
            <w:noWrap/>
            <w:vAlign w:val="center"/>
          </w:tcPr>
          <w:p w14:paraId="74B1D37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78744810">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2C568933">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5798FD3A">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1274</w:t>
            </w:r>
          </w:p>
        </w:tc>
      </w:tr>
      <w:tr w14:paraId="30B2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66E6FA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349E266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6EC36D8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398B9D1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6D226269">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75AEED70">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4248</w:t>
            </w:r>
          </w:p>
        </w:tc>
      </w:tr>
      <w:tr w14:paraId="24AD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A81F3A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33D3C49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vAlign w:val="center"/>
          </w:tcPr>
          <w:p w14:paraId="2421AEB5">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矿区道路</w:t>
            </w:r>
          </w:p>
        </w:tc>
        <w:tc>
          <w:tcPr>
            <w:tcW w:w="1087" w:type="dxa"/>
            <w:vMerge w:val="restart"/>
            <w:vAlign w:val="center"/>
          </w:tcPr>
          <w:p w14:paraId="20A52629">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800</w:t>
            </w:r>
          </w:p>
        </w:tc>
        <w:tc>
          <w:tcPr>
            <w:tcW w:w="2339" w:type="dxa"/>
            <w:shd w:val="clear" w:color="auto" w:fill="auto"/>
            <w:vAlign w:val="center"/>
          </w:tcPr>
          <w:p w14:paraId="62E3C7BC">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垫坡整形</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6ABCC394">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p>
        </w:tc>
      </w:tr>
      <w:tr w14:paraId="27C7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618235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1CF3778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346488E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0C1331F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472F3D5B">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6944381D">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240</w:t>
            </w:r>
          </w:p>
        </w:tc>
      </w:tr>
      <w:tr w14:paraId="62C2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234363C">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6D2AD6D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09509D5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1B6F02CC">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3481A301">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45C55BAE">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w:t>
            </w:r>
          </w:p>
        </w:tc>
      </w:tr>
      <w:tr w14:paraId="59DA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2A4B69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7628" w:type="dxa"/>
            <w:gridSpan w:val="5"/>
            <w:vAlign w:val="center"/>
          </w:tcPr>
          <w:p w14:paraId="0ABF9D0F">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6309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2" w:type="dxa"/>
            <w:vMerge w:val="continue"/>
            <w:vAlign w:val="center"/>
          </w:tcPr>
          <w:p w14:paraId="5FEAC9A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restart"/>
            <w:vAlign w:val="center"/>
          </w:tcPr>
          <w:p w14:paraId="49ED8BB7">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羊草沟采区</w:t>
            </w:r>
          </w:p>
        </w:tc>
        <w:tc>
          <w:tcPr>
            <w:tcW w:w="1732" w:type="dxa"/>
            <w:vMerge w:val="restart"/>
            <w:vAlign w:val="center"/>
          </w:tcPr>
          <w:p w14:paraId="52BDBBFF">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钻机平台</w:t>
            </w:r>
          </w:p>
        </w:tc>
        <w:tc>
          <w:tcPr>
            <w:tcW w:w="1087" w:type="dxa"/>
            <w:vMerge w:val="restart"/>
            <w:vAlign w:val="center"/>
          </w:tcPr>
          <w:p w14:paraId="74B9F583">
            <w:pPr>
              <w:keepNext w:val="0"/>
              <w:keepLines w:val="0"/>
              <w:widowControl/>
              <w:suppressLineNumbers w:val="0"/>
              <w:wordWrap/>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2339" w:type="dxa"/>
            <w:shd w:val="clear" w:color="auto" w:fill="auto"/>
            <w:vAlign w:val="center"/>
          </w:tcPr>
          <w:p w14:paraId="0B1F757C">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68C37AC4">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286</w:t>
            </w:r>
          </w:p>
        </w:tc>
      </w:tr>
      <w:tr w14:paraId="0153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AD8618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1E3D587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635D87F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53A4462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7ED00D63">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58AEE98E">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r>
      <w:tr w14:paraId="0EDF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056FC11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37F928A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2042BAD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712200C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470F8E3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73A80755">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165</w:t>
            </w:r>
          </w:p>
        </w:tc>
      </w:tr>
      <w:tr w14:paraId="5ACE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1E9ECC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231A7BA8">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vAlign w:val="center"/>
          </w:tcPr>
          <w:p w14:paraId="2F15B4B0">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探槽</w:t>
            </w:r>
          </w:p>
        </w:tc>
        <w:tc>
          <w:tcPr>
            <w:tcW w:w="1087" w:type="dxa"/>
            <w:vMerge w:val="restart"/>
            <w:vAlign w:val="center"/>
          </w:tcPr>
          <w:p w14:paraId="1C4569A9">
            <w:pPr>
              <w:keepNext w:val="0"/>
              <w:keepLines w:val="0"/>
              <w:widowControl/>
              <w:suppressLineNumbers w:val="0"/>
              <w:wordWrap/>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812</w:t>
            </w:r>
          </w:p>
        </w:tc>
        <w:tc>
          <w:tcPr>
            <w:tcW w:w="2339" w:type="dxa"/>
            <w:shd w:val="clear" w:color="auto" w:fill="auto"/>
            <w:vAlign w:val="center"/>
          </w:tcPr>
          <w:p w14:paraId="78987BD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18E49D0F">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362</w:t>
            </w:r>
          </w:p>
        </w:tc>
      </w:tr>
      <w:tr w14:paraId="42DA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CA5996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45F83B2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63D781D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67B4509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43B3F94E">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25E4B5D3">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244</w:t>
            </w:r>
          </w:p>
        </w:tc>
      </w:tr>
      <w:tr w14:paraId="271A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701A8E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338EC18C">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7073D08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546229B0">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5AB84AFB">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6CFAAD4D">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812</w:t>
            </w:r>
          </w:p>
        </w:tc>
      </w:tr>
      <w:tr w14:paraId="72C6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A0FF19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0E74316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vAlign w:val="center"/>
          </w:tcPr>
          <w:p w14:paraId="0197A0F8">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矿区道路</w:t>
            </w:r>
          </w:p>
        </w:tc>
        <w:tc>
          <w:tcPr>
            <w:tcW w:w="1087" w:type="dxa"/>
            <w:vMerge w:val="restart"/>
            <w:vAlign w:val="center"/>
          </w:tcPr>
          <w:p w14:paraId="2EB9B393">
            <w:pPr>
              <w:keepNext w:val="0"/>
              <w:keepLines w:val="0"/>
              <w:widowControl/>
              <w:suppressLineNumbers w:val="0"/>
              <w:wordWrap/>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3122</w:t>
            </w:r>
          </w:p>
        </w:tc>
        <w:tc>
          <w:tcPr>
            <w:tcW w:w="2339" w:type="dxa"/>
            <w:shd w:val="clear" w:color="auto" w:fill="auto"/>
            <w:vAlign w:val="center"/>
          </w:tcPr>
          <w:p w14:paraId="4267634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垫坡整形</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0E64C122">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714</w:t>
            </w:r>
          </w:p>
        </w:tc>
      </w:tr>
      <w:tr w14:paraId="58E3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784E0A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1A842E6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316F1E5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72F63E9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3C14A9B0">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7A5E70E7">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937</w:t>
            </w:r>
          </w:p>
        </w:tc>
      </w:tr>
      <w:tr w14:paraId="0F1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F4056B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4978E34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102B103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692AD8B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226F1A46">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380B0267">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3122</w:t>
            </w:r>
          </w:p>
        </w:tc>
      </w:tr>
      <w:tr w14:paraId="44F1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9195C0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7628" w:type="dxa"/>
            <w:gridSpan w:val="5"/>
            <w:vAlign w:val="center"/>
          </w:tcPr>
          <w:p w14:paraId="7C57895A">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35BB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shd w:val="clear" w:color="auto" w:fill="auto"/>
            <w:vAlign w:val="center"/>
          </w:tcPr>
          <w:p w14:paraId="3EB641F0">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2023.1.1-</w:t>
            </w:r>
          </w:p>
          <w:p w14:paraId="593ECAE5">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2023.12.31</w:t>
            </w:r>
          </w:p>
        </w:tc>
        <w:tc>
          <w:tcPr>
            <w:tcW w:w="1117" w:type="dxa"/>
            <w:vMerge w:val="restart"/>
            <w:shd w:val="clear" w:color="auto" w:fill="auto"/>
            <w:vAlign w:val="center"/>
          </w:tcPr>
          <w:p w14:paraId="76F38BFD">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vMerge w:val="restart"/>
            <w:shd w:val="clear" w:color="auto" w:fill="auto"/>
            <w:vAlign w:val="center"/>
          </w:tcPr>
          <w:p w14:paraId="756D58D8">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rPr>
              <w:t>露天采场</w:t>
            </w:r>
          </w:p>
        </w:tc>
        <w:tc>
          <w:tcPr>
            <w:tcW w:w="1087" w:type="dxa"/>
            <w:vMerge w:val="restart"/>
            <w:vAlign w:val="center"/>
          </w:tcPr>
          <w:p w14:paraId="2A2399F2">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339" w:type="dxa"/>
            <w:shd w:val="clear" w:color="auto" w:fill="auto"/>
            <w:noWrap/>
            <w:vAlign w:val="center"/>
          </w:tcPr>
          <w:p w14:paraId="0409CA48">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清理危岩体（m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5065E50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825</w:t>
            </w:r>
          </w:p>
        </w:tc>
      </w:tr>
      <w:tr w14:paraId="2D8E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547CEAC1">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3A788229">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67EA220B">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087" w:type="dxa"/>
            <w:vMerge w:val="continue"/>
            <w:vAlign w:val="center"/>
          </w:tcPr>
          <w:p w14:paraId="628E0CE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1A1DF195">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修整</w:t>
            </w:r>
            <w:r>
              <w:rPr>
                <w:rFonts w:hint="eastAsia" w:ascii="宋体" w:hAnsi="宋体" w:eastAsia="宋体" w:cs="宋体"/>
                <w:color w:val="auto"/>
                <w:kern w:val="0"/>
                <w:sz w:val="21"/>
                <w:szCs w:val="21"/>
                <w:highlight w:val="none"/>
                <w:lang w:val="en-US" w:eastAsia="zh-CN"/>
              </w:rPr>
              <w:t>615m</w:t>
            </w:r>
            <w:r>
              <w:rPr>
                <w:rFonts w:hint="eastAsia" w:ascii="宋体" w:hAnsi="宋体" w:eastAsia="宋体" w:cs="宋体"/>
                <w:color w:val="auto"/>
                <w:kern w:val="0"/>
                <w:sz w:val="21"/>
                <w:szCs w:val="21"/>
                <w:highlight w:val="none"/>
                <w:lang w:eastAsia="zh-CN"/>
              </w:rPr>
              <w:t>台阶</w:t>
            </w: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459CCC3E">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90</w:t>
            </w:r>
          </w:p>
        </w:tc>
      </w:tr>
      <w:tr w14:paraId="7BE4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7BF0D1FB">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6AF8BFA4">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0BA151F7">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087" w:type="dxa"/>
            <w:vMerge w:val="continue"/>
            <w:vAlign w:val="center"/>
          </w:tcPr>
          <w:p w14:paraId="74150E7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610B4CEB">
            <w:pPr>
              <w:wordWrap/>
              <w:spacing w:line="240" w:lineRule="atLeast"/>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35486A2C">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118</w:t>
            </w:r>
          </w:p>
        </w:tc>
      </w:tr>
      <w:tr w14:paraId="10E3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32CEC07E">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0B013C4D">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5BE27EF7">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087" w:type="dxa"/>
            <w:vMerge w:val="continue"/>
            <w:vAlign w:val="center"/>
          </w:tcPr>
          <w:p w14:paraId="33154F5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52A22C8B">
            <w:pPr>
              <w:wordWrap/>
              <w:spacing w:line="240" w:lineRule="atLeast"/>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4368E1E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393</w:t>
            </w:r>
          </w:p>
        </w:tc>
      </w:tr>
      <w:tr w14:paraId="77E1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05A9AFA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148B60C3">
            <w:pPr>
              <w:widowControl/>
              <w:wordWrap/>
              <w:spacing w:line="240" w:lineRule="auto"/>
              <w:ind w:firstLine="0" w:firstLineChars="0"/>
              <w:jc w:val="center"/>
              <w:rPr>
                <w:rFonts w:hint="eastAsia" w:ascii="宋体" w:hAnsi="宋体" w:eastAsia="宋体" w:cs="宋体"/>
                <w:color w:val="auto"/>
                <w:kern w:val="0"/>
                <w:sz w:val="21"/>
                <w:szCs w:val="21"/>
                <w:highlight w:val="none"/>
                <w:lang w:bidi="ar"/>
              </w:rPr>
            </w:pPr>
          </w:p>
        </w:tc>
        <w:tc>
          <w:tcPr>
            <w:tcW w:w="6511" w:type="dxa"/>
            <w:gridSpan w:val="4"/>
            <w:shd w:val="clear" w:color="auto" w:fill="auto"/>
            <w:noWrap/>
            <w:vAlign w:val="center"/>
          </w:tcPr>
          <w:p w14:paraId="3044D7DE">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29AF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shd w:val="clear" w:color="auto" w:fill="auto"/>
            <w:vAlign w:val="center"/>
          </w:tcPr>
          <w:p w14:paraId="03AEA7EC">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2024.1.1-</w:t>
            </w:r>
          </w:p>
          <w:p w14:paraId="73C8D067">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2024.12.31</w:t>
            </w:r>
          </w:p>
        </w:tc>
        <w:tc>
          <w:tcPr>
            <w:tcW w:w="1117" w:type="dxa"/>
            <w:vMerge w:val="restart"/>
            <w:shd w:val="clear" w:color="auto" w:fill="auto"/>
            <w:vAlign w:val="center"/>
          </w:tcPr>
          <w:p w14:paraId="35D69AF9">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vMerge w:val="restart"/>
            <w:shd w:val="clear" w:color="auto" w:fill="auto"/>
            <w:vAlign w:val="center"/>
          </w:tcPr>
          <w:p w14:paraId="4D030FFC">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rPr>
              <w:t>露天采场</w:t>
            </w:r>
          </w:p>
        </w:tc>
        <w:tc>
          <w:tcPr>
            <w:tcW w:w="1087" w:type="dxa"/>
            <w:vMerge w:val="restart"/>
            <w:vAlign w:val="center"/>
          </w:tcPr>
          <w:p w14:paraId="287C8570">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339" w:type="dxa"/>
            <w:shd w:val="clear" w:color="auto" w:fill="auto"/>
            <w:noWrap/>
            <w:vAlign w:val="center"/>
          </w:tcPr>
          <w:p w14:paraId="43A85875">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清理危岩体（m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6992AC23">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825</w:t>
            </w:r>
          </w:p>
        </w:tc>
      </w:tr>
      <w:tr w14:paraId="0895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6017A54B">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6039E901">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575779E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6A5601C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6AB4D3A3">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修整</w:t>
            </w:r>
            <w:r>
              <w:rPr>
                <w:rFonts w:hint="eastAsia" w:ascii="宋体" w:hAnsi="宋体" w:eastAsia="宋体" w:cs="宋体"/>
                <w:color w:val="auto"/>
                <w:kern w:val="0"/>
                <w:sz w:val="21"/>
                <w:szCs w:val="21"/>
                <w:highlight w:val="none"/>
                <w:lang w:val="en-US" w:eastAsia="zh-CN"/>
              </w:rPr>
              <w:t>595m</w:t>
            </w:r>
            <w:r>
              <w:rPr>
                <w:rFonts w:hint="eastAsia" w:ascii="宋体" w:hAnsi="宋体" w:eastAsia="宋体" w:cs="宋体"/>
                <w:color w:val="auto"/>
                <w:kern w:val="0"/>
                <w:sz w:val="21"/>
                <w:szCs w:val="21"/>
                <w:highlight w:val="none"/>
                <w:lang w:eastAsia="zh-CN"/>
              </w:rPr>
              <w:t>台阶</w:t>
            </w: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144DE992">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517</w:t>
            </w:r>
          </w:p>
        </w:tc>
      </w:tr>
      <w:tr w14:paraId="3A79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4D69C6F0">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58F6B4E8">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1FB5F2B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55DA64A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420B203C">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257A8D66">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932</w:t>
            </w:r>
          </w:p>
        </w:tc>
      </w:tr>
      <w:tr w14:paraId="7CD3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4F34BA5C">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66B4609C">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3A1A55E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61E3E5B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6BDD8C74">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7E4DA9C8">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3108</w:t>
            </w:r>
          </w:p>
        </w:tc>
      </w:tr>
      <w:tr w14:paraId="5E16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C725C7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49837363">
            <w:pPr>
              <w:widowControl/>
              <w:wordWrap/>
              <w:spacing w:line="240" w:lineRule="auto"/>
              <w:ind w:firstLine="0" w:firstLineChars="0"/>
              <w:jc w:val="center"/>
              <w:rPr>
                <w:rFonts w:hint="eastAsia" w:ascii="宋体" w:hAnsi="宋体" w:eastAsia="宋体" w:cs="宋体"/>
                <w:color w:val="auto"/>
                <w:kern w:val="0"/>
                <w:sz w:val="21"/>
                <w:szCs w:val="21"/>
                <w:highlight w:val="none"/>
                <w:lang w:bidi="ar"/>
              </w:rPr>
            </w:pPr>
          </w:p>
        </w:tc>
        <w:tc>
          <w:tcPr>
            <w:tcW w:w="6511" w:type="dxa"/>
            <w:gridSpan w:val="4"/>
            <w:shd w:val="clear" w:color="auto" w:fill="auto"/>
            <w:noWrap/>
            <w:vAlign w:val="center"/>
          </w:tcPr>
          <w:p w14:paraId="64D1A314">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4986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shd w:val="clear" w:color="auto" w:fill="auto"/>
            <w:vAlign w:val="center"/>
          </w:tcPr>
          <w:p w14:paraId="1AB13148">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2025.1.1-</w:t>
            </w:r>
          </w:p>
          <w:p w14:paraId="14217382">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2025.12.31</w:t>
            </w:r>
          </w:p>
        </w:tc>
        <w:tc>
          <w:tcPr>
            <w:tcW w:w="1117" w:type="dxa"/>
            <w:vMerge w:val="restart"/>
            <w:shd w:val="clear" w:color="auto" w:fill="auto"/>
            <w:vAlign w:val="center"/>
          </w:tcPr>
          <w:p w14:paraId="75875B5D">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shd w:val="clear" w:color="auto" w:fill="auto"/>
            <w:vAlign w:val="center"/>
          </w:tcPr>
          <w:p w14:paraId="109F100A">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rPr>
              <w:t>露天采场</w:t>
            </w:r>
          </w:p>
        </w:tc>
        <w:tc>
          <w:tcPr>
            <w:tcW w:w="1087" w:type="dxa"/>
            <w:vAlign w:val="center"/>
          </w:tcPr>
          <w:p w14:paraId="43AF8A07">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339" w:type="dxa"/>
            <w:shd w:val="clear" w:color="auto" w:fill="auto"/>
            <w:noWrap/>
            <w:vAlign w:val="center"/>
          </w:tcPr>
          <w:p w14:paraId="789CBA8F">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清理危岩体（m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16796FE4">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825</w:t>
            </w:r>
          </w:p>
        </w:tc>
      </w:tr>
      <w:tr w14:paraId="1FEC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38B24EC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27AB2FFC">
            <w:pPr>
              <w:widowControl/>
              <w:wordWrap/>
              <w:spacing w:line="240" w:lineRule="auto"/>
              <w:ind w:firstLine="0" w:firstLineChars="0"/>
              <w:jc w:val="center"/>
              <w:rPr>
                <w:rFonts w:hint="eastAsia" w:ascii="宋体" w:hAnsi="宋体" w:eastAsia="宋体" w:cs="宋体"/>
                <w:color w:val="auto"/>
                <w:kern w:val="0"/>
                <w:sz w:val="21"/>
                <w:szCs w:val="21"/>
                <w:highlight w:val="none"/>
                <w:lang w:bidi="ar"/>
              </w:rPr>
            </w:pPr>
          </w:p>
        </w:tc>
        <w:tc>
          <w:tcPr>
            <w:tcW w:w="6511" w:type="dxa"/>
            <w:gridSpan w:val="4"/>
            <w:shd w:val="clear" w:color="auto" w:fill="auto"/>
            <w:noWrap/>
            <w:vAlign w:val="center"/>
          </w:tcPr>
          <w:p w14:paraId="754B37E2">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全年进行地质灾害监测及土地资源监测，并做好监测记录</w:t>
            </w:r>
          </w:p>
        </w:tc>
      </w:tr>
    </w:tbl>
    <w:p w14:paraId="52C23B39">
      <w:pPr>
        <w:ind w:firstLine="560"/>
        <w:rPr>
          <w:rFonts w:hint="eastAsia" w:ascii="宋体" w:hAnsi="宋体" w:eastAsia="宋体" w:cs="宋体"/>
          <w:color w:val="auto"/>
          <w:sz w:val="16"/>
          <w:szCs w:val="16"/>
          <w:lang w:eastAsia="zh-CN"/>
        </w:rPr>
      </w:pPr>
    </w:p>
    <w:p w14:paraId="6F4A3FCD">
      <w:pPr>
        <w:ind w:firstLine="562"/>
        <w:outlineLvl w:val="1"/>
        <w:rPr>
          <w:rFonts w:hint="eastAsia" w:ascii="宋体" w:hAnsi="宋体" w:eastAsia="宋体" w:cs="宋体"/>
          <w:b/>
          <w:bCs/>
          <w:color w:val="auto"/>
          <w:lang w:val="en-US" w:eastAsia="zh-CN"/>
        </w:rPr>
      </w:pPr>
      <w:bookmarkStart w:id="18" w:name="_Toc19544"/>
      <w:bookmarkStart w:id="19" w:name="_Toc30094"/>
      <w:bookmarkStart w:id="20" w:name="_Toc2557"/>
      <w:bookmarkStart w:id="21" w:name="_Toc30380"/>
      <w:bookmarkStart w:id="22" w:name="_Toc18291"/>
      <w:bookmarkStart w:id="23" w:name="_Toc26916"/>
      <w:bookmarkStart w:id="24" w:name="_Toc26647"/>
      <w:bookmarkStart w:id="25" w:name="_Toc7092"/>
      <w:bookmarkStart w:id="26" w:name="_Toc17668"/>
      <w:bookmarkStart w:id="27" w:name="_Toc31421"/>
      <w:bookmarkStart w:id="28" w:name="_Toc17839"/>
      <w:bookmarkStart w:id="29" w:name="_Toc31375"/>
      <w:r>
        <w:rPr>
          <w:rFonts w:hint="eastAsia"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lang w:val="en-US" w:eastAsia="zh-CN"/>
        </w:rPr>
        <w:t>矿山地质环境治理方案执行情况</w:t>
      </w:r>
      <w:bookmarkEnd w:id="18"/>
      <w:bookmarkEnd w:id="19"/>
      <w:bookmarkEnd w:id="20"/>
      <w:bookmarkEnd w:id="21"/>
      <w:bookmarkEnd w:id="22"/>
      <w:bookmarkEnd w:id="23"/>
    </w:p>
    <w:p w14:paraId="27BD2FE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属于新建矿山（现状尚未基建），无生产历史，矿区仅实施过探矿工程。</w:t>
      </w:r>
    </w:p>
    <w:p w14:paraId="67766E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kern w:val="2"/>
          <w:sz w:val="24"/>
          <w:szCs w:val="24"/>
          <w:lang w:val="en-US" w:eastAsia="zh-CN" w:bidi="ar"/>
        </w:rPr>
        <w:t>为赤峰矿业（集团）有限责任公司储备（代管）矿山，</w:t>
      </w:r>
      <w:r>
        <w:rPr>
          <w:rFonts w:hint="default" w:ascii="Times New Roman" w:hAnsi="Times New Roman" w:eastAsia="宋体" w:cs="Times New Roman"/>
          <w:color w:val="auto"/>
          <w:sz w:val="24"/>
          <w:szCs w:val="24"/>
          <w:lang w:val="en-US" w:eastAsia="zh-CN"/>
        </w:rPr>
        <w:t>赤峰矿业（集团）有限责任公司的</w:t>
      </w:r>
      <w:r>
        <w:rPr>
          <w:rFonts w:hint="default" w:ascii="Times New Roman" w:hAnsi="Times New Roman" w:eastAsia="宋体" w:cs="Times New Roman"/>
          <w:color w:val="auto"/>
          <w:kern w:val="2"/>
          <w:sz w:val="24"/>
          <w:szCs w:val="24"/>
          <w:lang w:val="en-US" w:eastAsia="zh-CN" w:bidi="ar"/>
        </w:rPr>
        <w:t>职能是延续矿权，以确保国有资产不流失。现状赤峰矿业（集团）有限责任公司并不具备法律意义上的采矿权人的实际采矿职能（尚未取得采矿许可证）。因此，</w:t>
      </w:r>
      <w:r>
        <w:rPr>
          <w:rFonts w:hint="default" w:ascii="Times New Roman" w:hAnsi="Times New Roman" w:eastAsia="宋体" w:cs="Times New Roman"/>
          <w:color w:val="auto"/>
          <w:sz w:val="24"/>
          <w:szCs w:val="24"/>
          <w:lang w:val="en-US" w:eastAsia="zh-CN"/>
        </w:rPr>
        <w:t>2016年6月29日赤峰市政府同意将</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矿权转让至赤峰矿业（集团）有限责任公司后，仅在202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年度委托资质单位编制了《赤峰矿业（集团）有限责任公司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矿山地质环境保护与土地复垦方案》，但现状条件下</w:t>
      </w:r>
      <w:r>
        <w:rPr>
          <w:rFonts w:hint="default" w:ascii="Times New Roman" w:hAnsi="Times New Roman" w:eastAsia="宋体" w:cs="Times New Roman"/>
          <w:color w:val="auto"/>
          <w:kern w:val="2"/>
          <w:sz w:val="24"/>
          <w:szCs w:val="24"/>
          <w:lang w:val="en-US" w:eastAsia="zh-CN" w:bidi="ar"/>
        </w:rPr>
        <w:t>《方案》规划的与采矿相关的近期治理工程内容</w:t>
      </w:r>
      <w:r>
        <w:rPr>
          <w:rFonts w:hint="default" w:ascii="Times New Roman" w:hAnsi="Times New Roman" w:eastAsia="宋体" w:cs="Times New Roman"/>
          <w:color w:val="auto"/>
          <w:sz w:val="24"/>
          <w:szCs w:val="24"/>
          <w:lang w:val="en-US" w:eastAsia="zh-CN"/>
        </w:rPr>
        <w:t>（拟建露天采场、拟建</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废石场、拟建</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废石场、拟建</w:t>
      </w:r>
      <w:r>
        <w:rPr>
          <w:rFonts w:hint="eastAsia" w:ascii="Times New Roman" w:hAnsi="Times New Roman" w:eastAsia="宋体" w:cs="Times New Roman"/>
          <w:color w:val="auto"/>
          <w:sz w:val="24"/>
          <w:szCs w:val="24"/>
          <w:lang w:val="en-US" w:eastAsia="zh-CN"/>
        </w:rPr>
        <w:t>工业场地、</w:t>
      </w:r>
      <w:r>
        <w:rPr>
          <w:rFonts w:hint="default" w:ascii="Times New Roman" w:hAnsi="Times New Roman" w:eastAsia="宋体" w:cs="Times New Roman"/>
          <w:color w:val="auto"/>
          <w:sz w:val="24"/>
          <w:szCs w:val="24"/>
          <w:lang w:val="en-US" w:eastAsia="zh-CN"/>
        </w:rPr>
        <w:t>拟建表土场）未实施，但依据《赤峰矿业（集团）有限责任公司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eastAsia" w:ascii="Times New Roman" w:hAnsi="Times New Roman" w:eastAsia="宋体" w:cs="Times New Roman"/>
          <w:color w:val="auto"/>
          <w:sz w:val="24"/>
          <w:szCs w:val="24"/>
          <w:lang w:val="en-US" w:eastAsia="zh-CN"/>
        </w:rPr>
        <w:t>（2021、2022、</w:t>
      </w:r>
      <w:r>
        <w:rPr>
          <w:rFonts w:hint="default" w:ascii="Times New Roman" w:hAnsi="Times New Roman" w:eastAsia="宋体" w:cs="Times New Roman"/>
          <w:color w:val="auto"/>
          <w:sz w:val="24"/>
          <w:szCs w:val="24"/>
          <w:lang w:val="en-US" w:eastAsia="zh-CN"/>
        </w:rPr>
        <w:t>2023</w:t>
      </w:r>
      <w:r>
        <w:rPr>
          <w:rFonts w:hint="eastAsia" w:ascii="Times New Roman" w:hAnsi="Times New Roman" w:eastAsia="宋体" w:cs="Times New Roman"/>
          <w:color w:val="auto"/>
          <w:sz w:val="24"/>
          <w:szCs w:val="24"/>
          <w:lang w:val="en-US" w:eastAsia="zh-CN"/>
        </w:rPr>
        <w:t>、2024）</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w:t>
      </w:r>
      <w:r>
        <w:rPr>
          <w:rFonts w:hint="eastAsia" w:ascii="Times New Roman" w:hAnsi="Times New Roman" w:eastAsia="宋体" w:cs="Times New Roman"/>
          <w:color w:val="auto"/>
          <w:kern w:val="2"/>
          <w:sz w:val="24"/>
          <w:szCs w:val="24"/>
          <w:lang w:val="en-US" w:eastAsia="zh-CN" w:bidi="ar"/>
        </w:rPr>
        <w:t>对矿山影响矿山地貌景观的单元逐年进行治理，具体完成情况如下：</w:t>
      </w:r>
    </w:p>
    <w:p w14:paraId="2D75CF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2021年度</w:t>
      </w:r>
    </w:p>
    <w:p w14:paraId="5F639E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治理工程设计：2021</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w:t>
      </w:r>
      <w:r>
        <w:rPr>
          <w:rFonts w:hint="eastAsia" w:ascii="Times New Roman" w:hAnsi="Times New Roman" w:eastAsia="宋体" w:cs="Times New Roman"/>
          <w:color w:val="auto"/>
          <w:kern w:val="2"/>
          <w:sz w:val="24"/>
          <w:szCs w:val="24"/>
          <w:lang w:val="en-US" w:eastAsia="zh-CN" w:bidi="ar"/>
        </w:rPr>
        <w:t>设计治理内容为对矿区地形地貌景观进行监测。</w:t>
      </w:r>
    </w:p>
    <w:p w14:paraId="32FE71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完成情况：</w:t>
      </w:r>
      <w:r>
        <w:rPr>
          <w:rFonts w:hint="default" w:ascii="Times New Roman" w:hAnsi="Times New Roman" w:eastAsia="宋体" w:cs="Times New Roman"/>
          <w:color w:val="auto"/>
          <w:kern w:val="2"/>
          <w:sz w:val="24"/>
          <w:szCs w:val="24"/>
          <w:lang w:val="en-US" w:eastAsia="zh-CN" w:bidi="ar"/>
        </w:rPr>
        <w:t>2023年</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31</w:t>
      </w:r>
      <w:r>
        <w:rPr>
          <w:rFonts w:hint="default" w:ascii="Times New Roman" w:hAnsi="Times New Roman" w:eastAsia="宋体" w:cs="Times New Roman"/>
          <w:color w:val="auto"/>
          <w:kern w:val="2"/>
          <w:sz w:val="24"/>
          <w:szCs w:val="24"/>
          <w:lang w:val="en-US" w:eastAsia="zh-CN" w:bidi="ar"/>
        </w:rPr>
        <w:t>日，赤峰市自然资源局松山区分局组织有关专家组成核查组对《</w:t>
      </w:r>
      <w:r>
        <w:rPr>
          <w:rFonts w:hint="default" w:ascii="Times New Roman" w:hAnsi="Times New Roman" w:eastAsia="宋体" w:cs="Times New Roman"/>
          <w:color w:val="auto"/>
          <w:sz w:val="24"/>
          <w:szCs w:val="24"/>
          <w:lang w:val="en-US" w:eastAsia="zh-CN"/>
        </w:rPr>
        <w:t>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eastAsia" w:ascii="Times New Roman" w:hAnsi="Times New Roman" w:eastAsia="宋体" w:cs="Times New Roman"/>
          <w:color w:val="auto"/>
          <w:sz w:val="24"/>
          <w:szCs w:val="24"/>
          <w:lang w:val="en-US" w:eastAsia="zh-CN"/>
        </w:rPr>
        <w:t>2021</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质环境治理计划书》执行情况进行了现场核查。</w:t>
      </w:r>
    </w:p>
    <w:p w14:paraId="4317CFD9">
      <w:pPr>
        <w:keepNext w:val="0"/>
        <w:keepLines w:val="0"/>
        <w:pageBreakBefore w:val="0"/>
        <w:kinsoku/>
        <w:overflowPunct/>
        <w:topLinePunct w:val="0"/>
        <w:autoSpaceDE/>
        <w:autoSpaceDN/>
        <w:bidi w:val="0"/>
        <w:ind w:firstLine="562"/>
        <w:jc w:val="left"/>
        <w:textAlignment w:val="auto"/>
        <w:rPr>
          <w:rFonts w:hint="eastAsia" w:ascii="宋体" w:hAnsi="宋体" w:eastAsia="宋体" w:cs="宋体"/>
          <w:b/>
          <w:bCs/>
          <w:color w:val="auto"/>
          <w:lang w:val="en-US" w:eastAsia="zh-CN"/>
        </w:rPr>
      </w:pPr>
      <w:r>
        <w:rPr>
          <w:rFonts w:hint="default" w:ascii="Times New Roman" w:hAnsi="Times New Roman" w:eastAsia="宋体" w:cs="Times New Roman"/>
          <w:color w:val="auto"/>
          <w:kern w:val="2"/>
          <w:sz w:val="24"/>
          <w:szCs w:val="24"/>
          <w:lang w:val="en-US" w:eastAsia="zh-CN" w:bidi="ar"/>
        </w:rPr>
        <w:t>经现场核查，</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kern w:val="2"/>
          <w:sz w:val="24"/>
          <w:szCs w:val="24"/>
          <w:lang w:val="en-US" w:eastAsia="zh-CN" w:bidi="ar"/>
        </w:rPr>
        <w:t>202</w:t>
      </w: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年度矿山地质环境治理工程通过了专家组的核查。</w:t>
      </w:r>
    </w:p>
    <w:p w14:paraId="7925D1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2022年度</w:t>
      </w:r>
    </w:p>
    <w:p w14:paraId="2B9C4A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color w:val="auto"/>
          <w:lang w:val="en-US" w:eastAsia="zh-CN"/>
        </w:rPr>
      </w:pPr>
      <w:r>
        <w:rPr>
          <w:rFonts w:hint="default" w:ascii="Times New Roman" w:hAnsi="Times New Roman" w:eastAsia="宋体" w:cs="Times New Roman"/>
          <w:color w:val="auto"/>
          <w:kern w:val="2"/>
          <w:sz w:val="24"/>
          <w:szCs w:val="24"/>
          <w:lang w:val="en-US" w:eastAsia="zh-CN" w:bidi="ar"/>
        </w:rPr>
        <w:t>治理工程设计：2022</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质环境治理计划书设计治理内容为</w:t>
      </w:r>
      <w:r>
        <w:rPr>
          <w:rFonts w:hint="default" w:ascii="Times New Roman" w:hAnsi="Times New Roman" w:eastAsia="宋体" w:cs="Times New Roman"/>
          <w:color w:val="auto"/>
          <w:sz w:val="24"/>
          <w:szCs w:val="24"/>
          <w:lang w:val="en-US" w:eastAsia="zh-CN"/>
        </w:rPr>
        <w:t>对</w:t>
      </w:r>
      <w:r>
        <w:rPr>
          <w:rFonts w:hint="default" w:ascii="Times New Roman" w:hAnsi="Times New Roman" w:eastAsia="宋体" w:cs="Times New Roman"/>
          <w:color w:val="auto"/>
          <w:sz w:val="24"/>
          <w:szCs w:val="24"/>
          <w:lang w:val="zh-CN" w:eastAsia="zh-CN"/>
        </w:rPr>
        <w:t>下歪脖子井</w:t>
      </w:r>
      <w:r>
        <w:rPr>
          <w:rFonts w:hint="default" w:ascii="Times New Roman" w:hAnsi="Times New Roman" w:eastAsia="宋体" w:cs="Times New Roman"/>
          <w:color w:val="auto"/>
          <w:sz w:val="24"/>
          <w:szCs w:val="24"/>
          <w:lang w:val="en-US" w:eastAsia="zh-CN"/>
        </w:rPr>
        <w:t>采区的采坑（2处）进行危岩体清理、采坑下部回填、石方整平；对废石堆（2处）进行清运、对清运后的场地覆土及土方整平、种草；对钻机平台（1处）进行回填、石方整平、覆土及土方整平、种草；对探槽（23处）进行回填、石方整平、覆土及土方整平、种草。并对地形地貌景观及土地资源进行监测。</w:t>
      </w:r>
    </w:p>
    <w:p w14:paraId="5B968C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2022年度</w:t>
      </w:r>
      <w:r>
        <w:rPr>
          <w:rFonts w:hint="default" w:ascii="Times New Roman" w:hAnsi="Times New Roman" w:eastAsia="宋体" w:cs="Times New Roman"/>
          <w:color w:val="auto"/>
          <w:kern w:val="2"/>
          <w:sz w:val="24"/>
          <w:szCs w:val="24"/>
          <w:lang w:val="en-US" w:eastAsia="zh-CN" w:bidi="ar"/>
        </w:rPr>
        <w:t>矿山地质环境治理措</w:t>
      </w:r>
      <w:r>
        <w:rPr>
          <w:rFonts w:hint="default" w:ascii="Times New Roman" w:hAnsi="Times New Roman" w:eastAsia="宋体" w:cs="Times New Roman"/>
          <w:color w:val="auto"/>
          <w:sz w:val="24"/>
          <w:szCs w:val="24"/>
          <w:lang w:eastAsia="zh-CN"/>
        </w:rPr>
        <w:t>施为工程措施和生物措施，</w:t>
      </w:r>
      <w:r>
        <w:rPr>
          <w:rFonts w:hint="default" w:ascii="Times New Roman" w:hAnsi="Times New Roman" w:eastAsia="宋体" w:cs="Times New Roman"/>
          <w:bCs/>
          <w:color w:val="auto"/>
          <w:sz w:val="24"/>
          <w:szCs w:val="24"/>
          <w:lang w:eastAsia="zh-CN"/>
        </w:rPr>
        <w:t>治理总面积</w:t>
      </w:r>
      <w:r>
        <w:rPr>
          <w:rFonts w:hint="eastAsia" w:ascii="Times New Roman" w:hAnsi="Times New Roman" w:eastAsia="宋体" w:cs="Times New Roman"/>
          <w:bCs/>
          <w:color w:val="auto"/>
          <w:sz w:val="24"/>
          <w:szCs w:val="24"/>
          <w:lang w:val="en-US" w:eastAsia="zh-CN"/>
        </w:rPr>
        <w:t>9702</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bCs/>
          <w:color w:val="auto"/>
          <w:sz w:val="24"/>
          <w:szCs w:val="24"/>
          <w:lang w:eastAsia="zh-CN"/>
        </w:rPr>
        <w:t>，复垦面积</w:t>
      </w:r>
      <w:r>
        <w:rPr>
          <w:rFonts w:hint="eastAsia" w:ascii="Times New Roman" w:hAnsi="Times New Roman" w:eastAsia="宋体" w:cs="Times New Roman"/>
          <w:bCs/>
          <w:color w:val="auto"/>
          <w:sz w:val="24"/>
          <w:szCs w:val="24"/>
          <w:lang w:val="en-US" w:eastAsia="zh-CN"/>
        </w:rPr>
        <w:t>7406</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全部</w:t>
      </w:r>
      <w:r>
        <w:rPr>
          <w:rFonts w:hint="default" w:ascii="Times New Roman" w:hAnsi="Times New Roman" w:eastAsia="宋体" w:cs="Times New Roman"/>
          <w:color w:val="auto"/>
          <w:sz w:val="24"/>
          <w:szCs w:val="24"/>
          <w:lang w:eastAsia="zh-CN"/>
        </w:rPr>
        <w:t>恢复为</w:t>
      </w:r>
      <w:r>
        <w:rPr>
          <w:rFonts w:hint="eastAsia" w:ascii="Times New Roman" w:hAnsi="Times New Roman" w:eastAsia="宋体" w:cs="Times New Roman"/>
          <w:color w:val="auto"/>
          <w:sz w:val="24"/>
          <w:szCs w:val="24"/>
          <w:lang w:val="en-US" w:eastAsia="zh-CN"/>
        </w:rPr>
        <w:t>草地</w:t>
      </w:r>
      <w:r>
        <w:rPr>
          <w:rFonts w:hint="default" w:ascii="Times New Roman" w:hAnsi="Times New Roman" w:eastAsia="宋体" w:cs="Times New Roman"/>
          <w:color w:val="auto"/>
          <w:sz w:val="24"/>
          <w:szCs w:val="24"/>
          <w:lang w:eastAsia="zh-CN"/>
        </w:rPr>
        <w:t>。</w:t>
      </w:r>
    </w:p>
    <w:p w14:paraId="075F2D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完成情况：</w:t>
      </w:r>
      <w:r>
        <w:rPr>
          <w:rFonts w:hint="default" w:ascii="Times New Roman" w:hAnsi="Times New Roman" w:eastAsia="宋体" w:cs="Times New Roman"/>
          <w:color w:val="auto"/>
          <w:kern w:val="2"/>
          <w:sz w:val="24"/>
          <w:szCs w:val="24"/>
          <w:lang w:val="en-US" w:eastAsia="zh-CN" w:bidi="ar"/>
        </w:rPr>
        <w:t>2023年</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31</w:t>
      </w:r>
      <w:r>
        <w:rPr>
          <w:rFonts w:hint="default" w:ascii="Times New Roman" w:hAnsi="Times New Roman" w:eastAsia="宋体" w:cs="Times New Roman"/>
          <w:color w:val="auto"/>
          <w:kern w:val="2"/>
          <w:sz w:val="24"/>
          <w:szCs w:val="24"/>
          <w:lang w:val="en-US" w:eastAsia="zh-CN" w:bidi="ar"/>
        </w:rPr>
        <w:t>日，赤峰市自然资源局松山区分局组织有关专家组成核查组对《</w:t>
      </w:r>
      <w:r>
        <w:rPr>
          <w:rFonts w:hint="default" w:ascii="Times New Roman" w:hAnsi="Times New Roman" w:eastAsia="宋体" w:cs="Times New Roman"/>
          <w:color w:val="auto"/>
          <w:sz w:val="24"/>
          <w:szCs w:val="24"/>
          <w:lang w:val="en-US" w:eastAsia="zh-CN"/>
        </w:rPr>
        <w:t>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eastAsia" w:ascii="Times New Roman" w:hAnsi="Times New Roman" w:eastAsia="宋体" w:cs="Times New Roman"/>
          <w:color w:val="auto"/>
          <w:sz w:val="24"/>
          <w:szCs w:val="24"/>
          <w:lang w:val="en-US" w:eastAsia="zh-CN"/>
        </w:rPr>
        <w:t>2022</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质环境治理计划书》执行情况进行了现场核查。</w:t>
      </w:r>
    </w:p>
    <w:p w14:paraId="203EAA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现场核查，矿山基本完成了</w:t>
      </w:r>
      <w:r>
        <w:rPr>
          <w:rFonts w:hint="default" w:ascii="Times New Roman" w:hAnsi="Times New Roman" w:eastAsia="宋体" w:cs="Times New Roman"/>
          <w:color w:val="auto"/>
          <w:kern w:val="2"/>
          <w:sz w:val="24"/>
          <w:szCs w:val="24"/>
          <w:lang w:val="zh-CN" w:eastAsia="zh-CN" w:bidi="ar"/>
        </w:rPr>
        <w:t>下歪脖子井</w:t>
      </w:r>
      <w:r>
        <w:rPr>
          <w:rFonts w:hint="default" w:ascii="Times New Roman" w:hAnsi="Times New Roman" w:eastAsia="宋体" w:cs="Times New Roman"/>
          <w:color w:val="auto"/>
          <w:kern w:val="2"/>
          <w:sz w:val="24"/>
          <w:szCs w:val="24"/>
          <w:lang w:val="en-US" w:eastAsia="zh-CN" w:bidi="ar"/>
        </w:rPr>
        <w:t>采区的</w:t>
      </w:r>
      <w:r>
        <w:rPr>
          <w:rFonts w:hint="eastAsia" w:ascii="Times New Roman" w:hAnsi="Times New Roman" w:eastAsia="宋体" w:cs="Times New Roman"/>
          <w:color w:val="auto"/>
          <w:kern w:val="2"/>
          <w:sz w:val="24"/>
          <w:szCs w:val="24"/>
          <w:lang w:val="en-US" w:eastAsia="zh-CN" w:bidi="ar"/>
        </w:rPr>
        <w:t>采坑危岩体清理、采坑下部回填、石方整平；完成了废石堆的清运及清运后的场地覆土及土方整平、种草；完成了</w:t>
      </w:r>
      <w:r>
        <w:rPr>
          <w:rFonts w:hint="default" w:ascii="Times New Roman" w:hAnsi="Times New Roman" w:eastAsia="宋体" w:cs="Times New Roman"/>
          <w:color w:val="auto"/>
          <w:kern w:val="2"/>
          <w:sz w:val="24"/>
          <w:szCs w:val="24"/>
          <w:lang w:val="en-US" w:eastAsia="zh-CN" w:bidi="ar"/>
        </w:rPr>
        <w:t>钻机平台</w:t>
      </w:r>
      <w:r>
        <w:rPr>
          <w:rFonts w:hint="eastAsia" w:ascii="Times New Roman" w:hAnsi="Times New Roman" w:eastAsia="宋体" w:cs="Times New Roman"/>
          <w:color w:val="auto"/>
          <w:kern w:val="2"/>
          <w:sz w:val="24"/>
          <w:szCs w:val="24"/>
          <w:lang w:val="en-US" w:eastAsia="zh-CN" w:bidi="ar"/>
        </w:rPr>
        <w:t>的</w:t>
      </w:r>
      <w:r>
        <w:rPr>
          <w:rFonts w:hint="default" w:ascii="Times New Roman" w:hAnsi="Times New Roman" w:eastAsia="宋体" w:cs="Times New Roman"/>
          <w:color w:val="auto"/>
          <w:kern w:val="2"/>
          <w:sz w:val="24"/>
          <w:szCs w:val="24"/>
          <w:lang w:val="en-US" w:eastAsia="zh-CN" w:bidi="ar"/>
        </w:rPr>
        <w:t>回填、</w:t>
      </w:r>
      <w:r>
        <w:rPr>
          <w:rFonts w:hint="eastAsia" w:ascii="Times New Roman" w:hAnsi="Times New Roman" w:eastAsia="宋体" w:cs="Times New Roman"/>
          <w:color w:val="auto"/>
          <w:kern w:val="2"/>
          <w:sz w:val="24"/>
          <w:szCs w:val="24"/>
          <w:lang w:val="en-US" w:eastAsia="zh-CN" w:bidi="ar"/>
        </w:rPr>
        <w:t>石方整平、</w:t>
      </w:r>
      <w:r>
        <w:rPr>
          <w:rFonts w:hint="default" w:ascii="Times New Roman" w:hAnsi="Times New Roman" w:eastAsia="宋体" w:cs="Times New Roman"/>
          <w:color w:val="auto"/>
          <w:kern w:val="2"/>
          <w:sz w:val="24"/>
          <w:szCs w:val="24"/>
          <w:lang w:val="en-US" w:eastAsia="zh-CN" w:bidi="ar"/>
        </w:rPr>
        <w:t>覆土</w:t>
      </w:r>
      <w:r>
        <w:rPr>
          <w:rFonts w:hint="eastAsia" w:ascii="Times New Roman" w:hAnsi="Times New Roman" w:eastAsia="宋体" w:cs="Times New Roman"/>
          <w:color w:val="auto"/>
          <w:kern w:val="2"/>
          <w:sz w:val="24"/>
          <w:szCs w:val="24"/>
          <w:lang w:val="en-US" w:eastAsia="zh-CN" w:bidi="ar"/>
        </w:rPr>
        <w:t>及土方整平</w:t>
      </w:r>
      <w:r>
        <w:rPr>
          <w:rFonts w:hint="default" w:ascii="Times New Roman" w:hAnsi="Times New Roman" w:eastAsia="宋体" w:cs="Times New Roman"/>
          <w:color w:val="auto"/>
          <w:kern w:val="2"/>
          <w:sz w:val="24"/>
          <w:szCs w:val="24"/>
          <w:lang w:val="en-US" w:eastAsia="zh-CN" w:bidi="ar"/>
        </w:rPr>
        <w:t>、种草；</w:t>
      </w:r>
      <w:r>
        <w:rPr>
          <w:rFonts w:hint="eastAsia" w:ascii="Times New Roman" w:hAnsi="Times New Roman" w:eastAsia="宋体" w:cs="Times New Roman"/>
          <w:color w:val="auto"/>
          <w:kern w:val="2"/>
          <w:sz w:val="24"/>
          <w:szCs w:val="24"/>
          <w:lang w:val="en-US" w:eastAsia="zh-CN" w:bidi="ar"/>
        </w:rPr>
        <w:t>完成了</w:t>
      </w:r>
      <w:r>
        <w:rPr>
          <w:rFonts w:hint="default" w:ascii="Times New Roman" w:hAnsi="Times New Roman" w:eastAsia="宋体" w:cs="Times New Roman"/>
          <w:color w:val="auto"/>
          <w:kern w:val="2"/>
          <w:sz w:val="24"/>
          <w:szCs w:val="24"/>
          <w:lang w:val="en-US" w:eastAsia="zh-CN" w:bidi="ar"/>
        </w:rPr>
        <w:t>探槽</w:t>
      </w:r>
      <w:r>
        <w:rPr>
          <w:rFonts w:hint="eastAsia" w:ascii="Times New Roman" w:hAnsi="Times New Roman" w:eastAsia="宋体" w:cs="Times New Roman"/>
          <w:color w:val="auto"/>
          <w:kern w:val="2"/>
          <w:sz w:val="24"/>
          <w:szCs w:val="24"/>
          <w:lang w:val="en-US" w:eastAsia="zh-CN" w:bidi="ar"/>
        </w:rPr>
        <w:t>的</w:t>
      </w:r>
      <w:r>
        <w:rPr>
          <w:rFonts w:hint="default" w:ascii="Times New Roman" w:hAnsi="Times New Roman" w:eastAsia="宋体" w:cs="Times New Roman"/>
          <w:color w:val="auto"/>
          <w:kern w:val="2"/>
          <w:sz w:val="24"/>
          <w:szCs w:val="24"/>
          <w:lang w:val="en-US" w:eastAsia="zh-CN" w:bidi="ar"/>
        </w:rPr>
        <w:t>回填、</w:t>
      </w:r>
      <w:r>
        <w:rPr>
          <w:rFonts w:hint="eastAsia" w:ascii="Times New Roman" w:hAnsi="Times New Roman" w:eastAsia="宋体" w:cs="Times New Roman"/>
          <w:color w:val="auto"/>
          <w:kern w:val="2"/>
          <w:sz w:val="24"/>
          <w:szCs w:val="24"/>
          <w:lang w:val="en-US" w:eastAsia="zh-CN" w:bidi="ar"/>
        </w:rPr>
        <w:t>石方整平、</w:t>
      </w:r>
      <w:r>
        <w:rPr>
          <w:rFonts w:hint="default" w:ascii="Times New Roman" w:hAnsi="Times New Roman" w:eastAsia="宋体" w:cs="Times New Roman"/>
          <w:color w:val="auto"/>
          <w:kern w:val="2"/>
          <w:sz w:val="24"/>
          <w:szCs w:val="24"/>
          <w:lang w:val="en-US" w:eastAsia="zh-CN" w:bidi="ar"/>
        </w:rPr>
        <w:t>覆土</w:t>
      </w:r>
      <w:r>
        <w:rPr>
          <w:rFonts w:hint="eastAsia" w:ascii="Times New Roman" w:hAnsi="Times New Roman" w:eastAsia="宋体" w:cs="Times New Roman"/>
          <w:color w:val="auto"/>
          <w:kern w:val="2"/>
          <w:sz w:val="24"/>
          <w:szCs w:val="24"/>
          <w:lang w:val="en-US" w:eastAsia="zh-CN" w:bidi="ar"/>
        </w:rPr>
        <w:t>及土方整平</w:t>
      </w:r>
      <w:r>
        <w:rPr>
          <w:rFonts w:hint="default" w:ascii="Times New Roman" w:hAnsi="Times New Roman" w:eastAsia="宋体" w:cs="Times New Roman"/>
          <w:color w:val="auto"/>
          <w:kern w:val="2"/>
          <w:sz w:val="24"/>
          <w:szCs w:val="24"/>
          <w:lang w:val="en-US" w:eastAsia="zh-CN" w:bidi="ar"/>
        </w:rPr>
        <w:t>、种草。</w:t>
      </w:r>
      <w:r>
        <w:rPr>
          <w:rFonts w:hint="eastAsia" w:ascii="Times New Roman" w:hAnsi="Times New Roman" w:eastAsia="宋体" w:cs="Times New Roman"/>
          <w:color w:val="auto"/>
          <w:kern w:val="2"/>
          <w:sz w:val="24"/>
          <w:szCs w:val="24"/>
          <w:lang w:val="en-US" w:eastAsia="zh-CN" w:bidi="ar"/>
        </w:rPr>
        <w:t>限于覆土土源不足及施工边坡坡度陡，部分单元的覆土厚度略有欠缺。矿山已开始</w:t>
      </w:r>
      <w:r>
        <w:rPr>
          <w:rFonts w:hint="default" w:ascii="Times New Roman" w:hAnsi="Times New Roman" w:eastAsia="宋体" w:cs="Times New Roman"/>
          <w:color w:val="auto"/>
          <w:kern w:val="2"/>
          <w:sz w:val="24"/>
          <w:szCs w:val="24"/>
          <w:lang w:val="en-US" w:eastAsia="zh-CN" w:bidi="ar"/>
        </w:rPr>
        <w:t>对矿区地形地貌景观及土地资源进行监测。</w:t>
      </w:r>
    </w:p>
    <w:p w14:paraId="67A9643C">
      <w:pPr>
        <w:ind w:firstLine="562"/>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存在问题：限于回填物源，2022年度设计治理的两处采坑属于阶段性治理工程，未来矿山露天采场剥离生产时应继续进行回填确保采坑的原地貌得到恢复。</w:t>
      </w:r>
    </w:p>
    <w:p w14:paraId="68EF5390">
      <w:pPr>
        <w:ind w:firstLine="562"/>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专家组认为，矿山基本完成了《赤峰矿业（集团）有限责任公司松山区羊草沟-下歪脖子井白云岩矿202</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年度矿山地质环境治理计划书》设计的治理工程</w:t>
      </w:r>
      <w:r>
        <w:rPr>
          <w:rFonts w:hint="eastAsia" w:ascii="Times New Roman" w:hAnsi="Times New Roman" w:eastAsia="宋体" w:cs="Times New Roman"/>
          <w:color w:val="auto"/>
          <w:kern w:val="2"/>
          <w:sz w:val="24"/>
          <w:szCs w:val="24"/>
          <w:lang w:val="en-US" w:eastAsia="zh-CN" w:bidi="ar"/>
        </w:rPr>
        <w:t>内容</w:t>
      </w:r>
      <w:r>
        <w:rPr>
          <w:rFonts w:hint="default" w:ascii="Times New Roman" w:hAnsi="Times New Roman" w:eastAsia="宋体" w:cs="Times New Roman"/>
          <w:color w:val="auto"/>
          <w:kern w:val="2"/>
          <w:sz w:val="24"/>
          <w:szCs w:val="24"/>
          <w:lang w:val="en-US" w:eastAsia="zh-CN" w:bidi="ar"/>
        </w:rPr>
        <w:t>，治理工程效果基本符合年度治理计划书的要求。</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kern w:val="2"/>
          <w:sz w:val="24"/>
          <w:szCs w:val="24"/>
          <w:lang w:val="en-US" w:eastAsia="zh-CN" w:bidi="ar"/>
        </w:rPr>
        <w:t>202</w:t>
      </w: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年度矿山地质环境治理工程通过了专家组的核查。</w:t>
      </w:r>
    </w:p>
    <w:p w14:paraId="600168E6">
      <w:pPr>
        <w:pStyle w:val="2"/>
        <w:ind w:firstLine="480" w:firstLineChars="200"/>
        <w:jc w:val="both"/>
        <w:rPr>
          <w:rFonts w:hint="default" w:ascii="Times New Roman" w:hAnsi="Times New Roman" w:eastAsia="宋体" w:cs="Times New Roman"/>
          <w:color w:val="auto"/>
          <w:kern w:val="2"/>
          <w:sz w:val="24"/>
          <w:szCs w:val="24"/>
          <w:lang w:val="en-US" w:eastAsia="zh-CN" w:bidi="ar"/>
        </w:rPr>
      </w:pPr>
      <w:r>
        <w:rPr>
          <w:rFonts w:hint="eastAsia" w:cs="Times New Roman"/>
          <w:color w:val="auto"/>
          <w:kern w:val="2"/>
          <w:sz w:val="24"/>
          <w:szCs w:val="24"/>
          <w:lang w:val="en-US" w:eastAsia="zh-CN" w:bidi="ar"/>
        </w:rPr>
        <w:t>治理工程效果见照片2-1至照片2-9。</w:t>
      </w:r>
    </w:p>
    <w:p w14:paraId="3A0A8782">
      <w:pPr>
        <w:pStyle w:val="2"/>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7E96625C">
      <w:pPr>
        <w:pStyle w:val="2"/>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照片2-1   </w:t>
      </w:r>
      <w:r>
        <w:rPr>
          <w:rFonts w:hint="eastAsia" w:ascii="Times New Roman" w:hAnsi="Times New Roman" w:eastAsia="黑体" w:cs="Times New Roman"/>
          <w:color w:val="auto"/>
          <w:sz w:val="24"/>
          <w:szCs w:val="24"/>
          <w:lang w:val="en-US" w:eastAsia="zh-CN"/>
        </w:rPr>
        <w:t>下歪脖子井采区采坑CK1与废石堆1</w:t>
      </w:r>
      <w:r>
        <w:rPr>
          <w:rFonts w:hint="eastAsia" w:ascii="Times New Roman" w:eastAsia="黑体" w:cs="Times New Roman"/>
          <w:color w:val="auto"/>
          <w:sz w:val="24"/>
          <w:szCs w:val="24"/>
          <w:lang w:val="en-US" w:eastAsia="zh-CN"/>
        </w:rPr>
        <w:t>远景</w:t>
      </w:r>
      <w:r>
        <w:rPr>
          <w:rFonts w:hint="eastAsia" w:ascii="Times New Roman" w:hAnsi="Times New Roman" w:eastAsia="黑体" w:cs="Times New Roman"/>
          <w:color w:val="auto"/>
          <w:sz w:val="24"/>
          <w:szCs w:val="24"/>
          <w:lang w:val="en-US" w:eastAsia="zh-CN"/>
        </w:rPr>
        <w:t>治理效果照片</w:t>
      </w:r>
    </w:p>
    <w:p w14:paraId="2951BB3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 xml:space="preserve">       </w:t>
      </w:r>
    </w:p>
    <w:p w14:paraId="08E05E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照片2-2   </w:t>
      </w:r>
      <w:r>
        <w:rPr>
          <w:rFonts w:hint="eastAsia" w:ascii="Times New Roman" w:hAnsi="Times New Roman" w:eastAsia="黑体" w:cs="Times New Roman"/>
          <w:color w:val="auto"/>
          <w:sz w:val="24"/>
          <w:szCs w:val="24"/>
          <w:lang w:val="en-US" w:eastAsia="zh-CN"/>
        </w:rPr>
        <w:t>下歪脖子井采区采坑CK1与废石堆1近景治理效果照片</w:t>
      </w:r>
    </w:p>
    <w:p w14:paraId="5A5C2A79">
      <w:pPr>
        <w:pStyle w:val="2"/>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1C827C0C">
      <w:pPr>
        <w:pStyle w:val="2"/>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照片2-3   </w:t>
      </w:r>
      <w:r>
        <w:rPr>
          <w:rFonts w:hint="eastAsia" w:ascii="Times New Roman" w:hAnsi="Times New Roman" w:eastAsia="黑体" w:cs="Times New Roman"/>
          <w:color w:val="auto"/>
          <w:sz w:val="24"/>
          <w:szCs w:val="24"/>
          <w:lang w:val="en-US" w:eastAsia="zh-CN"/>
        </w:rPr>
        <w:t>下歪脖子井采区采坑CK</w:t>
      </w:r>
      <w:r>
        <w:rPr>
          <w:rFonts w:hint="eastAsia" w:ascii="Times New Roman" w:eastAsia="黑体" w:cs="Times New Roman"/>
          <w:color w:val="auto"/>
          <w:sz w:val="24"/>
          <w:szCs w:val="24"/>
          <w:lang w:val="en-US" w:eastAsia="zh-CN"/>
        </w:rPr>
        <w:t>2</w:t>
      </w:r>
      <w:r>
        <w:rPr>
          <w:rFonts w:hint="eastAsia" w:ascii="Times New Roman" w:hAnsi="Times New Roman" w:eastAsia="黑体" w:cs="Times New Roman"/>
          <w:color w:val="auto"/>
          <w:sz w:val="24"/>
          <w:szCs w:val="24"/>
          <w:lang w:val="en-US" w:eastAsia="zh-CN"/>
        </w:rPr>
        <w:t>与废石堆</w:t>
      </w:r>
      <w:r>
        <w:rPr>
          <w:rFonts w:hint="eastAsia" w:ascii="Times New Roman" w:eastAsia="黑体" w:cs="Times New Roman"/>
          <w:color w:val="auto"/>
          <w:sz w:val="24"/>
          <w:szCs w:val="24"/>
          <w:lang w:val="en-US" w:eastAsia="zh-CN"/>
        </w:rPr>
        <w:t>2</w:t>
      </w:r>
      <w:r>
        <w:rPr>
          <w:rFonts w:hint="eastAsia" w:ascii="Times New Roman" w:hAnsi="Times New Roman" w:eastAsia="黑体" w:cs="Times New Roman"/>
          <w:color w:val="auto"/>
          <w:sz w:val="24"/>
          <w:szCs w:val="24"/>
          <w:lang w:val="en-US" w:eastAsia="zh-CN"/>
        </w:rPr>
        <w:t>治理效果照片</w:t>
      </w:r>
    </w:p>
    <w:p w14:paraId="59710A7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2C239B1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照片2-4   </w:t>
      </w:r>
      <w:r>
        <w:rPr>
          <w:rFonts w:hint="eastAsia" w:ascii="Times New Roman" w:hAnsi="Times New Roman" w:eastAsia="黑体" w:cs="Times New Roman"/>
          <w:color w:val="auto"/>
          <w:sz w:val="24"/>
          <w:szCs w:val="24"/>
          <w:lang w:val="en-US" w:eastAsia="zh-CN"/>
        </w:rPr>
        <w:t>下歪脖子井采区探槽治理</w:t>
      </w:r>
      <w:r>
        <w:rPr>
          <w:rFonts w:hint="eastAsia" w:ascii="Times New Roman" w:hAnsi="Times New Roman" w:eastAsia="黑体" w:cs="Times New Roman"/>
          <w:color w:val="auto"/>
          <w:sz w:val="24"/>
          <w:szCs w:val="24"/>
        </w:rPr>
        <w:t>效果照片</w:t>
      </w:r>
    </w:p>
    <w:p w14:paraId="4E38C559">
      <w:pPr>
        <w:pStyle w:val="2"/>
        <w:rPr>
          <w:rFonts w:hint="eastAsia" w:eastAsia="宋体"/>
          <w:color w:val="auto"/>
          <w:lang w:eastAsia="zh-CN"/>
        </w:rPr>
      </w:pPr>
      <w:r>
        <w:rPr>
          <w:rFonts w:hint="eastAsia"/>
          <w:color w:val="auto"/>
          <w:lang w:eastAsia="zh-CN"/>
        </w:rPr>
        <w:t xml:space="preserve">       </w:t>
      </w:r>
    </w:p>
    <w:p w14:paraId="7C011B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照片2-5   </w:t>
      </w:r>
      <w:r>
        <w:rPr>
          <w:rFonts w:hint="eastAsia" w:ascii="Times New Roman" w:hAnsi="Times New Roman" w:eastAsia="黑体" w:cs="Times New Roman"/>
          <w:color w:val="auto"/>
          <w:sz w:val="24"/>
          <w:szCs w:val="24"/>
          <w:lang w:val="en-US" w:eastAsia="zh-CN"/>
        </w:rPr>
        <w:t>下歪脖子井采区探槽治理</w:t>
      </w:r>
      <w:r>
        <w:rPr>
          <w:rFonts w:hint="eastAsia" w:ascii="Times New Roman" w:hAnsi="Times New Roman" w:eastAsia="黑体" w:cs="Times New Roman"/>
          <w:color w:val="auto"/>
          <w:sz w:val="24"/>
          <w:szCs w:val="24"/>
        </w:rPr>
        <w:t>效果照片</w:t>
      </w:r>
    </w:p>
    <w:p w14:paraId="395E34CB">
      <w:pPr>
        <w:ind w:left="0" w:leftChars="0" w:firstLine="0" w:firstLineChars="0"/>
        <w:jc w:val="center"/>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121A13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照片2-6   </w:t>
      </w:r>
      <w:r>
        <w:rPr>
          <w:rFonts w:hint="eastAsia" w:ascii="Times New Roman" w:hAnsi="Times New Roman" w:eastAsia="黑体" w:cs="Times New Roman"/>
          <w:color w:val="auto"/>
          <w:sz w:val="24"/>
          <w:szCs w:val="24"/>
          <w:lang w:val="en-US" w:eastAsia="zh-CN"/>
        </w:rPr>
        <w:t>下歪脖子井采区探槽回填后撒播种草</w:t>
      </w:r>
      <w:r>
        <w:rPr>
          <w:rFonts w:hint="eastAsia" w:ascii="Times New Roman" w:hAnsi="Times New Roman" w:eastAsia="黑体" w:cs="Times New Roman"/>
          <w:color w:val="auto"/>
          <w:sz w:val="24"/>
          <w:szCs w:val="24"/>
        </w:rPr>
        <w:t>照片</w:t>
      </w:r>
    </w:p>
    <w:p w14:paraId="1ABC1FC5">
      <w:pPr>
        <w:pStyle w:val="2"/>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5648C04E">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照片2-7   </w:t>
      </w:r>
      <w:r>
        <w:rPr>
          <w:rFonts w:hint="eastAsia" w:ascii="Times New Roman" w:hAnsi="Times New Roman" w:eastAsia="黑体" w:cs="Times New Roman"/>
          <w:color w:val="auto"/>
          <w:sz w:val="24"/>
          <w:szCs w:val="24"/>
          <w:lang w:val="en-US" w:eastAsia="zh-CN"/>
        </w:rPr>
        <w:t>下歪脖子井采区探槽回填后撒播种草</w:t>
      </w:r>
      <w:r>
        <w:rPr>
          <w:rFonts w:hint="eastAsia" w:ascii="Times New Roman" w:hAnsi="Times New Roman" w:eastAsia="黑体" w:cs="Times New Roman"/>
          <w:color w:val="auto"/>
          <w:sz w:val="24"/>
          <w:szCs w:val="24"/>
        </w:rPr>
        <w:t>照片</w:t>
      </w:r>
    </w:p>
    <w:p w14:paraId="0C7A131A">
      <w:pPr>
        <w:pStyle w:val="2"/>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21C2E480">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照片2-8   </w:t>
      </w:r>
      <w:r>
        <w:rPr>
          <w:rFonts w:hint="eastAsia" w:ascii="Times New Roman" w:hAnsi="Times New Roman" w:eastAsia="黑体" w:cs="Times New Roman"/>
          <w:color w:val="auto"/>
          <w:sz w:val="24"/>
          <w:szCs w:val="24"/>
          <w:lang w:val="en-US" w:eastAsia="zh-CN"/>
        </w:rPr>
        <w:t>下歪脖子井采区</w:t>
      </w:r>
      <w:r>
        <w:rPr>
          <w:rFonts w:hint="eastAsia" w:ascii="Times New Roman" w:eastAsia="黑体" w:cs="Times New Roman"/>
          <w:color w:val="auto"/>
          <w:sz w:val="24"/>
          <w:szCs w:val="24"/>
          <w:lang w:val="en-US" w:eastAsia="zh-CN"/>
        </w:rPr>
        <w:t>ZJPT1治理</w:t>
      </w:r>
      <w:r>
        <w:rPr>
          <w:rFonts w:hint="eastAsia" w:ascii="Times New Roman" w:hAnsi="Times New Roman" w:eastAsia="黑体" w:cs="Times New Roman"/>
          <w:color w:val="auto"/>
          <w:sz w:val="24"/>
          <w:szCs w:val="24"/>
          <w:lang w:val="en-US" w:eastAsia="zh-CN"/>
        </w:rPr>
        <w:t>后</w:t>
      </w:r>
      <w:r>
        <w:rPr>
          <w:rFonts w:hint="eastAsia" w:ascii="Times New Roman" w:hAnsi="Times New Roman" w:eastAsia="黑体" w:cs="Times New Roman"/>
          <w:color w:val="auto"/>
          <w:sz w:val="24"/>
          <w:szCs w:val="24"/>
        </w:rPr>
        <w:t>照片</w:t>
      </w:r>
    </w:p>
    <w:p w14:paraId="06EF6404">
      <w:pPr>
        <w:snapToGrid w:val="0"/>
        <w:spacing w:line="360" w:lineRule="auto"/>
        <w:ind w:left="0" w:leftChars="0" w:firstLine="0" w:firstLineChars="0"/>
        <w:jc w:val="center"/>
        <w:rPr>
          <w:rFonts w:hint="eastAsia" w:eastAsia="仿宋"/>
          <w:color w:val="auto"/>
          <w:lang w:eastAsia="zh-CN"/>
        </w:rPr>
      </w:pPr>
      <w:r>
        <w:rPr>
          <w:rFonts w:hint="eastAsia"/>
          <w:color w:val="auto"/>
          <w:lang w:eastAsia="zh-CN"/>
        </w:rPr>
        <w:t xml:space="preserve">       </w:t>
      </w:r>
    </w:p>
    <w:p w14:paraId="6ED08EE0">
      <w:pPr>
        <w:pStyle w:val="2"/>
        <w:jc w:val="center"/>
        <w:rPr>
          <w:rFonts w:hint="eastAsia" w:ascii="Times New Roman" w:hAnsi="Times New Roman" w:eastAsia="宋体" w:cs="Times New Roman"/>
          <w:color w:val="auto"/>
          <w:kern w:val="2"/>
          <w:sz w:val="24"/>
          <w:szCs w:val="24"/>
          <w:lang w:val="en-US" w:eastAsia="zh-CN" w:bidi="ar"/>
        </w:rPr>
      </w:pPr>
      <w:r>
        <w:rPr>
          <w:rFonts w:hint="eastAsia" w:ascii="Times New Roman" w:eastAsia="黑体" w:cs="Times New Roman"/>
          <w:color w:val="auto"/>
          <w:sz w:val="24"/>
          <w:szCs w:val="24"/>
          <w:lang w:val="en-US" w:eastAsia="zh-CN"/>
        </w:rPr>
        <w:t xml:space="preserve">照片2-9   </w:t>
      </w:r>
      <w:r>
        <w:rPr>
          <w:rFonts w:hint="eastAsia" w:ascii="Times New Roman" w:hAnsi="Times New Roman" w:eastAsia="黑体" w:cs="Times New Roman"/>
          <w:color w:val="auto"/>
          <w:sz w:val="24"/>
          <w:szCs w:val="24"/>
          <w:lang w:val="en-US" w:eastAsia="zh-CN"/>
        </w:rPr>
        <w:t>下歪脖子井采区</w:t>
      </w:r>
      <w:r>
        <w:rPr>
          <w:rFonts w:hint="eastAsia" w:ascii="Times New Roman" w:eastAsia="黑体" w:cs="Times New Roman"/>
          <w:color w:val="auto"/>
          <w:sz w:val="24"/>
          <w:szCs w:val="24"/>
          <w:lang w:val="en-US" w:eastAsia="zh-CN"/>
        </w:rPr>
        <w:t>ZJPT1治理</w:t>
      </w:r>
      <w:r>
        <w:rPr>
          <w:rFonts w:hint="eastAsia" w:ascii="Times New Roman" w:hAnsi="Times New Roman" w:eastAsia="黑体" w:cs="Times New Roman"/>
          <w:color w:val="auto"/>
          <w:sz w:val="24"/>
          <w:szCs w:val="24"/>
          <w:lang w:val="en-US" w:eastAsia="zh-CN"/>
        </w:rPr>
        <w:t>后</w:t>
      </w:r>
      <w:r>
        <w:rPr>
          <w:rFonts w:hint="eastAsia" w:ascii="Times New Roman" w:hAnsi="Times New Roman" w:eastAsia="黑体" w:cs="Times New Roman"/>
          <w:color w:val="auto"/>
          <w:sz w:val="24"/>
          <w:szCs w:val="24"/>
        </w:rPr>
        <w:t>照片</w:t>
      </w:r>
    </w:p>
    <w:p w14:paraId="32F400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2023年度</w:t>
      </w:r>
    </w:p>
    <w:p w14:paraId="5A0275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color w:val="auto"/>
          <w:lang w:val="en-US" w:eastAsia="zh-CN"/>
        </w:rPr>
      </w:pPr>
      <w:r>
        <w:rPr>
          <w:rFonts w:hint="default" w:ascii="Times New Roman" w:hAnsi="Times New Roman" w:eastAsia="宋体" w:cs="Times New Roman"/>
          <w:color w:val="auto"/>
          <w:kern w:val="2"/>
          <w:sz w:val="24"/>
          <w:szCs w:val="24"/>
          <w:lang w:val="en-US" w:eastAsia="zh-CN" w:bidi="ar"/>
        </w:rPr>
        <w:t>治理工程设计：202</w:t>
      </w:r>
      <w:r>
        <w:rPr>
          <w:rFonts w:hint="eastAsia"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质环境治理计划书设计治理内容为</w:t>
      </w:r>
      <w:r>
        <w:rPr>
          <w:rFonts w:hint="default" w:ascii="Times New Roman" w:hAnsi="Times New Roman" w:eastAsia="宋体" w:cs="Times New Roman"/>
          <w:color w:val="auto"/>
          <w:sz w:val="24"/>
          <w:szCs w:val="24"/>
          <w:lang w:val="en-US" w:eastAsia="zh-CN"/>
        </w:rPr>
        <w:t>对</w:t>
      </w:r>
      <w:r>
        <w:rPr>
          <w:rFonts w:hint="eastAsia" w:ascii="Times New Roman" w:hAnsi="Times New Roman" w:eastAsia="宋体" w:cs="Times New Roman"/>
          <w:color w:val="auto"/>
          <w:sz w:val="24"/>
          <w:szCs w:val="24"/>
          <w:lang w:val="en-US" w:eastAsia="zh-CN"/>
        </w:rPr>
        <w:t>羊</w:t>
      </w:r>
      <w:r>
        <w:rPr>
          <w:rFonts w:hint="eastAsia" w:ascii="Times New Roman" w:hAnsi="Times New Roman" w:eastAsia="宋体" w:cs="Times New Roman"/>
          <w:color w:val="auto"/>
          <w:kern w:val="2"/>
          <w:sz w:val="24"/>
          <w:szCs w:val="24"/>
          <w:lang w:val="en-US" w:eastAsia="zh-CN" w:bidi="ar"/>
        </w:rPr>
        <w:t>草沟采区</w:t>
      </w:r>
      <w:r>
        <w:rPr>
          <w:rFonts w:hint="default" w:ascii="Times New Roman" w:hAnsi="Times New Roman" w:eastAsia="宋体" w:cs="Times New Roman"/>
          <w:color w:val="auto"/>
          <w:sz w:val="24"/>
          <w:szCs w:val="24"/>
          <w:lang w:val="en-US" w:eastAsia="zh-CN"/>
        </w:rPr>
        <w:t>的钻机平台（</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处）进行回填、石方整平、覆土及土方整平、种草；对探槽（</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处）进行回填、石方整平、覆土及土方整平、种草</w:t>
      </w:r>
      <w:r>
        <w:rPr>
          <w:rFonts w:hint="eastAsia" w:ascii="Times New Roman" w:hAnsi="Times New Roman" w:eastAsia="宋体" w:cs="Times New Roman"/>
          <w:color w:val="auto"/>
          <w:sz w:val="24"/>
          <w:szCs w:val="24"/>
          <w:lang w:val="en-US" w:eastAsia="zh-CN"/>
        </w:rPr>
        <w:t>；对矿区道路进行垫坡整形</w:t>
      </w:r>
      <w:r>
        <w:rPr>
          <w:rFonts w:hint="default" w:ascii="Times New Roman" w:hAnsi="Times New Roman" w:eastAsia="宋体" w:cs="Times New Roman"/>
          <w:color w:val="auto"/>
          <w:sz w:val="24"/>
          <w:szCs w:val="24"/>
          <w:lang w:val="en-US" w:eastAsia="zh-CN"/>
        </w:rPr>
        <w:t>、覆土及土方整平、种草</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并对地形地貌景观及土地资源进行监测。</w:t>
      </w:r>
    </w:p>
    <w:p w14:paraId="1E183E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2023年度</w:t>
      </w:r>
      <w:r>
        <w:rPr>
          <w:rFonts w:hint="default" w:ascii="Times New Roman" w:hAnsi="Times New Roman" w:eastAsia="宋体" w:cs="Times New Roman"/>
          <w:color w:val="auto"/>
          <w:kern w:val="2"/>
          <w:sz w:val="24"/>
          <w:szCs w:val="24"/>
          <w:lang w:val="en-US" w:eastAsia="zh-CN" w:bidi="ar"/>
        </w:rPr>
        <w:t>矿山地质环境治理措</w:t>
      </w:r>
      <w:r>
        <w:rPr>
          <w:rFonts w:hint="default" w:ascii="Times New Roman" w:hAnsi="Times New Roman" w:eastAsia="宋体" w:cs="Times New Roman"/>
          <w:color w:val="auto"/>
          <w:sz w:val="24"/>
          <w:szCs w:val="24"/>
          <w:lang w:eastAsia="zh-CN"/>
        </w:rPr>
        <w:t>施为工程措施和生物措施，</w:t>
      </w:r>
      <w:r>
        <w:rPr>
          <w:rFonts w:hint="default" w:ascii="Times New Roman" w:hAnsi="Times New Roman" w:eastAsia="宋体" w:cs="Times New Roman"/>
          <w:bCs/>
          <w:color w:val="auto"/>
          <w:sz w:val="24"/>
          <w:szCs w:val="24"/>
          <w:lang w:eastAsia="zh-CN"/>
        </w:rPr>
        <w:t>治理总面积</w:t>
      </w:r>
      <w:r>
        <w:rPr>
          <w:rFonts w:hint="eastAsia" w:ascii="Times New Roman" w:hAnsi="Times New Roman" w:eastAsia="宋体" w:cs="Times New Roman"/>
          <w:bCs/>
          <w:color w:val="auto"/>
          <w:sz w:val="24"/>
          <w:szCs w:val="24"/>
          <w:lang w:val="en-US" w:eastAsia="zh-CN"/>
        </w:rPr>
        <w:t>4099</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bCs/>
          <w:color w:val="auto"/>
          <w:sz w:val="24"/>
          <w:szCs w:val="24"/>
          <w:lang w:eastAsia="zh-CN"/>
        </w:rPr>
        <w:t>，复垦面积</w:t>
      </w:r>
      <w:r>
        <w:rPr>
          <w:rFonts w:hint="eastAsia" w:ascii="Times New Roman" w:hAnsi="Times New Roman" w:eastAsia="宋体" w:cs="Times New Roman"/>
          <w:bCs/>
          <w:color w:val="auto"/>
          <w:sz w:val="24"/>
          <w:szCs w:val="24"/>
          <w:lang w:val="en-US" w:eastAsia="zh-CN"/>
        </w:rPr>
        <w:t>4099</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全部</w:t>
      </w:r>
      <w:r>
        <w:rPr>
          <w:rFonts w:hint="default" w:ascii="Times New Roman" w:hAnsi="Times New Roman" w:eastAsia="宋体" w:cs="Times New Roman"/>
          <w:color w:val="auto"/>
          <w:sz w:val="24"/>
          <w:szCs w:val="24"/>
          <w:lang w:eastAsia="zh-CN"/>
        </w:rPr>
        <w:t>恢复为</w:t>
      </w:r>
      <w:r>
        <w:rPr>
          <w:rFonts w:hint="eastAsia" w:ascii="Times New Roman" w:hAnsi="Times New Roman" w:eastAsia="宋体" w:cs="Times New Roman"/>
          <w:color w:val="auto"/>
          <w:sz w:val="24"/>
          <w:szCs w:val="24"/>
          <w:lang w:val="en-US" w:eastAsia="zh-CN"/>
        </w:rPr>
        <w:t>草地</w:t>
      </w:r>
      <w:r>
        <w:rPr>
          <w:rFonts w:hint="default" w:ascii="Times New Roman" w:hAnsi="Times New Roman" w:eastAsia="宋体" w:cs="Times New Roman"/>
          <w:color w:val="auto"/>
          <w:sz w:val="24"/>
          <w:szCs w:val="24"/>
          <w:lang w:eastAsia="zh-CN"/>
        </w:rPr>
        <w:t>。</w:t>
      </w:r>
    </w:p>
    <w:p w14:paraId="24EC8D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lang w:val="en-US" w:eastAsia="zh-CN"/>
        </w:rPr>
      </w:pPr>
      <w:r>
        <w:rPr>
          <w:rFonts w:hint="eastAsia" w:ascii="Times New Roman" w:hAnsi="Times New Roman" w:eastAsia="宋体" w:cs="Times New Roman"/>
          <w:color w:val="auto"/>
          <w:kern w:val="2"/>
          <w:sz w:val="24"/>
          <w:szCs w:val="24"/>
          <w:lang w:val="en-US" w:eastAsia="zh-CN" w:bidi="ar"/>
        </w:rPr>
        <w:t>矿山企业组织具有相应资质的施工队伍进行治理，但因林草相关部门因为避免继续增大破坏、且破坏单元面积较小、挖损成度较轻，可自然恢复等多方面原因的情况下，设计工程暂未实施，未进行现场核查验收。</w:t>
      </w:r>
    </w:p>
    <w:p w14:paraId="7B124CDA">
      <w:pPr>
        <w:ind w:firstLine="562"/>
        <w:rPr>
          <w:rFonts w:hint="eastAsia" w:ascii="宋体" w:hAnsi="宋体" w:eastAsia="宋体" w:cs="宋体"/>
          <w:b/>
          <w:bCs/>
          <w:color w:val="auto"/>
          <w:lang w:eastAsia="zh-CN"/>
        </w:rPr>
      </w:pPr>
      <w:r>
        <w:rPr>
          <w:rFonts w:hint="eastAsia" w:ascii="宋体" w:hAnsi="宋体" w:eastAsia="宋体" w:cs="宋体"/>
          <w:b/>
          <w:bCs/>
          <w:color w:val="auto"/>
          <w:sz w:val="24"/>
          <w:szCs w:val="24"/>
          <w:lang w:eastAsia="zh-CN"/>
        </w:rPr>
        <w:t>前期治理存在的问题</w:t>
      </w:r>
    </w:p>
    <w:p w14:paraId="6B1B6780">
      <w:pPr>
        <w:spacing w:line="360" w:lineRule="auto"/>
        <w:ind w:firstLine="480" w:firstLineChars="200"/>
        <w:rPr>
          <w:rFonts w:hint="default" w:ascii="宋体" w:hAnsi="宋体" w:eastAsia="宋体" w:cs="宋体"/>
          <w:color w:val="auto"/>
          <w:sz w:val="28"/>
          <w:szCs w:val="28"/>
          <w:highlight w:val="none"/>
          <w:lang w:val="en-US" w:eastAsia="zh-CN"/>
        </w:rPr>
      </w:pPr>
      <w:r>
        <w:rPr>
          <w:rFonts w:hint="eastAsia" w:ascii="Times New Roman" w:hAnsi="Times New Roman" w:eastAsia="宋体" w:cs="Times New Roman"/>
          <w:color w:val="auto"/>
          <w:kern w:val="2"/>
          <w:sz w:val="24"/>
          <w:szCs w:val="24"/>
          <w:lang w:val="en-US" w:eastAsia="zh-CN" w:bidi="ar"/>
        </w:rPr>
        <w:t>经本次现场踏勘，治理区地形地貌景观协调性较好，但因</w:t>
      </w:r>
      <w:r>
        <w:rPr>
          <w:rFonts w:hint="default" w:ascii="Times New Roman" w:hAnsi="Times New Roman" w:eastAsia="宋体" w:cs="Times New Roman"/>
          <w:color w:val="auto"/>
          <w:kern w:val="2"/>
          <w:sz w:val="24"/>
          <w:szCs w:val="24"/>
          <w:lang w:val="en-US" w:eastAsia="zh-CN" w:bidi="ar"/>
        </w:rPr>
        <w:t>气候干旱等原因导致治理单元的植被</w:t>
      </w:r>
      <w:r>
        <w:rPr>
          <w:rFonts w:hint="eastAsia" w:ascii="Times New Roman" w:hAnsi="Times New Roman" w:eastAsia="宋体" w:cs="Times New Roman"/>
          <w:color w:val="auto"/>
          <w:kern w:val="2"/>
          <w:sz w:val="24"/>
          <w:szCs w:val="24"/>
          <w:lang w:val="en-US" w:eastAsia="zh-CN" w:bidi="ar"/>
        </w:rPr>
        <w:t>成活率较低</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应进行补种补植。</w:t>
      </w:r>
    </w:p>
    <w:p w14:paraId="18E3541B">
      <w:pPr>
        <w:spacing w:line="360" w:lineRule="auto"/>
        <w:ind w:firstLine="560" w:firstLineChars="200"/>
        <w:rPr>
          <w:rFonts w:hint="eastAsia"/>
          <w:color w:val="auto"/>
        </w:rPr>
        <w:sectPr>
          <w:pgSz w:w="11850" w:h="16783"/>
          <w:pgMar w:top="1418" w:right="1440" w:bottom="1418" w:left="1440" w:header="709" w:footer="709" w:gutter="0"/>
          <w:cols w:space="720" w:num="1"/>
          <w:docGrid w:linePitch="286" w:charSpace="0"/>
        </w:sectPr>
      </w:pPr>
    </w:p>
    <w:p w14:paraId="44DB5EF1">
      <w:pPr>
        <w:pStyle w:val="3"/>
        <w:rPr>
          <w:rFonts w:hint="eastAsia" w:ascii="宋体" w:hAnsi="宋体" w:eastAsia="宋体" w:cs="宋体"/>
          <w:color w:val="auto"/>
        </w:rPr>
      </w:pPr>
      <w:bookmarkStart w:id="30" w:name="_Toc1110"/>
      <w:r>
        <w:rPr>
          <w:rFonts w:hint="eastAsia" w:ascii="宋体" w:hAnsi="宋体" w:eastAsia="宋体" w:cs="宋体"/>
          <w:color w:val="auto"/>
          <w:lang w:eastAsia="zh-CN"/>
        </w:rPr>
        <w:t>三、</w:t>
      </w:r>
      <w:r>
        <w:rPr>
          <w:rFonts w:hint="eastAsia" w:ascii="宋体" w:hAnsi="宋体" w:eastAsia="宋体" w:cs="宋体"/>
          <w:color w:val="auto"/>
        </w:rPr>
        <w:t>本年度矿山生产计划</w:t>
      </w:r>
      <w:bookmarkEnd w:id="24"/>
      <w:bookmarkEnd w:id="25"/>
      <w:bookmarkEnd w:id="26"/>
      <w:bookmarkEnd w:id="27"/>
      <w:bookmarkEnd w:id="28"/>
      <w:bookmarkEnd w:id="29"/>
      <w:bookmarkEnd w:id="30"/>
    </w:p>
    <w:p w14:paraId="5A291B42">
      <w:pPr>
        <w:keepNext w:val="0"/>
        <w:keepLines w:val="0"/>
        <w:pageBreakBefore w:val="0"/>
        <w:numPr>
          <w:ilvl w:val="0"/>
          <w:numId w:val="0"/>
        </w:numPr>
        <w:kinsoku/>
        <w:overflowPunct/>
        <w:topLinePunct w:val="0"/>
        <w:autoSpaceDE/>
        <w:autoSpaceDN/>
        <w:bidi w:val="0"/>
        <w:spacing w:line="360" w:lineRule="auto"/>
        <w:ind w:firstLine="482" w:firstLineChars="200"/>
        <w:jc w:val="both"/>
        <w:textAlignment w:val="auto"/>
        <w:outlineLvl w:val="1"/>
        <w:rPr>
          <w:rFonts w:hint="default" w:ascii="Times New Roman" w:hAnsi="Times New Roman" w:eastAsia="宋体" w:cs="Times New Roman"/>
          <w:b/>
          <w:bCs/>
          <w:color w:val="auto"/>
          <w:sz w:val="28"/>
          <w:szCs w:val="28"/>
          <w:lang w:val="en-US" w:eastAsia="zh-CN"/>
        </w:rPr>
      </w:pPr>
      <w:bookmarkStart w:id="31" w:name="_Toc28757"/>
      <w:bookmarkStart w:id="32" w:name="_Toc7893"/>
      <w:bookmarkStart w:id="33" w:name="_Toc8282"/>
      <w:bookmarkStart w:id="34" w:name="_Toc17686"/>
      <w:bookmarkStart w:id="35" w:name="_Toc28046"/>
      <w:bookmarkStart w:id="36" w:name="_Toc27933"/>
      <w:r>
        <w:rPr>
          <w:rFonts w:hint="eastAsia" w:ascii="Times New Roman" w:hAnsi="Times New Roman" w:eastAsia="宋体" w:cs="Times New Roman"/>
          <w:b/>
          <w:bCs/>
          <w:color w:val="auto"/>
          <w:sz w:val="24"/>
          <w:szCs w:val="24"/>
          <w:lang w:val="en-US" w:eastAsia="zh-CN"/>
        </w:rPr>
        <w:t>（一）</w:t>
      </w:r>
      <w:r>
        <w:rPr>
          <w:rFonts w:hint="default" w:ascii="Times New Roman" w:hAnsi="Times New Roman" w:eastAsia="宋体" w:cs="Times New Roman"/>
          <w:b/>
          <w:bCs/>
          <w:color w:val="auto"/>
          <w:sz w:val="24"/>
          <w:szCs w:val="24"/>
          <w:lang w:val="en-US" w:eastAsia="zh-CN"/>
        </w:rPr>
        <w:t>本年度的主要生产指标计划</w:t>
      </w:r>
      <w:bookmarkEnd w:id="31"/>
      <w:bookmarkEnd w:id="32"/>
      <w:bookmarkEnd w:id="33"/>
      <w:bookmarkEnd w:id="34"/>
      <w:bookmarkEnd w:id="35"/>
      <w:bookmarkEnd w:id="36"/>
    </w:p>
    <w:p w14:paraId="3963DB1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bookmarkStart w:id="37" w:name="_Toc8512"/>
      <w:r>
        <w:rPr>
          <w:rFonts w:hint="default" w:ascii="Times New Roman" w:hAnsi="Times New Roman" w:eastAsia="宋体" w:cs="Times New Roman"/>
          <w:color w:val="auto"/>
          <w:sz w:val="24"/>
          <w:szCs w:val="24"/>
          <w:lang w:val="en-US" w:eastAsia="zh-CN"/>
        </w:rPr>
        <w:t>赤峰矿业（集团）有限责任公司松山区羊草沟-下歪脖子井白云岩矿矿权设置于2015年。</w:t>
      </w:r>
    </w:p>
    <w:p w14:paraId="36F09F3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2015年4月29日，原内蒙古自治区国土资源厅以内国土资字[2015]194号文《关于赤峰市非金属矿业权设置方案（局部调整）矿业权设置方案备案的批复》，同意按照《赤峰市非金属矿业权设置方案（局部调整）》设置“松山区羊草沟-下歪脖子井白云岩矿”矿业权，设置类型为“空白区新设”。</w:t>
      </w:r>
    </w:p>
    <w:p w14:paraId="4F768CC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赤峰市矿业权储备交易中心以招标、拍卖、挂牌的方式获得该矿业权，采矿许可证号（配号）为C1504002015067130139299，发证机关为赤峰市国土资源局。</w:t>
      </w:r>
    </w:p>
    <w:p w14:paraId="1496303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2016年6月29日，赤峰市国土资源局向赤峰市政府递交《赤峰市国土资源局关于已收储矿业权股权无偿划转的请示》（赤国土资发[2016]366号），将矿业权储备交易中心名下“松山区羊草沟-下歪脖子井白云岩矿”无偿转让到赤峰矿业有限责任公司名下。2016年6月29日，赤峰市政府同意将此矿权转让至赤峰矿业有限责任公司。2017年4月28日，赤峰矿业有限责任公司变更为赤峰矿业（集团）有限责任公司。</w:t>
      </w:r>
    </w:p>
    <w:p w14:paraId="040079D5">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现状条件下，</w:t>
      </w:r>
      <w:r>
        <w:rPr>
          <w:rFonts w:hint="default" w:ascii="Times New Roman" w:hAnsi="Times New Roman" w:eastAsia="宋体" w:cs="Times New Roman"/>
          <w:color w:val="auto"/>
          <w:sz w:val="24"/>
          <w:szCs w:val="24"/>
          <w:lang w:val="en-US" w:eastAsia="zh-CN"/>
        </w:rPr>
        <w:t>松山区羊草沟-下歪脖子井白云岩矿仅实施过探矿工程。自矿权设置以来，未实施过矿山基础建设工程，亦未进行过采矿活动。</w:t>
      </w:r>
    </w:p>
    <w:p w14:paraId="10E1AF3A">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lang w:val="en-US" w:eastAsia="zh-CN"/>
        </w:rPr>
        <w:t>根据</w:t>
      </w:r>
      <w:r>
        <w:rPr>
          <w:rFonts w:hint="default" w:ascii="Times New Roman" w:hAnsi="Times New Roman" w:eastAsia="宋体" w:cs="Times New Roman"/>
          <w:color w:val="auto"/>
          <w:sz w:val="24"/>
          <w:lang w:eastAsia="zh-CN"/>
        </w:rPr>
        <w:t>赤峰矿业（集团）有限责任公司</w:t>
      </w:r>
      <w:r>
        <w:rPr>
          <w:rFonts w:hint="default" w:ascii="Times New Roman" w:hAnsi="Times New Roman" w:eastAsia="宋体" w:cs="Times New Roman"/>
          <w:color w:val="auto"/>
          <w:sz w:val="24"/>
          <w:lang w:val="en-US" w:eastAsia="zh-CN"/>
        </w:rPr>
        <w:t>工作计划，</w:t>
      </w:r>
      <w:r>
        <w:rPr>
          <w:rFonts w:hint="default" w:ascii="Times New Roman" w:hAnsi="Times New Roman" w:eastAsia="宋体" w:cs="Times New Roman"/>
          <w:color w:val="auto"/>
          <w:sz w:val="24"/>
          <w:szCs w:val="24"/>
          <w:lang w:val="en-US" w:eastAsia="zh-CN"/>
        </w:rPr>
        <w:t>松山区羊草沟-下歪脖子井白云岩矿202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年度的工作内容为：</w:t>
      </w:r>
    </w:p>
    <w:p w14:paraId="248D4247">
      <w:pPr>
        <w:keepNext w:val="0"/>
        <w:keepLines w:val="0"/>
        <w:pageBreakBefore w:val="0"/>
        <w:kinsoku/>
        <w:overflowPunct/>
        <w:topLinePunct w:val="0"/>
        <w:autoSpaceDE/>
        <w:autoSpaceDN/>
        <w:bidi w:val="0"/>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由于前期地质勘查工作程度低，导致现状已有的开发利用方案难以实施，拟重新投入地质详查工作以准确查明资源量。</w:t>
      </w:r>
    </w:p>
    <w:p w14:paraId="193F56A8">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因此</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lang w:val="en-US" w:eastAsia="zh-CN"/>
        </w:rPr>
        <w:t>松山区羊草沟-下歪脖子井白云岩矿202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年度无生产与矿山基础设施建设计划。</w:t>
      </w:r>
    </w:p>
    <w:p w14:paraId="60F5DAE2">
      <w:pPr>
        <w:numPr>
          <w:ilvl w:val="0"/>
          <w:numId w:val="0"/>
        </w:numPr>
        <w:spacing w:line="360" w:lineRule="auto"/>
        <w:ind w:leftChars="0" w:firstLine="482" w:firstLineChars="200"/>
        <w:jc w:val="both"/>
        <w:outlineLvl w:val="1"/>
        <w:rPr>
          <w:rFonts w:hint="default" w:ascii="Times New Roman" w:hAnsi="Times New Roman" w:eastAsia="宋体" w:cs="Times New Roman"/>
          <w:b/>
          <w:bCs/>
          <w:color w:val="auto"/>
          <w:sz w:val="28"/>
          <w:szCs w:val="28"/>
          <w:lang w:val="en-US" w:eastAsia="zh-CN"/>
        </w:rPr>
      </w:pPr>
      <w:bookmarkStart w:id="38" w:name="_Toc18165"/>
      <w:bookmarkStart w:id="39" w:name="_Toc7751"/>
      <w:bookmarkStart w:id="40" w:name="_Toc3457"/>
      <w:bookmarkStart w:id="41" w:name="_Toc18505"/>
      <w:bookmarkStart w:id="42" w:name="_Toc24748"/>
      <w:r>
        <w:rPr>
          <w:rFonts w:hint="default" w:ascii="Times New Roman" w:hAnsi="Times New Roman" w:eastAsia="宋体" w:cs="Times New Roman"/>
          <w:b/>
          <w:bCs/>
          <w:color w:val="auto"/>
          <w:sz w:val="24"/>
          <w:szCs w:val="24"/>
          <w:lang w:val="en-US" w:eastAsia="zh-CN"/>
        </w:rPr>
        <w:t>（二）开采范围</w:t>
      </w:r>
      <w:bookmarkEnd w:id="37"/>
      <w:bookmarkEnd w:id="38"/>
      <w:bookmarkEnd w:id="39"/>
      <w:bookmarkEnd w:id="40"/>
      <w:bookmarkEnd w:id="41"/>
      <w:bookmarkEnd w:id="42"/>
    </w:p>
    <w:p w14:paraId="328D4EDD">
      <w:pPr>
        <w:pStyle w:val="34"/>
        <w:spacing w:line="360" w:lineRule="auto"/>
        <w:ind w:firstLine="480"/>
        <w:jc w:val="left"/>
        <w:rPr>
          <w:rFonts w:hint="eastAsia" w:ascii="宋体" w:hAnsi="宋体" w:eastAsia="宋体" w:cs="宋体"/>
          <w:color w:val="auto"/>
          <w:sz w:val="28"/>
          <w:szCs w:val="28"/>
          <w:lang w:eastAsia="zh-CN"/>
        </w:rPr>
      </w:pPr>
      <w:r>
        <w:rPr>
          <w:rFonts w:hint="default" w:ascii="Times New Roman" w:hAnsi="Times New Roman" w:eastAsia="宋体" w:cs="Times New Roman"/>
          <w:color w:val="auto"/>
          <w:sz w:val="24"/>
          <w:lang w:val="en-US" w:eastAsia="zh-CN"/>
        </w:rPr>
        <w:t>鉴于</w:t>
      </w:r>
      <w:r>
        <w:rPr>
          <w:rFonts w:hint="default" w:ascii="Times New Roman" w:hAnsi="Times New Roman" w:eastAsia="宋体" w:cs="Times New Roman"/>
          <w:color w:val="auto"/>
          <w:sz w:val="24"/>
          <w:szCs w:val="24"/>
          <w:lang w:val="en-US" w:eastAsia="zh-CN"/>
        </w:rPr>
        <w:t>松山区羊草沟-下歪脖子井白云岩矿202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年度无生产与矿山基础设施建设计划，相关内容略。</w:t>
      </w:r>
    </w:p>
    <w:p w14:paraId="1D0CCB18">
      <w:pPr>
        <w:pStyle w:val="2"/>
        <w:rPr>
          <w:rFonts w:hint="eastAsia" w:ascii="宋体" w:hAnsi="宋体" w:eastAsia="宋体" w:cs="宋体"/>
          <w:color w:val="auto"/>
        </w:rPr>
      </w:pPr>
    </w:p>
    <w:p w14:paraId="2A2C97A7">
      <w:pPr>
        <w:pStyle w:val="3"/>
        <w:rPr>
          <w:rFonts w:hint="eastAsia" w:ascii="宋体" w:hAnsi="宋体" w:eastAsia="宋体" w:cs="宋体"/>
          <w:color w:val="auto"/>
        </w:rPr>
        <w:sectPr>
          <w:pgSz w:w="11850" w:h="16783"/>
          <w:pgMar w:top="1418" w:right="1440" w:bottom="1418" w:left="1440" w:header="709" w:footer="709" w:gutter="0"/>
          <w:cols w:space="720" w:num="1"/>
          <w:docGrid w:linePitch="286" w:charSpace="0"/>
        </w:sectPr>
      </w:pPr>
      <w:bookmarkStart w:id="43" w:name="_Toc12381"/>
      <w:bookmarkStart w:id="44" w:name="_Toc20722"/>
      <w:bookmarkStart w:id="45" w:name="_Toc11605"/>
      <w:bookmarkStart w:id="46" w:name="_Toc25715"/>
      <w:bookmarkStart w:id="47" w:name="_Toc31962"/>
      <w:bookmarkStart w:id="48" w:name="_Toc19042"/>
    </w:p>
    <w:p w14:paraId="1C91950B">
      <w:pPr>
        <w:pStyle w:val="3"/>
        <w:rPr>
          <w:rFonts w:hint="eastAsia" w:ascii="宋体" w:hAnsi="宋体" w:eastAsia="宋体" w:cs="宋体"/>
          <w:color w:val="auto"/>
        </w:rPr>
      </w:pPr>
      <w:bookmarkStart w:id="49" w:name="_Toc13727"/>
      <w:r>
        <w:rPr>
          <w:rFonts w:hint="eastAsia" w:ascii="宋体" w:hAnsi="宋体" w:eastAsia="宋体" w:cs="宋体"/>
          <w:color w:val="auto"/>
          <w:lang w:eastAsia="zh-CN"/>
        </w:rPr>
        <w:t>四、</w:t>
      </w:r>
      <w:r>
        <w:rPr>
          <w:rFonts w:hint="eastAsia" w:ascii="宋体" w:hAnsi="宋体" w:eastAsia="宋体" w:cs="宋体"/>
          <w:color w:val="auto"/>
        </w:rPr>
        <w:t>矿山地质环境问题</w:t>
      </w:r>
      <w:bookmarkEnd w:id="43"/>
      <w:bookmarkEnd w:id="44"/>
      <w:bookmarkEnd w:id="45"/>
      <w:bookmarkEnd w:id="46"/>
      <w:bookmarkEnd w:id="47"/>
      <w:bookmarkEnd w:id="48"/>
      <w:bookmarkEnd w:id="49"/>
    </w:p>
    <w:p w14:paraId="6433BD93">
      <w:pPr>
        <w:pStyle w:val="4"/>
        <w:ind w:firstLine="482" w:firstLineChars="200"/>
        <w:jc w:val="both"/>
        <w:rPr>
          <w:rFonts w:hint="eastAsia" w:ascii="宋体" w:hAnsi="宋体" w:eastAsia="宋体" w:cs="宋体"/>
          <w:color w:val="auto"/>
        </w:rPr>
      </w:pPr>
      <w:bookmarkStart w:id="50" w:name="_Toc13513"/>
      <w:bookmarkStart w:id="51" w:name="_Toc12068"/>
      <w:bookmarkStart w:id="52" w:name="_Toc5400"/>
      <w:bookmarkStart w:id="53" w:name="_Toc7103"/>
      <w:bookmarkStart w:id="54" w:name="_Toc14456"/>
      <w:bookmarkStart w:id="55" w:name="_Toc6025"/>
      <w:bookmarkStart w:id="56" w:name="_Toc3195"/>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矿山地质环境问题现状</w:t>
      </w:r>
      <w:bookmarkEnd w:id="50"/>
      <w:bookmarkEnd w:id="51"/>
      <w:bookmarkEnd w:id="52"/>
      <w:bookmarkEnd w:id="53"/>
      <w:bookmarkEnd w:id="54"/>
      <w:bookmarkEnd w:id="55"/>
      <w:bookmarkEnd w:id="56"/>
    </w:p>
    <w:p w14:paraId="7A1E7311">
      <w:pPr>
        <w:pStyle w:val="55"/>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
        </w:rPr>
      </w:pPr>
      <w:bookmarkStart w:id="57" w:name="_Toc7186"/>
      <w:r>
        <w:rPr>
          <w:rFonts w:hint="default" w:ascii="Times New Roman" w:hAnsi="Times New Roman" w:eastAsia="宋体" w:cs="Times New Roman"/>
          <w:color w:val="auto"/>
          <w:kern w:val="2"/>
          <w:sz w:val="24"/>
          <w:szCs w:val="24"/>
          <w:lang w:val="en-US" w:eastAsia="zh-CN" w:bidi="ar"/>
        </w:rPr>
        <w:t>赤峰矿业（集团）有限责任公司</w:t>
      </w:r>
      <w:r>
        <w:rPr>
          <w:rFonts w:hint="default" w:ascii="Times New Roman" w:hAnsi="Times New Roman" w:eastAsia="宋体" w:cs="Times New Roman"/>
          <w:color w:val="auto"/>
          <w:sz w:val="24"/>
          <w:szCs w:val="24"/>
          <w:lang w:val="en-US" w:eastAsia="zh-CN"/>
        </w:rPr>
        <w:t>松山区羊草沟-下歪脖子井白云岩矿</w:t>
      </w:r>
      <w:r>
        <w:rPr>
          <w:rFonts w:hint="default" w:ascii="Times New Roman" w:hAnsi="Times New Roman" w:eastAsia="宋体" w:cs="Times New Roman"/>
          <w:color w:val="auto"/>
          <w:kern w:val="2"/>
          <w:sz w:val="24"/>
          <w:szCs w:val="24"/>
          <w:lang w:val="en-US" w:eastAsia="zh-CN" w:bidi="ar"/>
        </w:rPr>
        <w:t>属于新建矿山（现状尚未基建），无生产历史，矿区仅实施过探矿工程。根据现场调查，矿山前期探矿工程形成影响矿山地质环境的区域包括</w:t>
      </w:r>
      <w:r>
        <w:rPr>
          <w:rFonts w:hint="default" w:ascii="Times New Roman" w:hAnsi="Times New Roman" w:eastAsia="宋体" w:cs="Times New Roman"/>
          <w:color w:val="auto"/>
          <w:sz w:val="24"/>
          <w:szCs w:val="24"/>
        </w:rPr>
        <w:t>下歪脖子井采区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采坑（CK1~CK2）、废石堆、钻机平台（ZJPT1~ZJPT2）、探槽（TC1~TC28）及矿区道路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羊草沟采区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钻机平台（ZJPT1~ZJPT5）、探槽（TC1~TC4）及矿区道路。</w:t>
      </w:r>
      <w:r>
        <w:rPr>
          <w:rFonts w:hint="eastAsia" w:ascii="Times New Roman" w:hAnsi="Times New Roman" w:eastAsia="宋体" w:cs="Times New Roman"/>
          <w:color w:val="auto"/>
          <w:kern w:val="2"/>
          <w:sz w:val="24"/>
          <w:szCs w:val="24"/>
          <w:lang w:val="en-US" w:eastAsia="zh-CN" w:bidi="ar"/>
        </w:rPr>
        <w:t>（见卫片</w:t>
      </w:r>
      <w:r>
        <w:rPr>
          <w:rFonts w:hint="eastAsia"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1、4-2</w:t>
      </w: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lang w:val="en-US" w:eastAsia="zh-CN" w:bidi="ar"/>
        </w:rPr>
        <w:t>矿区航卫片影像图）</w:t>
      </w:r>
      <w:r>
        <w:rPr>
          <w:rFonts w:hint="default" w:ascii="Times New Roman" w:hAnsi="Times New Roman" w:eastAsia="宋体" w:cs="Times New Roman"/>
          <w:color w:val="auto"/>
          <w:kern w:val="2"/>
          <w:sz w:val="24"/>
          <w:szCs w:val="24"/>
          <w:lang w:val="en-US" w:eastAsia="zh-CN" w:bidi="ar"/>
        </w:rPr>
        <w:t>。</w:t>
      </w:r>
    </w:p>
    <w:p w14:paraId="08158883">
      <w:pPr>
        <w:pStyle w:val="55"/>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kern w:val="2"/>
          <w:sz w:val="24"/>
          <w:szCs w:val="24"/>
          <w:lang w:val="en-US" w:eastAsia="zh-CN" w:bidi="ar"/>
        </w:rPr>
      </w:pPr>
      <w:r>
        <w:rPr>
          <w:rFonts w:hint="eastAsia" w:cs="Times New Roman"/>
          <w:color w:val="auto"/>
          <w:lang w:eastAsia="zh-CN"/>
        </w:rPr>
        <w:t xml:space="preserve">       </w:t>
      </w:r>
    </w:p>
    <w:p w14:paraId="12A0A9CE">
      <w:pPr>
        <w:pStyle w:val="55"/>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Times New Roman" w:cs="Times New Roman"/>
          <w:b/>
          <w:bCs/>
          <w:color w:val="auto"/>
          <w:sz w:val="21"/>
          <w:szCs w:val="21"/>
        </w:rPr>
      </w:pPr>
      <w:r>
        <w:rPr>
          <w:rFonts w:hint="eastAsia" w:ascii="Times New Roman" w:cs="Times New Roman"/>
          <w:b/>
          <w:bCs/>
          <w:color w:val="auto"/>
          <w:sz w:val="21"/>
          <w:szCs w:val="21"/>
          <w:lang w:val="en-US" w:eastAsia="zh-CN"/>
        </w:rPr>
        <w:t xml:space="preserve">卫片4-1  </w:t>
      </w:r>
      <w:r>
        <w:rPr>
          <w:rFonts w:ascii="Times New Roman" w:cs="Times New Roman"/>
          <w:b/>
          <w:bCs/>
          <w:color w:val="auto"/>
          <w:sz w:val="21"/>
          <w:szCs w:val="21"/>
        </w:rPr>
        <w:t>下歪脖子井采区</w:t>
      </w:r>
      <w:r>
        <w:rPr>
          <w:rFonts w:hint="eastAsia" w:ascii="Times New Roman" w:eastAsia="宋体" w:cs="Times New Roman"/>
          <w:b/>
          <w:bCs/>
          <w:color w:val="auto"/>
          <w:sz w:val="21"/>
          <w:szCs w:val="21"/>
          <w:lang w:val="en-US" w:eastAsia="zh-CN"/>
        </w:rPr>
        <w:t>航卫片影像图</w:t>
      </w:r>
    </w:p>
    <w:p w14:paraId="6E19253C">
      <w:pPr>
        <w:pStyle w:val="55"/>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eastAsia="宋体" w:cs="Times New Roman"/>
          <w:b/>
          <w:bCs/>
          <w:color w:val="auto"/>
          <w:sz w:val="21"/>
          <w:szCs w:val="21"/>
          <w:lang w:eastAsia="zh-CN"/>
        </w:rPr>
      </w:pPr>
      <w:r>
        <w:rPr>
          <w:rFonts w:hint="eastAsia" w:cs="Times New Roman"/>
          <w:color w:val="auto"/>
          <w:lang w:eastAsia="zh-CN"/>
        </w:rPr>
        <w:t xml:space="preserve">       </w:t>
      </w:r>
    </w:p>
    <w:p w14:paraId="7797ADF7">
      <w:pPr>
        <w:pStyle w:val="55"/>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Times New Roman" w:cs="Times New Roman"/>
          <w:b/>
          <w:bCs/>
          <w:color w:val="auto"/>
          <w:sz w:val="21"/>
          <w:szCs w:val="21"/>
        </w:rPr>
      </w:pPr>
      <w:r>
        <w:rPr>
          <w:rFonts w:hint="eastAsia" w:ascii="Times New Roman" w:cs="Times New Roman"/>
          <w:b/>
          <w:bCs/>
          <w:color w:val="auto"/>
          <w:sz w:val="21"/>
          <w:szCs w:val="21"/>
          <w:lang w:val="en-US" w:eastAsia="zh-CN"/>
        </w:rPr>
        <w:t>卫片4-</w:t>
      </w:r>
      <w:r>
        <w:rPr>
          <w:rFonts w:hint="eastAsia" w:cs="Times New Roman"/>
          <w:b/>
          <w:bCs/>
          <w:color w:val="auto"/>
          <w:sz w:val="21"/>
          <w:szCs w:val="21"/>
          <w:lang w:val="en-US" w:eastAsia="zh-CN"/>
        </w:rPr>
        <w:t>2</w:t>
      </w:r>
      <w:r>
        <w:rPr>
          <w:rFonts w:hint="eastAsia" w:ascii="Times New Roman" w:cs="Times New Roman"/>
          <w:b/>
          <w:bCs/>
          <w:color w:val="auto"/>
          <w:sz w:val="21"/>
          <w:szCs w:val="21"/>
          <w:lang w:val="en-US" w:eastAsia="zh-CN"/>
        </w:rPr>
        <w:t xml:space="preserve">  </w:t>
      </w:r>
      <w:r>
        <w:rPr>
          <w:rFonts w:ascii="Times New Roman" w:cs="Times New Roman"/>
          <w:b/>
          <w:bCs/>
          <w:color w:val="auto"/>
          <w:sz w:val="21"/>
          <w:szCs w:val="21"/>
        </w:rPr>
        <w:t>羊草沟采区</w:t>
      </w:r>
      <w:r>
        <w:rPr>
          <w:rFonts w:hint="eastAsia" w:ascii="Times New Roman" w:eastAsia="宋体" w:cs="Times New Roman"/>
          <w:b/>
          <w:bCs/>
          <w:color w:val="auto"/>
          <w:sz w:val="21"/>
          <w:szCs w:val="21"/>
          <w:lang w:val="en-US" w:eastAsia="zh-CN"/>
        </w:rPr>
        <w:t>航卫片影像图</w:t>
      </w:r>
    </w:p>
    <w:p w14:paraId="3B50073F">
      <w:pPr>
        <w:pStyle w:val="55"/>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cs="Times New Roman"/>
          <w:b/>
          <w:bCs/>
          <w:color w:val="auto"/>
          <w:sz w:val="21"/>
          <w:szCs w:val="21"/>
          <w:lang w:val="en-US" w:eastAsia="zh-CN"/>
        </w:rPr>
      </w:pPr>
    </w:p>
    <w:p w14:paraId="62267271">
      <w:pPr>
        <w:pStyle w:val="55"/>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经现场调查，全部的</w:t>
      </w:r>
      <w:r>
        <w:rPr>
          <w:rFonts w:hint="default" w:ascii="Times New Roman" w:hAnsi="Times New Roman" w:eastAsia="宋体" w:cs="Times New Roman"/>
          <w:color w:val="auto"/>
          <w:sz w:val="24"/>
          <w:szCs w:val="24"/>
        </w:rPr>
        <w:t>采坑、废石堆、钻机平台、探槽</w:t>
      </w:r>
      <w:r>
        <w:rPr>
          <w:rFonts w:hint="default" w:ascii="Times New Roman" w:hAnsi="Times New Roman" w:eastAsia="宋体" w:cs="Times New Roman"/>
          <w:color w:val="auto"/>
          <w:sz w:val="24"/>
          <w:szCs w:val="24"/>
          <w:lang w:val="en-US" w:eastAsia="zh-CN"/>
        </w:rPr>
        <w:t>均位于山前坡麓</w:t>
      </w:r>
      <w:r>
        <w:rPr>
          <w:rFonts w:hint="default" w:ascii="Times New Roman" w:hAnsi="Times New Roman" w:eastAsia="宋体" w:cs="Times New Roman"/>
          <w:color w:val="auto"/>
          <w:kern w:val="2"/>
          <w:sz w:val="24"/>
          <w:szCs w:val="24"/>
          <w:lang w:val="en-US" w:eastAsia="zh-CN" w:bidi="ar"/>
        </w:rPr>
        <w:t>地段（非“三区两线”可视范围），对外影响小。</w:t>
      </w:r>
      <w:r>
        <w:rPr>
          <w:rFonts w:hint="eastAsia" w:ascii="Times New Roman" w:hAnsi="Times New Roman" w:eastAsia="宋体" w:cs="Times New Roman"/>
          <w:color w:val="auto"/>
          <w:kern w:val="2"/>
          <w:sz w:val="24"/>
          <w:szCs w:val="24"/>
          <w:lang w:val="en-US" w:eastAsia="zh-CN" w:bidi="ar"/>
        </w:rPr>
        <w:t>经过2022年度的治理工程实施，</w:t>
      </w:r>
      <w:r>
        <w:rPr>
          <w:rFonts w:hint="default" w:ascii="Times New Roman" w:hAnsi="Times New Roman" w:eastAsia="宋体" w:cs="Times New Roman"/>
          <w:color w:val="auto"/>
          <w:sz w:val="24"/>
          <w:szCs w:val="24"/>
        </w:rPr>
        <w:t>歪脖子井采区</w:t>
      </w:r>
      <w:r>
        <w:rPr>
          <w:rFonts w:hint="eastAsia" w:eastAsia="宋体" w:cs="Times New Roman"/>
          <w:color w:val="auto"/>
          <w:sz w:val="24"/>
          <w:szCs w:val="24"/>
          <w:lang w:val="en-US" w:eastAsia="zh-CN"/>
        </w:rPr>
        <w:t>的全部单元已完成治理。</w:t>
      </w:r>
    </w:p>
    <w:p w14:paraId="035A30C3">
      <w:pPr>
        <w:wordWrap/>
        <w:ind w:firstLine="560"/>
        <w:rPr>
          <w:rFonts w:hint="eastAsia" w:ascii="宋体" w:hAnsi="宋体" w:eastAsia="宋体" w:cs="宋体"/>
          <w:color w:val="auto"/>
          <w:lang w:eastAsia="zh-CN"/>
        </w:rPr>
      </w:pPr>
      <w:r>
        <w:rPr>
          <w:rFonts w:hint="default" w:ascii="Times New Roman" w:hAnsi="Times New Roman" w:eastAsia="宋体" w:cs="Times New Roman"/>
          <w:color w:val="auto"/>
          <w:kern w:val="2"/>
          <w:sz w:val="24"/>
          <w:szCs w:val="24"/>
          <w:lang w:val="en-US" w:eastAsia="zh-CN" w:bidi="ar"/>
        </w:rPr>
        <w:t>依据《矿山地质环境保护与恢复治理方案编制规范》（DZ/T0223-2011）附录E矿山地</w:t>
      </w:r>
      <w:r>
        <w:rPr>
          <w:rFonts w:hint="default" w:ascii="Times New Roman" w:hAnsi="Times New Roman" w:eastAsia="宋体" w:cs="Times New Roman"/>
          <w:color w:val="auto"/>
          <w:sz w:val="24"/>
          <w:szCs w:val="24"/>
          <w:lang w:val="en-US" w:eastAsia="zh-CN"/>
        </w:rPr>
        <w:t>质环境影响程度分级表，从地质灾害影响、含水层影响和破坏、地形地貌景观影响和破坏、土地损毁等四个方面对矿山地质环境</w:t>
      </w:r>
      <w:r>
        <w:rPr>
          <w:rFonts w:hint="default" w:ascii="Times New Roman" w:hAnsi="Times New Roman" w:cs="Times New Roman"/>
          <w:color w:val="auto"/>
          <w:sz w:val="24"/>
          <w:szCs w:val="24"/>
          <w:lang w:val="en-US" w:eastAsia="zh-CN"/>
        </w:rPr>
        <w:t>问题及</w:t>
      </w:r>
      <w:r>
        <w:rPr>
          <w:rFonts w:hint="default" w:ascii="Times New Roman" w:hAnsi="Times New Roman" w:eastAsia="宋体" w:cs="Times New Roman"/>
          <w:color w:val="auto"/>
          <w:sz w:val="24"/>
          <w:szCs w:val="24"/>
          <w:lang w:val="en-US" w:eastAsia="zh-CN"/>
        </w:rPr>
        <w:t>影响进行现状评</w:t>
      </w:r>
      <w:r>
        <w:rPr>
          <w:rFonts w:hint="default" w:ascii="Times New Roman" w:hAnsi="Times New Roman" w:eastAsia="宋体" w:cs="Times New Roman"/>
          <w:color w:val="auto"/>
          <w:sz w:val="24"/>
          <w:szCs w:val="24"/>
        </w:rPr>
        <w:t>述：</w:t>
      </w:r>
    </w:p>
    <w:p w14:paraId="2DEF0E39">
      <w:pPr>
        <w:pStyle w:val="55"/>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1、地质灾害现状</w:t>
      </w:r>
    </w:p>
    <w:p w14:paraId="6060E168">
      <w:pPr>
        <w:pStyle w:val="34"/>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泥石流</w:t>
      </w:r>
    </w:p>
    <w:p w14:paraId="530A3EDD">
      <w:pPr>
        <w:pStyle w:val="34"/>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矿区</w:t>
      </w:r>
      <w:r>
        <w:rPr>
          <w:rFonts w:hint="default" w:ascii="Times New Roman" w:hAnsi="Times New Roman" w:eastAsia="宋体" w:cs="Times New Roman"/>
          <w:color w:val="auto"/>
          <w:sz w:val="24"/>
        </w:rPr>
        <w:t>地处低山区，地形坡度一般在</w:t>
      </w:r>
      <w:r>
        <w:rPr>
          <w:rFonts w:hint="default" w:ascii="Times New Roman" w:hAnsi="Times New Roman" w:eastAsia="宋体" w:cs="Times New Roman"/>
          <w:color w:val="auto"/>
          <w:sz w:val="24"/>
          <w:lang w:val="zh-CN"/>
        </w:rPr>
        <w:t>5°-</w:t>
      </w:r>
      <w:r>
        <w:rPr>
          <w:rFonts w:hint="default" w:ascii="Times New Roman" w:hAnsi="Times New Roman" w:eastAsia="宋体" w:cs="Times New Roman"/>
          <w:color w:val="auto"/>
          <w:sz w:val="24"/>
        </w:rPr>
        <w:t>30</w:t>
      </w:r>
      <w:r>
        <w:rPr>
          <w:rFonts w:hint="default" w:ascii="Times New Roman" w:hAnsi="Times New Roman" w:eastAsia="宋体" w:cs="Times New Roman"/>
          <w:color w:val="auto"/>
          <w:sz w:val="24"/>
          <w:lang w:val="zh-CN"/>
        </w:rPr>
        <w:t>°</w:t>
      </w:r>
      <w:r>
        <w:rPr>
          <w:rFonts w:hint="default" w:ascii="Times New Roman" w:hAnsi="Times New Roman" w:eastAsia="宋体" w:cs="Times New Roman"/>
          <w:color w:val="auto"/>
          <w:sz w:val="24"/>
        </w:rPr>
        <w:t>之间，坡度较缓，岩体较完整，气候类型属半干旱大陆性季风气候，暴雨历时短，降雨量小，构不成泥石流发生的水动力条件。经现场调查，</w:t>
      </w:r>
      <w:r>
        <w:rPr>
          <w:rFonts w:hint="eastAsia" w:ascii="Times New Roman" w:hAnsi="Times New Roman" w:eastAsia="宋体" w:cs="Times New Roman"/>
          <w:color w:val="auto"/>
          <w:sz w:val="24"/>
          <w:lang w:val="en-US" w:eastAsia="zh-CN"/>
        </w:rPr>
        <w:t>矿区</w:t>
      </w:r>
      <w:r>
        <w:rPr>
          <w:rFonts w:hint="default" w:ascii="Times New Roman" w:hAnsi="Times New Roman" w:eastAsia="宋体" w:cs="Times New Roman"/>
          <w:color w:val="auto"/>
          <w:sz w:val="24"/>
        </w:rPr>
        <w:t>及周边不存在泥石流沟，现状条件下</w:t>
      </w:r>
      <w:r>
        <w:rPr>
          <w:rFonts w:hint="eastAsia" w:ascii="Times New Roman" w:hAnsi="Times New Roman" w:eastAsia="宋体" w:cs="Times New Roman"/>
          <w:color w:val="auto"/>
          <w:sz w:val="24"/>
          <w:lang w:val="en-US" w:eastAsia="zh-CN"/>
        </w:rPr>
        <w:t>矿区</w:t>
      </w:r>
      <w:r>
        <w:rPr>
          <w:rFonts w:hint="default" w:ascii="Times New Roman" w:hAnsi="Times New Roman" w:eastAsia="宋体" w:cs="Times New Roman"/>
          <w:color w:val="auto"/>
          <w:sz w:val="24"/>
        </w:rPr>
        <w:t>泥石流灾害不发育。</w:t>
      </w:r>
    </w:p>
    <w:p w14:paraId="1CFAEF8E">
      <w:pPr>
        <w:keepNext w:val="0"/>
        <w:keepLines w:val="0"/>
        <w:pageBreakBefore w:val="0"/>
        <w:widowControl w:val="0"/>
        <w:kinsoku/>
        <w:wordWrap w:val="0"/>
        <w:overflowPunct/>
        <w:topLinePunct w:val="0"/>
        <w:autoSpaceDE/>
        <w:autoSpaceDN/>
        <w:bidi w:val="0"/>
        <w:adjustRightInd/>
        <w:snapToGrid/>
        <w:spacing w:line="360" w:lineRule="auto"/>
        <w:ind w:firstLine="491"/>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崩塌</w:t>
      </w:r>
    </w:p>
    <w:p w14:paraId="200934D3">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根据现场调查，</w:t>
      </w:r>
      <w:r>
        <w:rPr>
          <w:rFonts w:hint="eastAsia" w:ascii="Times New Roman" w:hAnsi="Times New Roman" w:eastAsia="宋体" w:cs="Times New Roman"/>
          <w:color w:val="auto"/>
          <w:sz w:val="24"/>
          <w:lang w:val="en-US" w:eastAsia="zh-CN"/>
        </w:rPr>
        <w:t>矿区</w:t>
      </w:r>
      <w:r>
        <w:rPr>
          <w:rFonts w:hint="default" w:ascii="Times New Roman" w:hAnsi="Times New Roman" w:eastAsia="宋体" w:cs="Times New Roman"/>
          <w:color w:val="auto"/>
          <w:sz w:val="24"/>
        </w:rPr>
        <w:t>内山体稳定，地形起伏变化小，未发生过崩塌灾害；矿山现状已形成两处采坑，</w:t>
      </w:r>
      <w:r>
        <w:rPr>
          <w:rFonts w:hint="eastAsia" w:ascii="Times New Roman" w:hAnsi="Times New Roman" w:eastAsia="宋体" w:cs="Times New Roman"/>
          <w:color w:val="auto"/>
          <w:sz w:val="24"/>
          <w:lang w:val="en-US" w:eastAsia="zh-CN"/>
        </w:rPr>
        <w:t>均已进行治理</w:t>
      </w:r>
      <w:r>
        <w:rPr>
          <w:rFonts w:hint="default" w:ascii="Times New Roman" w:hAnsi="Times New Roman" w:eastAsia="宋体" w:cs="Times New Roman"/>
          <w:color w:val="auto"/>
          <w:sz w:val="24"/>
        </w:rPr>
        <w:t>；现状条件采坑崩塌灾害不发育。</w:t>
      </w:r>
    </w:p>
    <w:p w14:paraId="7B209A8A">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）滑坡</w:t>
      </w:r>
    </w:p>
    <w:p w14:paraId="482EC2CC">
      <w:pPr>
        <w:keepNext w:val="0"/>
        <w:keepLines w:val="0"/>
        <w:pageBreakBefore w:val="0"/>
        <w:widowControl w:val="0"/>
        <w:kinsoku/>
        <w:wordWrap w:val="0"/>
        <w:overflowPunct/>
        <w:topLinePunct w:val="0"/>
        <w:autoSpaceDE/>
        <w:autoSpaceDN/>
        <w:bidi w:val="0"/>
        <w:adjustRightInd/>
        <w:snapToGrid/>
        <w:spacing w:line="360" w:lineRule="auto"/>
        <w:ind w:firstLine="491"/>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根据现场调查，</w:t>
      </w:r>
      <w:r>
        <w:rPr>
          <w:rFonts w:hint="eastAsia" w:ascii="Times New Roman" w:hAnsi="Times New Roman" w:eastAsia="宋体" w:cs="Times New Roman"/>
          <w:color w:val="auto"/>
          <w:sz w:val="24"/>
          <w:lang w:val="en-US" w:eastAsia="zh-CN"/>
        </w:rPr>
        <w:t>矿区</w:t>
      </w:r>
      <w:r>
        <w:rPr>
          <w:rFonts w:hint="default" w:ascii="Times New Roman" w:hAnsi="Times New Roman" w:eastAsia="宋体" w:cs="Times New Roman"/>
          <w:color w:val="auto"/>
          <w:sz w:val="24"/>
        </w:rPr>
        <w:t>内降雨量较小，松散堆积物主要发育在矿区低洼地带、缓坡上，山坡及地势较高处主要为基岩区，岩体稳定，未曾发生过滑坡灾害；</w:t>
      </w:r>
    </w:p>
    <w:p w14:paraId="3A95FB23">
      <w:pPr>
        <w:keepNext w:val="0"/>
        <w:keepLines w:val="0"/>
        <w:pageBreakBefore w:val="0"/>
        <w:widowControl w:val="0"/>
        <w:kinsoku/>
        <w:wordWrap w:val="0"/>
        <w:overflowPunct/>
        <w:topLinePunct w:val="0"/>
        <w:autoSpaceDE/>
        <w:autoSpaceDN/>
        <w:bidi w:val="0"/>
        <w:adjustRightInd/>
        <w:snapToGrid/>
        <w:spacing w:line="360" w:lineRule="auto"/>
        <w:ind w:firstLine="491"/>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）地面沉降</w:t>
      </w:r>
    </w:p>
    <w:p w14:paraId="1FE78150">
      <w:pPr>
        <w:keepNext w:val="0"/>
        <w:keepLines w:val="0"/>
        <w:pageBreakBefore w:val="0"/>
        <w:widowControl w:val="0"/>
        <w:tabs>
          <w:tab w:val="left" w:pos="1300"/>
        </w:tabs>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矿区</w:t>
      </w:r>
      <w:r>
        <w:rPr>
          <w:rFonts w:hint="default" w:ascii="Times New Roman" w:hAnsi="Times New Roman" w:eastAsia="宋体" w:cs="Times New Roman"/>
          <w:color w:val="auto"/>
          <w:sz w:val="24"/>
        </w:rPr>
        <w:t>无大的集中供水水源地，不存在地面沉降灾害。</w:t>
      </w:r>
    </w:p>
    <w:p w14:paraId="09B9B11D">
      <w:pPr>
        <w:pStyle w:val="34"/>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）地裂缝</w:t>
      </w:r>
    </w:p>
    <w:p w14:paraId="6BCD58DA">
      <w:pPr>
        <w:pStyle w:val="34"/>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矿区内地质构造简单，第四系全新统岩性主要为冲洪积物、砂砾石、腐殖土，现状条件下不存在地裂缝灾害。</w:t>
      </w:r>
    </w:p>
    <w:p w14:paraId="02EF594B">
      <w:pPr>
        <w:keepNext w:val="0"/>
        <w:keepLines w:val="0"/>
        <w:pageBreakBefore w:val="0"/>
        <w:widowControl w:val="0"/>
        <w:kinsoku/>
        <w:wordWrap w:val="0"/>
        <w:overflowPunct/>
        <w:topLinePunct w:val="0"/>
        <w:autoSpaceDE/>
        <w:autoSpaceDN/>
        <w:bidi w:val="0"/>
        <w:adjustRightInd/>
        <w:snapToGrid/>
        <w:spacing w:line="360" w:lineRule="auto"/>
        <w:ind w:firstLine="491"/>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）地面塌陷</w:t>
      </w:r>
    </w:p>
    <w:p w14:paraId="65664631">
      <w:pPr>
        <w:pStyle w:val="34"/>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根据现场调查，矿山未进行正式开采，现状地表无塌陷。</w:t>
      </w:r>
    </w:p>
    <w:p w14:paraId="4F7D9A3D">
      <w:pPr>
        <w:pStyle w:val="55"/>
        <w:keepNext w:val="0"/>
        <w:keepLines w:val="0"/>
        <w:pageBreakBefore w:val="0"/>
        <w:widowControl w:val="0"/>
        <w:kinsoku/>
        <w:wordWrap w:val="0"/>
        <w:overflowPunct/>
        <w:topLinePunct w:val="0"/>
        <w:autoSpaceDE/>
        <w:autoSpaceDN/>
        <w:bidi w:val="0"/>
        <w:adjustRightInd/>
        <w:snapToGrid/>
        <w:spacing w:line="360" w:lineRule="auto"/>
        <w:ind w:firstLine="464" w:firstLineChars="200"/>
        <w:textAlignment w:val="auto"/>
        <w:rPr>
          <w:rFonts w:hint="default" w:ascii="Times New Roman" w:hAnsi="Times New Roman" w:cs="Times New Roman"/>
          <w:color w:val="auto"/>
          <w:kern w:val="2"/>
          <w:sz w:val="24"/>
          <w:szCs w:val="24"/>
          <w:lang w:val="en-US" w:eastAsia="zh-CN" w:bidi="ar"/>
        </w:rPr>
      </w:pPr>
      <w:r>
        <w:rPr>
          <w:rFonts w:hint="default" w:ascii="Times New Roman" w:hAnsi="Times New Roman" w:eastAsia="宋体" w:cs="Times New Roman"/>
          <w:color w:val="auto"/>
          <w:spacing w:val="-4"/>
          <w:sz w:val="24"/>
        </w:rPr>
        <w:t>综上所述，</w:t>
      </w:r>
      <w:r>
        <w:rPr>
          <w:rFonts w:hint="default" w:ascii="Times New Roman" w:hAnsi="Times New Roman" w:eastAsia="宋体" w:cs="Times New Roman"/>
          <w:color w:val="auto"/>
          <w:sz w:val="24"/>
        </w:rPr>
        <w:t>在现状条件下，</w:t>
      </w:r>
      <w:r>
        <w:rPr>
          <w:rFonts w:hint="eastAsia" w:ascii="Times New Roman" w:hAnsi="Times New Roman" w:eastAsia="宋体" w:cs="Times New Roman"/>
          <w:color w:val="auto"/>
          <w:sz w:val="24"/>
          <w:lang w:val="en-US" w:eastAsia="zh-CN"/>
        </w:rPr>
        <w:t>矿区</w:t>
      </w:r>
      <w:r>
        <w:rPr>
          <w:rFonts w:hint="default" w:ascii="Times New Roman" w:hAnsi="Times New Roman" w:eastAsia="宋体" w:cs="Times New Roman"/>
          <w:color w:val="auto"/>
          <w:sz w:val="24"/>
        </w:rPr>
        <w:t>内地质灾害不发育。</w:t>
      </w:r>
    </w:p>
    <w:p w14:paraId="4514594A">
      <w:pPr>
        <w:wordWrap/>
        <w:ind w:firstLine="56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kern w:val="2"/>
          <w:sz w:val="24"/>
          <w:szCs w:val="24"/>
          <w:lang w:val="en-US" w:eastAsia="zh-CN" w:bidi="ar"/>
        </w:rPr>
        <w:t>2、含水层的影响与破坏现状</w:t>
      </w:r>
    </w:p>
    <w:p w14:paraId="7D95A8CF">
      <w:pPr>
        <w:tabs>
          <w:tab w:val="left" w:pos="720"/>
        </w:tabs>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含水层结构破坏</w:t>
      </w:r>
    </w:p>
    <w:p w14:paraId="28AB9D53">
      <w:pPr>
        <w:widowControl/>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矿山所开采的矿体为白云岩，现状民采坑</w:t>
      </w:r>
      <w:r>
        <w:rPr>
          <w:rFonts w:hint="eastAsia" w:ascii="Times New Roman" w:hAnsi="Times New Roman" w:eastAsia="宋体" w:cs="Times New Roman"/>
          <w:color w:val="auto"/>
          <w:sz w:val="24"/>
          <w:szCs w:val="24"/>
          <w:lang w:val="en-US" w:eastAsia="zh-CN"/>
        </w:rPr>
        <w:t>已进行回填</w:t>
      </w:r>
      <w:r>
        <w:rPr>
          <w:rFonts w:hint="default" w:ascii="Times New Roman" w:hAnsi="Times New Roman" w:eastAsia="宋体" w:cs="Times New Roman"/>
          <w:color w:val="auto"/>
          <w:sz w:val="24"/>
          <w:szCs w:val="24"/>
        </w:rPr>
        <w:t>，现状钻机平台、探槽及矿区道路对场地的开挖深度均小于5m，未揭露基岩裂隙含水层，未破坏含水层结构，钻孔深度均大于20m，揭露含水层，现状钻孔均已封孔，对含水层影响较轻。</w:t>
      </w:r>
    </w:p>
    <w:p w14:paraId="5475946E">
      <w:pPr>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疏干对含水层的影响</w:t>
      </w:r>
    </w:p>
    <w:p w14:paraId="257A6342">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根据调查，现状已形成单元未揭露地下含水层，无疏干排水。</w:t>
      </w:r>
    </w:p>
    <w:p w14:paraId="158D8244">
      <w:pPr>
        <w:tabs>
          <w:tab w:val="left" w:pos="720"/>
        </w:tabs>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对矿区及附近水源的影响</w:t>
      </w:r>
    </w:p>
    <w:p w14:paraId="0E38EF99">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矿山未生产，现状探矿活动所形成工程单元对矿区及附近水源无影响。</w:t>
      </w:r>
    </w:p>
    <w:p w14:paraId="71BA4BB1">
      <w:pPr>
        <w:tabs>
          <w:tab w:val="left" w:pos="720"/>
        </w:tabs>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对地下水水质影响</w:t>
      </w:r>
    </w:p>
    <w:p w14:paraId="7E461D6E">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矿山未进行采矿活动，现状仅存在钻探及探槽探矿工程。且</w:t>
      </w:r>
      <w:r>
        <w:rPr>
          <w:rFonts w:hint="eastAsia" w:ascii="Times New Roman" w:hAnsi="Times New Roman" w:eastAsia="宋体" w:cs="Times New Roman"/>
          <w:color w:val="auto"/>
          <w:sz w:val="24"/>
          <w:szCs w:val="24"/>
          <w:lang w:val="en-US" w:eastAsia="zh-CN"/>
        </w:rPr>
        <w:t>矿区</w:t>
      </w:r>
      <w:r>
        <w:rPr>
          <w:rFonts w:hint="default" w:ascii="Times New Roman" w:hAnsi="Times New Roman" w:eastAsia="宋体" w:cs="Times New Roman"/>
          <w:color w:val="auto"/>
          <w:sz w:val="24"/>
          <w:szCs w:val="24"/>
        </w:rPr>
        <w:t>内无污染源，不会影响地下水水质。</w:t>
      </w:r>
    </w:p>
    <w:p w14:paraId="2C2079CA">
      <w:pPr>
        <w:wordWrap/>
        <w:ind w:firstLine="560"/>
        <w:rPr>
          <w:rFonts w:hint="eastAsia" w:ascii="宋体" w:hAnsi="宋体" w:eastAsia="宋体" w:cs="宋体"/>
          <w:color w:val="auto"/>
          <w:lang w:eastAsia="zh-CN"/>
        </w:rPr>
      </w:pPr>
      <w:r>
        <w:rPr>
          <w:rFonts w:hint="default" w:ascii="Times New Roman" w:hAnsi="Times New Roman" w:eastAsia="宋体" w:cs="Times New Roman"/>
          <w:color w:val="auto"/>
          <w:spacing w:val="-4"/>
          <w:sz w:val="24"/>
        </w:rPr>
        <w:t>综上所述，</w:t>
      </w:r>
      <w:r>
        <w:rPr>
          <w:rFonts w:hint="default" w:ascii="Times New Roman" w:hAnsi="Times New Roman" w:eastAsia="宋体" w:cs="Times New Roman"/>
          <w:color w:val="auto"/>
          <w:sz w:val="24"/>
          <w:szCs w:val="24"/>
        </w:rPr>
        <w:t>矿山现状条件下对含水层影响较轻。</w:t>
      </w:r>
    </w:p>
    <w:p w14:paraId="6B5F02EA">
      <w:pPr>
        <w:wordWrap/>
        <w:ind w:firstLine="56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kern w:val="2"/>
          <w:sz w:val="24"/>
          <w:szCs w:val="24"/>
          <w:lang w:val="en-US" w:eastAsia="zh-CN" w:bidi="ar"/>
        </w:rPr>
        <w:t>3、地形地貌景观影响现状</w:t>
      </w:r>
    </w:p>
    <w:p w14:paraId="7E082F8B">
      <w:pPr>
        <w:wordWrap/>
        <w:ind w:firstLine="560"/>
        <w:rPr>
          <w:rFonts w:hint="default" w:eastAsia="宋体" w:cs="宋体" w:asciiTheme="majorAscii" w:hAnsiTheme="majorAscii"/>
          <w:b/>
          <w:bCs/>
          <w:color w:val="auto"/>
        </w:rPr>
      </w:pPr>
      <w:r>
        <w:rPr>
          <w:rFonts w:hint="default" w:ascii="Times New Roman" w:hAnsi="Times New Roman" w:eastAsia="宋体" w:cs="Times New Roman"/>
          <w:color w:val="auto"/>
          <w:kern w:val="2"/>
          <w:sz w:val="24"/>
          <w:szCs w:val="24"/>
          <w:lang w:val="en-US" w:eastAsia="zh-CN" w:bidi="ar"/>
        </w:rPr>
        <w:t>矿区地貌类型为低山，矿区附近无各类地质遗迹、自然保护区、人文景观、风景旅游区，矿山不在“三区两线”可视范围内。矿业活动（探矿活动）影响了原有地形地貌景观，现状对地形地貌景观影响的单元为</w:t>
      </w:r>
      <w:r>
        <w:rPr>
          <w:rFonts w:hint="default" w:ascii="Times New Roman" w:hAnsi="Times New Roman" w:eastAsia="宋体" w:cs="Times New Roman"/>
          <w:color w:val="auto"/>
          <w:sz w:val="24"/>
          <w:szCs w:val="24"/>
        </w:rPr>
        <w:t>歪脖子井采区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采坑（CK1~CK2）、废石堆、钻机平台（ZJPT1~ZJPT2）、探槽（TC1~TC28）及矿区道路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羊草沟采区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钻机平台（ZJPT1~ZJPT5）、探槽（TC1~TC4）及矿区道路。</w:t>
      </w:r>
      <w:r>
        <w:rPr>
          <w:rFonts w:hint="default" w:ascii="Times New Roman" w:hAnsi="Times New Roman" w:eastAsia="宋体" w:cs="Times New Roman"/>
          <w:color w:val="auto"/>
          <w:kern w:val="2"/>
          <w:sz w:val="24"/>
          <w:szCs w:val="24"/>
          <w:lang w:val="en-US" w:eastAsia="zh-CN" w:bidi="ar"/>
        </w:rPr>
        <w:t>现状对地形地貌景观影响和破坏评述如下：</w:t>
      </w:r>
    </w:p>
    <w:p w14:paraId="20F99EE1">
      <w:pPr>
        <w:wordWrap/>
        <w:ind w:firstLine="56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下歪脖子井采区</w:t>
      </w:r>
    </w:p>
    <w:p w14:paraId="3718A735">
      <w:pPr>
        <w:wordWrap/>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）采坑</w:t>
      </w:r>
      <w:r>
        <w:rPr>
          <w:rFonts w:hint="default" w:ascii="Times New Roman" w:hAnsi="Times New Roman" w:eastAsia="宋体" w:cs="Times New Roman"/>
          <w:color w:val="auto"/>
          <w:sz w:val="24"/>
          <w:szCs w:val="24"/>
        </w:rPr>
        <w:t>（CK1）</w:t>
      </w:r>
    </w:p>
    <w:p w14:paraId="5D26969E">
      <w:pPr>
        <w:wordWrap/>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采坑</w:t>
      </w:r>
      <w:r>
        <w:rPr>
          <w:rFonts w:hint="default" w:ascii="Times New Roman" w:hAnsi="Times New Roman" w:eastAsia="宋体" w:cs="Times New Roman"/>
          <w:color w:val="auto"/>
          <w:sz w:val="24"/>
          <w:szCs w:val="24"/>
        </w:rPr>
        <w:t>（CK1）位于</w:t>
      </w:r>
      <w:r>
        <w:rPr>
          <w:rFonts w:hint="default" w:ascii="Times New Roman" w:hAnsi="Times New Roman" w:eastAsia="宋体" w:cs="Times New Roman"/>
          <w:color w:val="auto"/>
          <w:sz w:val="24"/>
          <w:szCs w:val="24"/>
          <w:lang w:eastAsia="zh-CN"/>
        </w:rPr>
        <w:t>采区</w:t>
      </w:r>
      <w:r>
        <w:rPr>
          <w:rFonts w:hint="default" w:ascii="Times New Roman" w:hAnsi="Times New Roman" w:eastAsia="宋体" w:cs="Times New Roman"/>
          <w:color w:val="auto"/>
          <w:sz w:val="24"/>
          <w:szCs w:val="24"/>
        </w:rPr>
        <w:t>南部，呈不规则状展布，采坑长轴约49m，宽轴约35m，总占地面积</w:t>
      </w:r>
      <w:r>
        <w:rPr>
          <w:rFonts w:hint="default" w:ascii="Times New Roman" w:hAnsi="Times New Roman" w:eastAsia="宋体" w:cs="Times New Roman"/>
          <w:color w:val="auto"/>
          <w:sz w:val="24"/>
          <w:szCs w:val="24"/>
          <w:lang w:val="en-US" w:eastAsia="zh-CN"/>
        </w:rPr>
        <w:t>1660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，边坡高度</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m，边坡坡度45～55°</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color w:val="auto"/>
          <w:sz w:val="24"/>
          <w:szCs w:val="24"/>
        </w:rPr>
        <w:t>CK</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挖方量为</w:t>
      </w:r>
      <w:r>
        <w:rPr>
          <w:rFonts w:hint="default" w:ascii="Times New Roman" w:hAnsi="Times New Roman" w:eastAsia="宋体" w:cs="Times New Roman"/>
          <w:color w:val="auto"/>
          <w:sz w:val="24"/>
          <w:szCs w:val="24"/>
          <w:lang w:val="en-US" w:eastAsia="zh-CN"/>
        </w:rPr>
        <w:t>2600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
        </w:rPr>
        <w:t>场地的建设破坏了原生地形地貌景观，与原有自然景观存在不协调。</w:t>
      </w:r>
    </w:p>
    <w:p w14:paraId="5B5AF77A">
      <w:pPr>
        <w:wordWrap/>
        <w:ind w:firstLine="560"/>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需要说明的是，</w:t>
      </w:r>
      <w:r>
        <w:rPr>
          <w:rFonts w:hint="default" w:ascii="Times New Roman" w:hAnsi="Times New Roman" w:eastAsia="宋体" w:cs="Times New Roman"/>
          <w:color w:val="auto"/>
          <w:sz w:val="24"/>
          <w:szCs w:val="24"/>
          <w:lang w:eastAsia="zh-CN"/>
        </w:rPr>
        <w:t>采坑</w:t>
      </w:r>
      <w:r>
        <w:rPr>
          <w:rFonts w:hint="default" w:ascii="Times New Roman" w:hAnsi="Times New Roman" w:eastAsia="宋体" w:cs="Times New Roman"/>
          <w:color w:val="auto"/>
          <w:sz w:val="24"/>
          <w:szCs w:val="24"/>
        </w:rPr>
        <w:t>（CK1）</w:t>
      </w:r>
      <w:r>
        <w:rPr>
          <w:rFonts w:hint="default" w:ascii="Times New Roman" w:hAnsi="Times New Roman" w:eastAsia="宋体" w:cs="Times New Roman"/>
          <w:color w:val="auto"/>
          <w:kern w:val="2"/>
          <w:sz w:val="24"/>
          <w:szCs w:val="24"/>
          <w:lang w:val="en-US" w:eastAsia="zh-CN" w:bidi="ar"/>
        </w:rPr>
        <w:t>已在2022年度完成治理，</w:t>
      </w:r>
      <w:r>
        <w:rPr>
          <w:rFonts w:hint="default" w:ascii="Times New Roman" w:hAnsi="Times New Roman" w:eastAsia="宋体" w:cs="Times New Roman"/>
          <w:color w:val="auto"/>
          <w:sz w:val="24"/>
          <w:szCs w:val="24"/>
          <w:lang w:val="en-US" w:eastAsia="zh-CN"/>
        </w:rPr>
        <w:t>限于回填物源，两处采坑属于阶段性治理工程，未来矿山露天采场剥离生产时应继续进行回填确保采坑的原地貌得到恢复。</w:t>
      </w:r>
      <w:r>
        <w:rPr>
          <w:rFonts w:hint="default" w:ascii="Times New Roman" w:hAnsi="Times New Roman" w:eastAsia="宋体" w:cs="Times New Roman"/>
          <w:color w:val="auto"/>
          <w:kern w:val="2"/>
          <w:sz w:val="24"/>
          <w:szCs w:val="24"/>
          <w:lang w:val="en-US" w:eastAsia="zh-CN" w:bidi="ar"/>
        </w:rPr>
        <w:t>见照片4-1。</w:t>
      </w:r>
    </w:p>
    <w:p w14:paraId="3B469312">
      <w:pPr>
        <w:pStyle w:val="2"/>
        <w:rPr>
          <w:rFonts w:hint="eastAsia" w:eastAsia="宋体"/>
          <w:color w:val="auto"/>
          <w:lang w:val="en-US" w:eastAsia="zh-CN"/>
        </w:rPr>
      </w:pPr>
      <w:r>
        <w:rPr>
          <w:rFonts w:hint="eastAsia"/>
          <w:color w:val="auto"/>
          <w:lang w:eastAsia="zh-CN"/>
        </w:rPr>
        <w:t xml:space="preserve">       </w:t>
      </w:r>
    </w:p>
    <w:p w14:paraId="4DB5D88F">
      <w:pPr>
        <w:widowControl w:val="0"/>
        <w:tabs>
          <w:tab w:val="left" w:pos="6120"/>
        </w:tabs>
        <w:spacing w:line="360" w:lineRule="auto"/>
        <w:ind w:firstLine="0" w:firstLineChars="0"/>
        <w:jc w:val="center"/>
        <w:rPr>
          <w:rFonts w:hint="eastAsia" w:ascii="宋体" w:hAnsi="宋体" w:eastAsia="宋体" w:cs="宋体"/>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照片4-1  CK1</w:t>
      </w:r>
    </w:p>
    <w:p w14:paraId="15491665">
      <w:pPr>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废石堆</w:t>
      </w:r>
      <w:r>
        <w:rPr>
          <w:rFonts w:hint="default" w:ascii="Times New Roman" w:hAnsi="Times New Roman" w:eastAsia="宋体" w:cs="Times New Roman"/>
          <w:color w:val="auto"/>
          <w:sz w:val="24"/>
          <w:szCs w:val="24"/>
          <w:lang w:val="en-US" w:eastAsia="zh-CN"/>
        </w:rPr>
        <w:t>1</w:t>
      </w:r>
    </w:p>
    <w:p w14:paraId="205264FE">
      <w:pPr>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sz w:val="24"/>
          <w:szCs w:val="24"/>
        </w:rPr>
        <w:t>废石堆</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位于采区南侧，占地面积</w:t>
      </w:r>
      <w:r>
        <w:rPr>
          <w:rFonts w:hint="default" w:ascii="Times New Roman" w:hAnsi="Times New Roman" w:eastAsia="宋体" w:cs="Times New Roman"/>
          <w:color w:val="auto"/>
          <w:sz w:val="24"/>
          <w:szCs w:val="24"/>
          <w:lang w:val="en-US" w:eastAsia="zh-CN"/>
        </w:rPr>
        <w:t>950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
        </w:rPr>
        <w:t>形状不规则，场地的建设破坏了原生地形地貌景观，与原有自然景观存在不协调。</w:t>
      </w:r>
    </w:p>
    <w:p w14:paraId="7458E302">
      <w:pPr>
        <w:pStyle w:val="2"/>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需要说明的是，</w:t>
      </w:r>
      <w:r>
        <w:rPr>
          <w:rFonts w:hint="default" w:ascii="Times New Roman" w:hAnsi="Times New Roman" w:eastAsia="宋体" w:cs="Times New Roman"/>
          <w:color w:val="auto"/>
          <w:sz w:val="24"/>
          <w:szCs w:val="24"/>
        </w:rPr>
        <w:t>废石堆</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kern w:val="2"/>
          <w:sz w:val="24"/>
          <w:szCs w:val="24"/>
          <w:lang w:val="en-US" w:eastAsia="zh-CN" w:bidi="ar"/>
        </w:rPr>
        <w:t>已在202</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年度完成治理，总体地貌景观协调，植被恢复效果待完善。见照片4-2。</w:t>
      </w:r>
    </w:p>
    <w:p w14:paraId="5D0D1BDC">
      <w:pPr>
        <w:pStyle w:val="2"/>
        <w:rPr>
          <w:rFonts w:hint="eastAsia" w:ascii="Times New Roman" w:hAnsi="Times New Roman" w:eastAsia="宋体" w:cs="Times New Roman"/>
          <w:color w:val="auto"/>
          <w:kern w:val="2"/>
          <w:sz w:val="24"/>
          <w:szCs w:val="24"/>
          <w:lang w:val="en-US" w:eastAsia="zh-CN" w:bidi="ar"/>
        </w:rPr>
      </w:pPr>
      <w:r>
        <w:rPr>
          <w:rFonts w:hint="eastAsia"/>
          <w:color w:val="auto"/>
          <w:lang w:eastAsia="zh-CN"/>
        </w:rPr>
        <w:t xml:space="preserve">       </w:t>
      </w:r>
    </w:p>
    <w:p w14:paraId="214DD7AA">
      <w:pPr>
        <w:pStyle w:val="34"/>
        <w:tabs>
          <w:tab w:val="left" w:pos="6120"/>
        </w:tabs>
        <w:spacing w:line="360" w:lineRule="auto"/>
        <w:ind w:firstLine="0" w:firstLineChars="0"/>
        <w:jc w:val="center"/>
        <w:rPr>
          <w:rFonts w:hint="eastAsia" w:ascii="宋体" w:hAnsi="宋体" w:eastAsia="宋体" w:cs="宋体"/>
          <w:b/>
          <w:bCs/>
          <w:color w:val="auto"/>
          <w:sz w:val="21"/>
          <w:szCs w:val="21"/>
          <w:lang w:val="en-US" w:eastAsia="zh-CN"/>
        </w:rPr>
      </w:pPr>
      <w:r>
        <w:rPr>
          <w:rFonts w:hint="default" w:ascii="Times New Roman" w:hAnsi="Times New Roman" w:eastAsia="宋体" w:cs="Times New Roman"/>
          <w:b/>
          <w:bCs/>
          <w:color w:val="auto"/>
          <w:sz w:val="21"/>
          <w:szCs w:val="21"/>
        </w:rPr>
        <w:t>照片</w:t>
      </w:r>
      <w:r>
        <w:rPr>
          <w:rFonts w:hint="default" w:ascii="Times New Roman" w:hAnsi="Times New Roman" w:eastAsia="宋体" w:cs="Times New Roman"/>
          <w:b/>
          <w:bCs/>
          <w:color w:val="auto"/>
          <w:kern w:val="2"/>
          <w:sz w:val="21"/>
          <w:szCs w:val="21"/>
          <w:lang w:val="en-US" w:eastAsia="zh-CN" w:bidi="ar-SA"/>
        </w:rPr>
        <w:t>4-</w:t>
      </w:r>
      <w:r>
        <w:rPr>
          <w:rFonts w:hint="default"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 xml:space="preserve">  废石堆</w:t>
      </w:r>
      <w:r>
        <w:rPr>
          <w:rFonts w:hint="default" w:ascii="Times New Roman" w:hAnsi="Times New Roman" w:eastAsia="宋体" w:cs="Times New Roman"/>
          <w:b/>
          <w:bCs/>
          <w:color w:val="auto"/>
          <w:sz w:val="21"/>
          <w:szCs w:val="21"/>
          <w:lang w:val="en-US" w:eastAsia="zh-CN"/>
        </w:rPr>
        <w:t>1</w:t>
      </w:r>
    </w:p>
    <w:p w14:paraId="293B7343">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）采坑</w:t>
      </w:r>
      <w:r>
        <w:rPr>
          <w:rFonts w:hint="default" w:ascii="Times New Roman" w:hAnsi="Times New Roman" w:eastAsia="宋体" w:cs="Times New Roman"/>
          <w:color w:val="auto"/>
          <w:sz w:val="24"/>
          <w:szCs w:val="24"/>
        </w:rPr>
        <w:t>（CK</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p>
    <w:p w14:paraId="125FB312">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sz w:val="24"/>
          <w:szCs w:val="24"/>
          <w:lang w:eastAsia="zh-CN"/>
        </w:rPr>
        <w:t>采坑</w:t>
      </w:r>
      <w:r>
        <w:rPr>
          <w:rFonts w:hint="default" w:ascii="Times New Roman" w:hAnsi="Times New Roman" w:eastAsia="宋体" w:cs="Times New Roman"/>
          <w:color w:val="auto"/>
          <w:sz w:val="24"/>
          <w:szCs w:val="24"/>
        </w:rPr>
        <w:t>（CK</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）位于</w:t>
      </w:r>
      <w:r>
        <w:rPr>
          <w:rFonts w:hint="default" w:ascii="Times New Roman" w:hAnsi="Times New Roman" w:eastAsia="宋体" w:cs="Times New Roman"/>
          <w:color w:val="auto"/>
          <w:sz w:val="24"/>
          <w:szCs w:val="24"/>
          <w:lang w:eastAsia="zh-CN"/>
        </w:rPr>
        <w:t>矿区</w:t>
      </w:r>
      <w:r>
        <w:rPr>
          <w:rFonts w:hint="default" w:ascii="Times New Roman" w:hAnsi="Times New Roman" w:eastAsia="宋体" w:cs="Times New Roman"/>
          <w:color w:val="auto"/>
          <w:sz w:val="24"/>
          <w:szCs w:val="24"/>
        </w:rPr>
        <w:t>外南部，呈不规则状展布，采坑长轴约29.7m，宽轴约21.2m，总占地面积</w:t>
      </w:r>
      <w:r>
        <w:rPr>
          <w:rFonts w:hint="default" w:ascii="Times New Roman" w:hAnsi="Times New Roman" w:eastAsia="宋体" w:cs="Times New Roman"/>
          <w:color w:val="auto"/>
          <w:sz w:val="24"/>
          <w:szCs w:val="24"/>
          <w:lang w:val="en-US" w:eastAsia="zh-CN"/>
        </w:rPr>
        <w:t>636</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
        </w:rPr>
        <w:t>场地的建设破坏了原生地形地貌景观，与原有自然景观存在不协调。</w:t>
      </w:r>
    </w:p>
    <w:p w14:paraId="2E2321C6">
      <w:pPr>
        <w:pStyle w:val="2"/>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color w:val="auto"/>
          <w:lang w:val="en-US" w:eastAsia="zh-CN"/>
        </w:rPr>
      </w:pPr>
      <w:r>
        <w:rPr>
          <w:rFonts w:hint="default" w:ascii="Times New Roman" w:hAnsi="Times New Roman" w:eastAsia="宋体" w:cs="Times New Roman"/>
          <w:color w:val="auto"/>
          <w:kern w:val="2"/>
          <w:sz w:val="24"/>
          <w:szCs w:val="24"/>
          <w:lang w:val="en-US" w:eastAsia="zh-CN" w:bidi="ar"/>
        </w:rPr>
        <w:t>需要说明的是，</w:t>
      </w:r>
      <w:r>
        <w:rPr>
          <w:rFonts w:hint="default" w:ascii="Times New Roman" w:hAnsi="Times New Roman" w:eastAsia="宋体" w:cs="Times New Roman"/>
          <w:color w:val="auto"/>
          <w:sz w:val="24"/>
          <w:szCs w:val="24"/>
          <w:lang w:eastAsia="zh-CN"/>
        </w:rPr>
        <w:t>采坑</w:t>
      </w:r>
      <w:r>
        <w:rPr>
          <w:rFonts w:hint="default" w:ascii="Times New Roman" w:hAnsi="Times New Roman" w:eastAsia="宋体" w:cs="Times New Roman"/>
          <w:color w:val="auto"/>
          <w:sz w:val="24"/>
          <w:szCs w:val="24"/>
        </w:rPr>
        <w:t>（CK</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
        </w:rPr>
        <w:t>已在2022年度完成治理，总体地貌景观协调，植被恢复效果待完善。见照片4-</w:t>
      </w:r>
      <w:r>
        <w:rPr>
          <w:rFonts w:hint="eastAsia"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w:t>
      </w:r>
    </w:p>
    <w:p w14:paraId="69A6965E">
      <w:pPr>
        <w:pStyle w:val="2"/>
        <w:rPr>
          <w:rFonts w:hint="eastAsia" w:eastAsia="宋体"/>
          <w:color w:val="auto"/>
          <w:lang w:eastAsia="zh-CN"/>
        </w:rPr>
      </w:pPr>
      <w:r>
        <w:rPr>
          <w:rFonts w:hint="eastAsia"/>
          <w:color w:val="auto"/>
          <w:lang w:eastAsia="zh-CN"/>
        </w:rPr>
        <w:t xml:space="preserve">       </w:t>
      </w:r>
    </w:p>
    <w:p w14:paraId="2A0FA473">
      <w:pPr>
        <w:wordWrap/>
        <w:spacing w:line="240" w:lineRule="auto"/>
        <w:ind w:left="0" w:leftChars="0" w:firstLine="0" w:firstLineChars="0"/>
        <w:contextualSpacing/>
        <w:jc w:val="center"/>
        <w:rPr>
          <w:rFonts w:hint="eastAsia" w:ascii="宋体" w:hAnsi="宋体" w:eastAsia="宋体" w:cs="宋体"/>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照片4-3  CK2</w:t>
      </w:r>
    </w:p>
    <w:p w14:paraId="2AE9FD7C">
      <w:pPr>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废石堆</w:t>
      </w:r>
      <w:r>
        <w:rPr>
          <w:rFonts w:hint="default" w:ascii="Times New Roman" w:hAnsi="Times New Roman" w:eastAsia="宋体" w:cs="Times New Roman"/>
          <w:color w:val="auto"/>
          <w:sz w:val="24"/>
          <w:szCs w:val="24"/>
          <w:lang w:val="en-US" w:eastAsia="zh-CN"/>
        </w:rPr>
        <w:t>2</w:t>
      </w:r>
    </w:p>
    <w:p w14:paraId="514DB568">
      <w:pPr>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sz w:val="24"/>
          <w:szCs w:val="24"/>
        </w:rPr>
        <w:t>废石堆</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位于采区</w:t>
      </w:r>
      <w:r>
        <w:rPr>
          <w:rFonts w:hint="default" w:ascii="Times New Roman" w:hAnsi="Times New Roman" w:eastAsia="宋体" w:cs="Times New Roman"/>
          <w:color w:val="auto"/>
          <w:sz w:val="24"/>
          <w:szCs w:val="24"/>
          <w:lang w:eastAsia="zh-CN"/>
        </w:rPr>
        <w:t>西</w:t>
      </w:r>
      <w:r>
        <w:rPr>
          <w:rFonts w:hint="default" w:ascii="Times New Roman" w:hAnsi="Times New Roman" w:eastAsia="宋体" w:cs="Times New Roman"/>
          <w:color w:val="auto"/>
          <w:sz w:val="24"/>
          <w:szCs w:val="24"/>
        </w:rPr>
        <w:t>侧，占地面积</w:t>
      </w:r>
      <w:r>
        <w:rPr>
          <w:rFonts w:hint="default" w:ascii="Times New Roman" w:hAnsi="Times New Roman" w:eastAsia="宋体" w:cs="Times New Roman"/>
          <w:color w:val="auto"/>
          <w:sz w:val="24"/>
          <w:szCs w:val="24"/>
          <w:lang w:val="en-US" w:eastAsia="zh-CN"/>
        </w:rPr>
        <w:t>865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
        </w:rPr>
        <w:t>形状不规则，场地的建设破坏了原生地形地貌景观，与原有自然景观存在不协调。</w:t>
      </w:r>
    </w:p>
    <w:p w14:paraId="46ED1E79">
      <w:pPr>
        <w:pStyle w:val="2"/>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bCs/>
          <w:color w:val="auto"/>
          <w:kern w:val="2"/>
          <w:sz w:val="21"/>
          <w:szCs w:val="21"/>
          <w:lang w:val="en-US" w:eastAsia="zh-CN" w:bidi="ar-SA"/>
        </w:rPr>
      </w:pPr>
      <w:r>
        <w:rPr>
          <w:rFonts w:hint="default" w:ascii="Times New Roman" w:hAnsi="Times New Roman" w:eastAsia="宋体" w:cs="Times New Roman"/>
          <w:color w:val="auto"/>
          <w:kern w:val="2"/>
          <w:sz w:val="24"/>
          <w:szCs w:val="24"/>
          <w:lang w:val="en-US" w:eastAsia="zh-CN" w:bidi="ar"/>
        </w:rPr>
        <w:t>需要说明的是，</w:t>
      </w:r>
      <w:r>
        <w:rPr>
          <w:rFonts w:hint="default" w:ascii="Times New Roman" w:hAnsi="Times New Roman" w:eastAsia="宋体" w:cs="Times New Roman"/>
          <w:color w:val="auto"/>
          <w:sz w:val="24"/>
          <w:szCs w:val="24"/>
        </w:rPr>
        <w:t>废石堆</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kern w:val="2"/>
          <w:sz w:val="24"/>
          <w:szCs w:val="24"/>
          <w:lang w:val="en-US" w:eastAsia="zh-CN" w:bidi="ar"/>
        </w:rPr>
        <w:t>已在2022年度完成治理，总体地貌景观协调，植被恢复效果待完善。见照片4-4。</w:t>
      </w:r>
    </w:p>
    <w:p w14:paraId="773D17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center"/>
        <w:textAlignment w:val="auto"/>
        <w:rPr>
          <w:rFonts w:hint="eastAsia" w:ascii="宋体" w:hAnsi="宋体" w:eastAsia="宋体" w:cs="宋体"/>
          <w:color w:val="auto"/>
          <w:sz w:val="28"/>
          <w:szCs w:val="28"/>
          <w:lang w:eastAsia="zh-CN"/>
        </w:rPr>
      </w:pPr>
      <w:r>
        <w:rPr>
          <w:rFonts w:hint="eastAsia" w:eastAsia="宋体"/>
          <w:color w:val="auto"/>
          <w:lang w:eastAsia="zh-CN"/>
        </w:rPr>
        <w:t xml:space="preserve">       </w:t>
      </w:r>
    </w:p>
    <w:p w14:paraId="0A3625F3">
      <w:pPr>
        <w:widowControl w:val="0"/>
        <w:tabs>
          <w:tab w:val="left" w:pos="6120"/>
        </w:tabs>
        <w:spacing w:line="360" w:lineRule="auto"/>
        <w:ind w:firstLine="0" w:firstLineChars="0"/>
        <w:jc w:val="center"/>
        <w:rPr>
          <w:rFonts w:hint="default" w:ascii="宋体" w:hAnsi="宋体" w:eastAsia="宋体" w:cs="宋体"/>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照片4-4  废渣堆2</w:t>
      </w:r>
    </w:p>
    <w:p w14:paraId="50FC18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钻机平台（ZJPT1~ZIPT2）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探矿遗留钻机平台2处，分布于</w:t>
      </w:r>
      <w:r>
        <w:rPr>
          <w:rFonts w:hint="default" w:ascii="Times New Roman" w:hAnsi="Times New Roman" w:eastAsia="宋体" w:cs="Times New Roman"/>
          <w:color w:val="auto"/>
          <w:sz w:val="24"/>
          <w:szCs w:val="24"/>
          <w:lang w:eastAsia="zh-CN"/>
        </w:rPr>
        <w:t>采区</w:t>
      </w:r>
      <w:r>
        <w:rPr>
          <w:rFonts w:hint="default" w:ascii="Times New Roman" w:hAnsi="Times New Roman" w:eastAsia="宋体" w:cs="Times New Roman"/>
          <w:color w:val="auto"/>
          <w:sz w:val="24"/>
          <w:szCs w:val="24"/>
        </w:rPr>
        <w:t>中部，场地长8.2～19.5m，宽6.5～10.6m，损毁总面积252m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
        </w:rPr>
        <w:t>场地的建设破坏了原生地形地貌景观，与原有自然景观存在不协调。</w:t>
      </w:r>
    </w:p>
    <w:p w14:paraId="08D550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jc w:val="left"/>
        <w:textAlignment w:val="auto"/>
        <w:rPr>
          <w:rFonts w:hint="eastAsia" w:ascii="宋体" w:hAnsi="宋体" w:eastAsia="宋体" w:cs="宋体"/>
          <w:color w:val="auto"/>
          <w:sz w:val="28"/>
          <w:szCs w:val="28"/>
        </w:rPr>
      </w:pPr>
      <w:r>
        <w:rPr>
          <w:rFonts w:hint="default" w:ascii="Times New Roman" w:hAnsi="Times New Roman" w:eastAsia="宋体" w:cs="Times New Roman"/>
          <w:color w:val="auto"/>
          <w:kern w:val="2"/>
          <w:sz w:val="24"/>
          <w:szCs w:val="24"/>
          <w:lang w:val="en-US" w:eastAsia="zh-CN" w:bidi="ar"/>
        </w:rPr>
        <w:t>需要说明的是，</w:t>
      </w:r>
      <w:r>
        <w:rPr>
          <w:rFonts w:hint="default" w:ascii="Times New Roman" w:hAnsi="Times New Roman" w:eastAsia="宋体" w:cs="Times New Roman"/>
          <w:color w:val="auto"/>
          <w:sz w:val="24"/>
          <w:szCs w:val="24"/>
        </w:rPr>
        <w:t>钻机平台（ZJPT1~ZIPT2）</w:t>
      </w:r>
      <w:r>
        <w:rPr>
          <w:rFonts w:hint="default" w:ascii="Times New Roman" w:hAnsi="Times New Roman" w:eastAsia="宋体" w:cs="Times New Roman"/>
          <w:color w:val="auto"/>
          <w:kern w:val="2"/>
          <w:sz w:val="24"/>
          <w:szCs w:val="24"/>
          <w:lang w:val="en-US" w:eastAsia="zh-CN" w:bidi="ar"/>
        </w:rPr>
        <w:t>已在2022年度完成治理，总体地貌景观协调，植被恢复效果待完善。见照片4-5</w:t>
      </w:r>
      <w:r>
        <w:rPr>
          <w:rFonts w:hint="eastAsia" w:ascii="Times New Roman" w:hAnsi="Times New Roman" w:eastAsia="宋体" w:cs="Times New Roman"/>
          <w:color w:val="auto"/>
          <w:kern w:val="2"/>
          <w:sz w:val="24"/>
          <w:szCs w:val="24"/>
          <w:lang w:val="en-US" w:eastAsia="zh-CN" w:bidi="ar"/>
        </w:rPr>
        <w:t>、4-6</w:t>
      </w:r>
      <w:r>
        <w:rPr>
          <w:rFonts w:hint="default" w:ascii="Times New Roman" w:hAnsi="Times New Roman" w:eastAsia="宋体" w:cs="Times New Roman"/>
          <w:color w:val="auto"/>
          <w:kern w:val="2"/>
          <w:sz w:val="24"/>
          <w:szCs w:val="24"/>
          <w:lang w:val="en-US" w:eastAsia="zh-CN" w:bidi="ar"/>
        </w:rPr>
        <w:t>。</w:t>
      </w:r>
    </w:p>
    <w:p w14:paraId="6E189E07">
      <w:pPr>
        <w:pStyle w:val="2"/>
        <w:jc w:val="center"/>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5129FC06">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黑体" w:cs="Times New Roman"/>
          <w:color w:val="auto"/>
          <w:sz w:val="24"/>
          <w:szCs w:val="24"/>
          <w:lang w:val="en-US"/>
        </w:rPr>
      </w:pPr>
      <w:r>
        <w:rPr>
          <w:rFonts w:hint="default" w:ascii="Times New Roman" w:hAnsi="Times New Roman" w:eastAsia="宋体" w:cs="Times New Roman"/>
          <w:b/>
          <w:bCs/>
          <w:color w:val="auto"/>
          <w:kern w:val="2"/>
          <w:sz w:val="21"/>
          <w:szCs w:val="21"/>
          <w:lang w:val="en-US" w:eastAsia="zh-CN" w:bidi="ar-SA"/>
        </w:rPr>
        <w:t>照片4-5  ZJPT1</w:t>
      </w:r>
    </w:p>
    <w:p w14:paraId="55672577">
      <w:pPr>
        <w:keepNext w:val="0"/>
        <w:keepLines w:val="0"/>
        <w:pageBreakBefore w:val="0"/>
        <w:widowControl w:val="0"/>
        <w:kinsoku/>
        <w:wordWrap w:val="0"/>
        <w:overflowPunct/>
        <w:topLinePunct w:val="0"/>
        <w:autoSpaceDE/>
        <w:autoSpaceDN/>
        <w:bidi w:val="0"/>
        <w:adjustRightInd/>
        <w:snapToGrid w:val="0"/>
        <w:spacing w:line="240" w:lineRule="auto"/>
        <w:ind w:left="0" w:leftChars="0" w:firstLine="0" w:firstLineChars="0"/>
        <w:jc w:val="center"/>
        <w:textAlignment w:val="auto"/>
        <w:rPr>
          <w:rFonts w:hint="eastAsia" w:eastAsia="仿宋"/>
          <w:color w:val="auto"/>
          <w:lang w:eastAsia="zh-CN"/>
        </w:rPr>
      </w:pPr>
      <w:r>
        <w:rPr>
          <w:rFonts w:hint="eastAsia"/>
          <w:color w:val="auto"/>
          <w:lang w:eastAsia="zh-CN"/>
        </w:rPr>
        <w:t xml:space="preserve">       </w:t>
      </w:r>
    </w:p>
    <w:p w14:paraId="427FA5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hint="eastAsia" w:ascii="宋体" w:hAnsi="宋体" w:eastAsia="宋体" w:cs="宋体"/>
          <w:b/>
          <w:bCs/>
          <w:color w:val="auto"/>
          <w:kern w:val="2"/>
          <w:sz w:val="24"/>
          <w:szCs w:val="24"/>
          <w:lang w:val="en-US" w:eastAsia="zh-CN" w:bidi="ar-SA"/>
        </w:rPr>
      </w:pPr>
      <w:r>
        <w:rPr>
          <w:rFonts w:hint="default" w:ascii="Times New Roman" w:hAnsi="Times New Roman" w:eastAsia="宋体" w:cs="Times New Roman"/>
          <w:b/>
          <w:bCs/>
          <w:color w:val="auto"/>
          <w:kern w:val="2"/>
          <w:sz w:val="21"/>
          <w:szCs w:val="21"/>
          <w:lang w:val="en-US" w:eastAsia="zh-CN" w:bidi="ar-SA"/>
        </w:rPr>
        <w:t>照片4-6  ZJPT2</w:t>
      </w:r>
    </w:p>
    <w:p w14:paraId="5A816821">
      <w:pPr>
        <w:keepNext w:val="0"/>
        <w:keepLines w:val="0"/>
        <w:pageBreakBefore w:val="0"/>
        <w:widowControl w:val="0"/>
        <w:numPr>
          <w:ilvl w:val="0"/>
          <w:numId w:val="0"/>
        </w:numPr>
        <w:tabs>
          <w:tab w:val="left" w:pos="2189"/>
          <w:tab w:val="left" w:pos="2419"/>
        </w:tabs>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探槽（TC1～TC28）</w:t>
      </w:r>
    </w:p>
    <w:p w14:paraId="62A73D3F">
      <w:pPr>
        <w:keepNext w:val="0"/>
        <w:keepLines w:val="0"/>
        <w:pageBreakBefore w:val="0"/>
        <w:widowControl w:val="0"/>
        <w:numPr>
          <w:ilvl w:val="0"/>
          <w:numId w:val="0"/>
        </w:numPr>
        <w:tabs>
          <w:tab w:val="left" w:pos="2189"/>
          <w:tab w:val="left" w:pos="2419"/>
        </w:tabs>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sz w:val="24"/>
          <w:szCs w:val="24"/>
        </w:rPr>
        <w:t>探矿遗留探槽28条，其中TC1～TC21、TC28分布于</w:t>
      </w:r>
      <w:r>
        <w:rPr>
          <w:rFonts w:hint="default" w:ascii="Times New Roman" w:hAnsi="Times New Roman" w:eastAsia="宋体" w:cs="Times New Roman"/>
          <w:color w:val="auto"/>
          <w:sz w:val="24"/>
          <w:szCs w:val="24"/>
          <w:lang w:eastAsia="zh-CN"/>
        </w:rPr>
        <w:t>采区</w:t>
      </w:r>
      <w:r>
        <w:rPr>
          <w:rFonts w:hint="default" w:ascii="Times New Roman" w:hAnsi="Times New Roman" w:eastAsia="宋体" w:cs="Times New Roman"/>
          <w:color w:val="auto"/>
          <w:sz w:val="24"/>
          <w:szCs w:val="24"/>
        </w:rPr>
        <w:t>内部；TC22～TC27分布于矿区外南部，探槽较规整，长18～151m，宽1.5～3.5m，压占损毁总面积约</w:t>
      </w:r>
      <w:r>
        <w:rPr>
          <w:rFonts w:hint="default" w:ascii="Times New Roman" w:hAnsi="Times New Roman" w:eastAsia="宋体" w:cs="Times New Roman"/>
          <w:color w:val="auto"/>
          <w:sz w:val="24"/>
          <w:szCs w:val="24"/>
          <w:lang w:val="en-US" w:eastAsia="zh-CN"/>
        </w:rPr>
        <w:t>7080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
        </w:rPr>
        <w:t>场地的建设破坏了原生地形地貌景观，与原有自然景观存在不协调。</w:t>
      </w:r>
    </w:p>
    <w:p w14:paraId="26B73E6E">
      <w:pPr>
        <w:pStyle w:val="2"/>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color w:val="auto"/>
        </w:rPr>
      </w:pPr>
      <w:r>
        <w:rPr>
          <w:rFonts w:hint="default" w:ascii="Times New Roman" w:hAnsi="Times New Roman" w:eastAsia="宋体" w:cs="Times New Roman"/>
          <w:color w:val="auto"/>
          <w:kern w:val="2"/>
          <w:sz w:val="24"/>
          <w:szCs w:val="24"/>
          <w:lang w:val="en-US" w:eastAsia="zh-CN" w:bidi="ar"/>
        </w:rPr>
        <w:t>需要说明的是，</w:t>
      </w:r>
      <w:r>
        <w:rPr>
          <w:rFonts w:hint="default" w:ascii="Times New Roman" w:hAnsi="Times New Roman" w:eastAsia="宋体" w:cs="Times New Roman"/>
          <w:color w:val="auto"/>
          <w:sz w:val="24"/>
          <w:szCs w:val="24"/>
        </w:rPr>
        <w:t>探槽（TC1～TC28）</w:t>
      </w:r>
      <w:r>
        <w:rPr>
          <w:rFonts w:hint="default" w:ascii="Times New Roman" w:hAnsi="Times New Roman" w:eastAsia="宋体" w:cs="Times New Roman"/>
          <w:color w:val="auto"/>
          <w:kern w:val="2"/>
          <w:sz w:val="24"/>
          <w:szCs w:val="24"/>
          <w:lang w:val="en-US" w:eastAsia="zh-CN" w:bidi="ar"/>
        </w:rPr>
        <w:t>已在2022年度完成治理，总体地貌景观协调，植被恢复效果待完善。见照片4-</w:t>
      </w:r>
      <w:r>
        <w:rPr>
          <w:rFonts w:hint="eastAsia" w:ascii="Times New Roman" w:hAnsi="Times New Roman" w:eastAsia="宋体" w:cs="Times New Roman"/>
          <w:color w:val="auto"/>
          <w:kern w:val="2"/>
          <w:sz w:val="24"/>
          <w:szCs w:val="24"/>
          <w:lang w:val="en-US" w:eastAsia="zh-CN" w:bidi="ar"/>
        </w:rPr>
        <w:t>7</w:t>
      </w:r>
      <w:r>
        <w:rPr>
          <w:rFonts w:hint="default" w:ascii="Times New Roman" w:hAnsi="Times New Roman" w:eastAsia="宋体" w:cs="Times New Roman"/>
          <w:color w:val="auto"/>
          <w:kern w:val="2"/>
          <w:sz w:val="24"/>
          <w:szCs w:val="24"/>
          <w:lang w:val="en-US" w:eastAsia="zh-CN" w:bidi="ar"/>
        </w:rPr>
        <w:t>。</w:t>
      </w:r>
    </w:p>
    <w:p w14:paraId="20030F2B">
      <w:pPr>
        <w:widowControl w:val="0"/>
        <w:autoSpaceDE w:val="0"/>
        <w:autoSpaceDN w:val="0"/>
        <w:adjustRightInd w:val="0"/>
        <w:ind w:left="0" w:leftChars="0" w:firstLine="0" w:firstLineChars="0"/>
        <w:jc w:val="both"/>
        <w:rPr>
          <w:rFonts w:hint="eastAsia" w:ascii="宋体" w:hAnsi="宋体" w:eastAsia="仿宋" w:cs="宋体"/>
          <w:color w:val="auto"/>
          <w:sz w:val="24"/>
          <w:szCs w:val="24"/>
          <w:lang w:val="en-US" w:eastAsia="zh-CN" w:bidi="ar-SA"/>
        </w:rPr>
      </w:pPr>
      <w:r>
        <w:rPr>
          <w:rFonts w:hint="eastAsia"/>
          <w:color w:val="auto"/>
          <w:lang w:eastAsia="zh-CN"/>
        </w:rPr>
        <w:t xml:space="preserve">       </w:t>
      </w:r>
      <w:r>
        <w:rPr>
          <w:rFonts w:hint="eastAsia"/>
          <w:color w:val="auto"/>
          <w:lang w:val="en-US" w:eastAsia="zh-CN"/>
        </w:rPr>
        <w:t xml:space="preserve"> </w:t>
      </w:r>
      <w:r>
        <w:rPr>
          <w:rFonts w:hint="eastAsia"/>
          <w:color w:val="auto"/>
          <w:lang w:eastAsia="zh-CN"/>
        </w:rPr>
        <w:t xml:space="preserve">       </w:t>
      </w:r>
    </w:p>
    <w:p w14:paraId="398149BF">
      <w:pPr>
        <w:widowControl w:val="0"/>
        <w:autoSpaceDE w:val="0"/>
        <w:autoSpaceDN w:val="0"/>
        <w:adjustRightInd w:val="0"/>
        <w:ind w:left="0" w:leftChars="0" w:firstLine="0" w:firstLineChars="0"/>
        <w:jc w:val="both"/>
        <w:rPr>
          <w:rFonts w:hint="eastAsia" w:ascii="宋体" w:hAnsi="宋体" w:eastAsia="仿宋" w:cs="宋体"/>
          <w:b/>
          <w:bCs/>
          <w:color w:val="auto"/>
          <w:sz w:val="21"/>
          <w:szCs w:val="21"/>
          <w:lang w:val="en-US" w:eastAsia="zh-CN" w:bidi="ar-SA"/>
        </w:rPr>
      </w:pPr>
      <w:r>
        <w:rPr>
          <w:rFonts w:hint="eastAsia"/>
          <w:color w:val="auto"/>
          <w:lang w:eastAsia="zh-CN"/>
        </w:rPr>
        <w:t xml:space="preserve">       </w:t>
      </w:r>
      <w:r>
        <w:rPr>
          <w:rFonts w:hint="eastAsia"/>
          <w:color w:val="auto"/>
          <w:lang w:val="en-US" w:eastAsia="zh-CN"/>
        </w:rPr>
        <w:t xml:space="preserve"> </w:t>
      </w:r>
      <w:r>
        <w:rPr>
          <w:rFonts w:hint="eastAsia"/>
          <w:color w:val="auto"/>
          <w:lang w:eastAsia="zh-CN"/>
        </w:rPr>
        <w:t xml:space="preserve">       </w:t>
      </w:r>
    </w:p>
    <w:p w14:paraId="037BCA63">
      <w:pPr>
        <w:widowControl w:val="0"/>
        <w:autoSpaceDE w:val="0"/>
        <w:autoSpaceDN w:val="0"/>
        <w:adjustRightInd w:val="0"/>
        <w:ind w:left="0" w:leftChars="0" w:firstLine="0" w:firstLineChars="0"/>
        <w:jc w:val="center"/>
        <w:rPr>
          <w:rFonts w:hint="eastAsia" w:ascii="宋体" w:hAnsi="宋体" w:eastAsia="宋体" w:cs="宋体"/>
          <w:b/>
          <w:color w:val="auto"/>
          <w:sz w:val="24"/>
          <w:szCs w:val="21"/>
          <w:lang w:val="en-US" w:eastAsia="zh-CN" w:bidi="ar-SA"/>
        </w:rPr>
      </w:pPr>
      <w:r>
        <w:rPr>
          <w:rFonts w:hint="default" w:ascii="Times New Roman" w:hAnsi="Times New Roman" w:eastAsia="宋体" w:cs="Times New Roman"/>
          <w:b/>
          <w:bCs/>
          <w:color w:val="auto"/>
          <w:sz w:val="21"/>
          <w:szCs w:val="21"/>
          <w:lang w:val="en-US" w:eastAsia="zh-CN" w:bidi="ar-SA"/>
        </w:rPr>
        <w:t>照片</w:t>
      </w:r>
      <w:r>
        <w:rPr>
          <w:rFonts w:hint="default" w:ascii="Times New Roman" w:hAnsi="Times New Roman" w:eastAsia="宋体" w:cs="Times New Roman"/>
          <w:b/>
          <w:bCs/>
          <w:color w:val="auto"/>
          <w:kern w:val="2"/>
          <w:sz w:val="21"/>
          <w:szCs w:val="21"/>
          <w:lang w:val="en-US" w:eastAsia="zh-CN" w:bidi="ar-SA"/>
        </w:rPr>
        <w:t>4-</w:t>
      </w:r>
      <w:r>
        <w:rPr>
          <w:rFonts w:hint="default" w:ascii="Times New Roman" w:hAnsi="Times New Roman" w:eastAsia="宋体" w:cs="Times New Roman"/>
          <w:b/>
          <w:bCs/>
          <w:color w:val="auto"/>
          <w:sz w:val="21"/>
          <w:szCs w:val="21"/>
          <w:lang w:val="en-US" w:eastAsia="zh-CN" w:bidi="ar-SA"/>
        </w:rPr>
        <w:t>7 TC1~TC28</w:t>
      </w:r>
    </w:p>
    <w:p w14:paraId="35480103">
      <w:pPr>
        <w:wordWrap/>
        <w:spacing w:line="360" w:lineRule="auto"/>
        <w:ind w:firstLine="480" w:firstLineChars="200"/>
        <w:jc w:val="left"/>
        <w:rPr>
          <w:rFonts w:hint="eastAsia" w:ascii="宋体" w:hAnsi="宋体" w:eastAsia="宋体" w:cs="宋体"/>
          <w:color w:val="auto"/>
          <w:sz w:val="28"/>
          <w:szCs w:val="28"/>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矿区道路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现状开拓道路总长1180m，路面平均宽2m-3m，占地面积为3286m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，部分路段有切坡，切坡道路长约650m，高度0.5m-1m，坡角30°-45°。矿区道路与乡村道路相连通，道路的建设及运输碾压地表，破坏植被，</w:t>
      </w:r>
      <w:r>
        <w:rPr>
          <w:rFonts w:hint="default" w:ascii="Times New Roman" w:hAnsi="Times New Roman" w:eastAsia="宋体" w:cs="Times New Roman"/>
          <w:color w:val="auto"/>
          <w:sz w:val="24"/>
          <w:szCs w:val="24"/>
          <w:lang w:eastAsia="zh-CN"/>
        </w:rPr>
        <w:t>影响了矿区的</w:t>
      </w:r>
      <w:r>
        <w:rPr>
          <w:rFonts w:hint="default" w:ascii="Times New Roman" w:hAnsi="Times New Roman" w:eastAsia="宋体" w:cs="Times New Roman"/>
          <w:bCs/>
          <w:color w:val="auto"/>
          <w:sz w:val="24"/>
          <w:szCs w:val="24"/>
        </w:rPr>
        <w:t>地形地貌景观</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
        </w:rPr>
        <w:t>见照片4-</w:t>
      </w:r>
      <w:r>
        <w:rPr>
          <w:rFonts w:hint="eastAsia" w:ascii="Times New Roman" w:hAnsi="Times New Roman" w:eastAsia="宋体" w:cs="Times New Roman"/>
          <w:color w:val="auto"/>
          <w:kern w:val="2"/>
          <w:sz w:val="24"/>
          <w:szCs w:val="24"/>
          <w:lang w:val="en-US" w:eastAsia="zh-CN" w:bidi="ar"/>
        </w:rPr>
        <w:t>8</w:t>
      </w:r>
      <w:r>
        <w:rPr>
          <w:rFonts w:hint="default" w:ascii="Times New Roman" w:hAnsi="Times New Roman" w:eastAsia="宋体" w:cs="Times New Roman"/>
          <w:color w:val="auto"/>
          <w:kern w:val="2"/>
          <w:sz w:val="24"/>
          <w:szCs w:val="24"/>
          <w:lang w:val="en-US" w:eastAsia="zh-CN" w:bidi="ar"/>
        </w:rPr>
        <w:t>。</w:t>
      </w:r>
    </w:p>
    <w:p w14:paraId="75C80B56">
      <w:pPr>
        <w:widowControl w:val="0"/>
        <w:autoSpaceDE w:val="0"/>
        <w:autoSpaceDN w:val="0"/>
        <w:adjustRightInd w:val="0"/>
        <w:ind w:left="0" w:leftChars="0"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       </w:t>
      </w:r>
    </w:p>
    <w:p w14:paraId="5DE75DE7">
      <w:pPr>
        <w:wordWrap/>
        <w:spacing w:line="360" w:lineRule="auto"/>
        <w:ind w:firstLine="0" w:firstLineChars="0"/>
        <w:jc w:val="center"/>
        <w:rPr>
          <w:rFonts w:hint="eastAsia" w:ascii="宋体" w:hAnsi="宋体" w:eastAsia="宋体" w:cs="宋体"/>
          <w:b/>
          <w:color w:val="auto"/>
          <w:sz w:val="21"/>
          <w:szCs w:val="21"/>
        </w:rPr>
      </w:pPr>
      <w:r>
        <w:rPr>
          <w:rFonts w:hint="default" w:ascii="Times New Roman" w:hAnsi="Times New Roman" w:eastAsia="宋体" w:cs="Times New Roman"/>
          <w:b/>
          <w:color w:val="auto"/>
          <w:sz w:val="21"/>
          <w:szCs w:val="21"/>
        </w:rPr>
        <w:t>照片</w:t>
      </w:r>
      <w:r>
        <w:rPr>
          <w:rFonts w:hint="default" w:ascii="Times New Roman" w:hAnsi="Times New Roman" w:eastAsia="宋体" w:cs="Times New Roman"/>
          <w:b/>
          <w:bCs/>
          <w:color w:val="auto"/>
          <w:kern w:val="2"/>
          <w:sz w:val="21"/>
          <w:szCs w:val="21"/>
          <w:lang w:val="en-US" w:eastAsia="zh-CN" w:bidi="ar-SA"/>
        </w:rPr>
        <w:t>4-</w:t>
      </w:r>
      <w:r>
        <w:rPr>
          <w:rFonts w:hint="default" w:ascii="Times New Roman" w:hAnsi="Times New Roman" w:eastAsia="宋体" w:cs="Times New Roman"/>
          <w:b/>
          <w:color w:val="auto"/>
          <w:sz w:val="21"/>
          <w:szCs w:val="21"/>
          <w:lang w:val="en-US" w:eastAsia="zh-CN"/>
        </w:rPr>
        <w:t>8</w:t>
      </w:r>
      <w:r>
        <w:rPr>
          <w:rFonts w:hint="default" w:ascii="Times New Roman" w:hAnsi="Times New Roman" w:eastAsia="宋体" w:cs="Times New Roman"/>
          <w:b/>
          <w:color w:val="auto"/>
          <w:sz w:val="21"/>
          <w:szCs w:val="21"/>
        </w:rPr>
        <w:t xml:space="preserve">  矿区道路（切坡路段）</w:t>
      </w:r>
    </w:p>
    <w:p w14:paraId="6AE42B69">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left"/>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b/>
          <w:bCs/>
          <w:color w:val="auto"/>
          <w:sz w:val="24"/>
          <w:szCs w:val="24"/>
          <w:lang w:val="en-US" w:eastAsia="zh-CN" w:bidi="ar-SA"/>
        </w:rPr>
        <w:t>羊草沟采区：</w:t>
      </w:r>
    </w:p>
    <w:p w14:paraId="077DC447">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8"/>
          <w:szCs w:val="28"/>
          <w:lang w:val="en-US" w:eastAsia="zh-CN" w:bidi="ar-SA"/>
        </w:rPr>
      </w:pPr>
      <w:r>
        <w:rPr>
          <w:rFonts w:hint="eastAsia" w:ascii="Times New Roman" w:hAnsi="Times New Roman" w:eastAsia="宋体" w:cs="Times New Roman"/>
          <w:color w:val="auto"/>
          <w:sz w:val="24"/>
          <w:szCs w:val="24"/>
          <w:lang w:val="en-US" w:eastAsia="zh-CN" w:bidi="ar-SA"/>
        </w:rPr>
        <w:t>（8）</w:t>
      </w:r>
      <w:r>
        <w:rPr>
          <w:rFonts w:hint="default" w:ascii="Times New Roman" w:hAnsi="Times New Roman" w:eastAsia="宋体" w:cs="Times New Roman"/>
          <w:color w:val="auto"/>
          <w:sz w:val="24"/>
          <w:szCs w:val="24"/>
          <w:lang w:val="en-US" w:eastAsia="zh-CN" w:bidi="ar-SA"/>
        </w:rPr>
        <w:t>钻机平台（ZJPT1~ZJPT5）</w:t>
      </w:r>
    </w:p>
    <w:p w14:paraId="73284AF5">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8"/>
          <w:szCs w:val="28"/>
          <w:lang w:val="en-US" w:eastAsia="zh-CN" w:bidi="ar-SA"/>
        </w:rPr>
      </w:pPr>
      <w:r>
        <w:rPr>
          <w:rFonts w:hint="default" w:ascii="Times New Roman" w:hAnsi="Times New Roman" w:eastAsia="宋体" w:cs="Times New Roman"/>
          <w:color w:val="auto"/>
          <w:sz w:val="24"/>
          <w:szCs w:val="24"/>
          <w:lang w:val="en-US" w:eastAsia="zh-CN" w:bidi="ar-SA"/>
        </w:rPr>
        <w:t>探矿遗留钻机平台5处，分布于采区北部，其中ZJPT1~ZJPT3分布于矿区范围之外，场地长8.7～12.8m，宽3.8～5.9m，损毁总面积165m</w:t>
      </w:r>
      <w:r>
        <w:rPr>
          <w:rFonts w:hint="default" w:ascii="Times New Roman" w:hAnsi="Times New Roman" w:eastAsia="宋体" w:cs="Times New Roman"/>
          <w:color w:val="auto"/>
          <w:sz w:val="24"/>
          <w:szCs w:val="24"/>
          <w:vertAlign w:val="superscript"/>
          <w:lang w:val="en-US" w:eastAsia="zh-CN" w:bidi="ar-SA"/>
        </w:rPr>
        <w:t>2</w:t>
      </w:r>
      <w:r>
        <w:rPr>
          <w:rFonts w:hint="default" w:ascii="Times New Roman" w:hAnsi="Times New Roman" w:eastAsia="宋体" w:cs="Times New Roman"/>
          <w:color w:val="auto"/>
          <w:sz w:val="24"/>
          <w:szCs w:val="24"/>
          <w:lang w:val="en-US" w:eastAsia="zh-CN" w:bidi="ar-SA"/>
        </w:rPr>
        <w:t>。开挖平台产生的废石堆至平台一侧，钻孔均已封孔。场地的建设</w:t>
      </w:r>
      <w:r>
        <w:rPr>
          <w:rFonts w:hint="default" w:ascii="Times New Roman" w:hAnsi="Times New Roman" w:eastAsia="宋体" w:cs="Times New Roman"/>
          <w:bCs/>
          <w:color w:val="auto"/>
          <w:sz w:val="24"/>
          <w:szCs w:val="24"/>
          <w:lang w:val="en-US" w:eastAsia="zh-CN" w:bidi="ar-SA"/>
        </w:rPr>
        <w:t>破坏了原生的地形地貌景观和植被，影响了矿区的地形地貌景观</w:t>
      </w:r>
      <w:r>
        <w:rPr>
          <w:rFonts w:hint="default" w:ascii="Times New Roman" w:hAnsi="Times New Roman" w:eastAsia="宋体" w:cs="Times New Roman"/>
          <w:color w:val="auto"/>
          <w:sz w:val="24"/>
          <w:szCs w:val="24"/>
          <w:lang w:val="en-US" w:eastAsia="zh-CN" w:bidi="ar-SA"/>
        </w:rPr>
        <w:t>。</w:t>
      </w:r>
      <w:r>
        <w:rPr>
          <w:rFonts w:hint="default" w:ascii="Times New Roman" w:hAnsi="Times New Roman" w:eastAsia="宋体" w:cs="Times New Roman"/>
          <w:color w:val="auto"/>
          <w:kern w:val="2"/>
          <w:sz w:val="24"/>
          <w:szCs w:val="24"/>
          <w:lang w:val="en-US" w:eastAsia="zh-CN" w:bidi="ar"/>
        </w:rPr>
        <w:t>见照片4-</w:t>
      </w:r>
      <w:r>
        <w:rPr>
          <w:rFonts w:hint="eastAsia" w:ascii="Times New Roman" w:hAnsi="Times New Roman" w:eastAsia="宋体" w:cs="Times New Roman"/>
          <w:color w:val="auto"/>
          <w:kern w:val="2"/>
          <w:sz w:val="24"/>
          <w:szCs w:val="24"/>
          <w:lang w:val="en-US" w:eastAsia="zh-CN" w:bidi="ar"/>
        </w:rPr>
        <w:t>7</w:t>
      </w:r>
      <w:r>
        <w:rPr>
          <w:rFonts w:hint="default" w:ascii="Times New Roman" w:hAnsi="Times New Roman" w:eastAsia="宋体" w:cs="Times New Roman"/>
          <w:color w:val="auto"/>
          <w:kern w:val="2"/>
          <w:sz w:val="24"/>
          <w:szCs w:val="24"/>
          <w:lang w:val="en-US" w:eastAsia="zh-CN" w:bidi="ar"/>
        </w:rPr>
        <w:t>。</w:t>
      </w:r>
    </w:p>
    <w:p w14:paraId="27398A41">
      <w:pPr>
        <w:widowControl w:val="0"/>
        <w:autoSpaceDE w:val="0"/>
        <w:autoSpaceDN w:val="0"/>
        <w:adjustRightInd w:val="0"/>
        <w:ind w:left="0" w:leftChars="0"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                </w:t>
      </w:r>
    </w:p>
    <w:p w14:paraId="7836E346">
      <w:pPr>
        <w:widowControl w:val="0"/>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lang w:val="en-US" w:eastAsia="zh-CN" w:bidi="ar-SA"/>
        </w:rPr>
      </w:pPr>
      <w:r>
        <w:rPr>
          <w:rFonts w:hint="default" w:ascii="Times New Roman" w:hAnsi="Times New Roman" w:eastAsia="宋体" w:cs="Times New Roman"/>
          <w:b/>
          <w:bCs/>
          <w:color w:val="auto"/>
          <w:sz w:val="21"/>
          <w:szCs w:val="21"/>
          <w:lang w:val="en-US" w:eastAsia="zh-CN" w:bidi="ar-SA"/>
        </w:rPr>
        <w:t>照片</w:t>
      </w:r>
      <w:r>
        <w:rPr>
          <w:rFonts w:hint="default" w:ascii="Times New Roman" w:hAnsi="Times New Roman" w:eastAsia="宋体" w:cs="Times New Roman"/>
          <w:b/>
          <w:bCs/>
          <w:color w:val="auto"/>
          <w:kern w:val="2"/>
          <w:sz w:val="21"/>
          <w:szCs w:val="21"/>
          <w:lang w:val="en-US" w:eastAsia="zh-CN" w:bidi="ar-SA"/>
        </w:rPr>
        <w:t>4-</w:t>
      </w:r>
      <w:r>
        <w:rPr>
          <w:rFonts w:hint="eastAsia" w:ascii="Times New Roman" w:hAnsi="Times New Roman" w:eastAsia="宋体" w:cs="Times New Roman"/>
          <w:b/>
          <w:bCs/>
          <w:color w:val="auto"/>
          <w:sz w:val="21"/>
          <w:szCs w:val="21"/>
          <w:lang w:val="en-US" w:eastAsia="zh-CN" w:bidi="ar-SA"/>
        </w:rPr>
        <w:t>9</w:t>
      </w:r>
      <w:r>
        <w:rPr>
          <w:rFonts w:hint="default" w:ascii="Times New Roman" w:hAnsi="Times New Roman" w:eastAsia="宋体" w:cs="Times New Roman"/>
          <w:b/>
          <w:bCs/>
          <w:color w:val="auto"/>
          <w:sz w:val="21"/>
          <w:szCs w:val="21"/>
          <w:lang w:val="en-US" w:eastAsia="zh-CN" w:bidi="ar-SA"/>
        </w:rPr>
        <w:t xml:space="preserve">  ZJPT1                   照片</w:t>
      </w:r>
      <w:r>
        <w:rPr>
          <w:rFonts w:hint="default" w:ascii="Times New Roman" w:hAnsi="Times New Roman" w:eastAsia="宋体" w:cs="Times New Roman"/>
          <w:b/>
          <w:bCs/>
          <w:color w:val="auto"/>
          <w:kern w:val="2"/>
          <w:sz w:val="21"/>
          <w:szCs w:val="21"/>
          <w:lang w:val="en-US" w:eastAsia="zh-CN" w:bidi="ar-SA"/>
        </w:rPr>
        <w:t>4-</w:t>
      </w:r>
      <w:r>
        <w:rPr>
          <w:rFonts w:hint="eastAsia" w:ascii="Times New Roman" w:hAnsi="Times New Roman" w:eastAsia="宋体" w:cs="Times New Roman"/>
          <w:b/>
          <w:bCs/>
          <w:color w:val="auto"/>
          <w:sz w:val="21"/>
          <w:szCs w:val="21"/>
          <w:lang w:val="en-US" w:eastAsia="zh-CN" w:bidi="ar-SA"/>
        </w:rPr>
        <w:t>10</w:t>
      </w:r>
      <w:r>
        <w:rPr>
          <w:rFonts w:hint="default" w:ascii="Times New Roman" w:hAnsi="Times New Roman" w:eastAsia="宋体" w:cs="Times New Roman"/>
          <w:b/>
          <w:bCs/>
          <w:color w:val="auto"/>
          <w:sz w:val="21"/>
          <w:szCs w:val="21"/>
          <w:lang w:val="en-US" w:eastAsia="zh-CN" w:bidi="ar-SA"/>
        </w:rPr>
        <w:t xml:space="preserve"> </w:t>
      </w:r>
      <w:r>
        <w:rPr>
          <w:rFonts w:hint="eastAsia" w:ascii="Times New Roman" w:hAnsi="Times New Roman" w:eastAsia="宋体" w:cs="Times New Roman"/>
          <w:b/>
          <w:bCs/>
          <w:color w:val="auto"/>
          <w:sz w:val="21"/>
          <w:szCs w:val="21"/>
          <w:lang w:val="en-US" w:eastAsia="zh-CN" w:bidi="ar-SA"/>
        </w:rPr>
        <w:t xml:space="preserve"> </w:t>
      </w:r>
      <w:r>
        <w:rPr>
          <w:rFonts w:hint="default" w:ascii="Times New Roman" w:hAnsi="Times New Roman" w:eastAsia="宋体" w:cs="Times New Roman"/>
          <w:b/>
          <w:bCs/>
          <w:color w:val="auto"/>
          <w:sz w:val="21"/>
          <w:szCs w:val="21"/>
          <w:lang w:val="en-US" w:eastAsia="zh-CN" w:bidi="ar-SA"/>
        </w:rPr>
        <w:t xml:space="preserve"> ZJPT2</w:t>
      </w:r>
    </w:p>
    <w:p w14:paraId="3DDF82D3">
      <w:pPr>
        <w:widowControl w:val="0"/>
        <w:autoSpaceDE w:val="0"/>
        <w:autoSpaceDN w:val="0"/>
        <w:adjustRightInd w:val="0"/>
        <w:ind w:left="0" w:leftChars="0"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                </w:t>
      </w:r>
    </w:p>
    <w:p w14:paraId="663F4411">
      <w:pPr>
        <w:widowControl w:val="0"/>
        <w:tabs>
          <w:tab w:val="left" w:pos="6120"/>
        </w:tabs>
        <w:spacing w:line="360" w:lineRule="auto"/>
        <w:ind w:firstLine="0" w:firstLineChars="0"/>
        <w:jc w:val="center"/>
        <w:rPr>
          <w:rFonts w:hint="eastAsia" w:ascii="宋体" w:hAnsi="宋体" w:eastAsia="宋体" w:cs="宋体"/>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照片4-</w:t>
      </w:r>
      <w:r>
        <w:rPr>
          <w:rFonts w:hint="eastAsia" w:ascii="Times New Roman" w:hAnsi="Times New Roman" w:eastAsia="宋体" w:cs="Times New Roman"/>
          <w:b/>
          <w:bCs/>
          <w:color w:val="auto"/>
          <w:kern w:val="2"/>
          <w:sz w:val="21"/>
          <w:szCs w:val="21"/>
          <w:lang w:val="en-US" w:eastAsia="zh-CN" w:bidi="ar-SA"/>
        </w:rPr>
        <w:t xml:space="preserve">11  </w:t>
      </w:r>
      <w:r>
        <w:rPr>
          <w:rFonts w:hint="default" w:ascii="Times New Roman" w:hAnsi="Times New Roman" w:eastAsia="宋体" w:cs="Times New Roman"/>
          <w:b/>
          <w:bCs/>
          <w:color w:val="auto"/>
          <w:kern w:val="2"/>
          <w:sz w:val="21"/>
          <w:szCs w:val="21"/>
          <w:lang w:val="en-US" w:eastAsia="zh-CN" w:bidi="ar-SA"/>
        </w:rPr>
        <w:t xml:space="preserve"> ZJPT3                   照片4-</w:t>
      </w:r>
      <w:r>
        <w:rPr>
          <w:rFonts w:hint="eastAsia" w:ascii="Times New Roman" w:hAnsi="Times New Roman" w:eastAsia="宋体" w:cs="Times New Roman"/>
          <w:b/>
          <w:bCs/>
          <w:color w:val="auto"/>
          <w:kern w:val="2"/>
          <w:sz w:val="21"/>
          <w:szCs w:val="21"/>
          <w:lang w:val="en-US" w:eastAsia="zh-CN" w:bidi="ar-SA"/>
        </w:rPr>
        <w:t xml:space="preserve">12 </w:t>
      </w:r>
      <w:r>
        <w:rPr>
          <w:rFonts w:hint="default" w:ascii="Times New Roman" w:hAnsi="Times New Roman" w:eastAsia="宋体" w:cs="Times New Roman"/>
          <w:b/>
          <w:bCs/>
          <w:color w:val="auto"/>
          <w:kern w:val="2"/>
          <w:sz w:val="21"/>
          <w:szCs w:val="21"/>
          <w:lang w:val="en-US" w:eastAsia="zh-CN" w:bidi="ar-SA"/>
        </w:rPr>
        <w:t xml:space="preserve">  ZJPT4</w:t>
      </w:r>
    </w:p>
    <w:p w14:paraId="05DCBC08">
      <w:pPr>
        <w:widowControl w:val="0"/>
        <w:tabs>
          <w:tab w:val="left" w:pos="6120"/>
        </w:tabs>
        <w:spacing w:line="240" w:lineRule="auto"/>
        <w:ind w:firstLine="0" w:firstLineChars="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 xml:space="preserve">       </w:t>
      </w:r>
    </w:p>
    <w:p w14:paraId="3D88DE5B">
      <w:pPr>
        <w:widowControl w:val="0"/>
        <w:tabs>
          <w:tab w:val="left" w:pos="6120"/>
        </w:tabs>
        <w:spacing w:line="360" w:lineRule="auto"/>
        <w:ind w:firstLine="0" w:firstLineChars="0"/>
        <w:jc w:val="center"/>
        <w:rPr>
          <w:rFonts w:hint="eastAsia" w:ascii="宋体" w:hAnsi="宋体" w:eastAsia="宋体" w:cs="宋体"/>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照片4-</w:t>
      </w:r>
      <w:r>
        <w:rPr>
          <w:rFonts w:hint="eastAsia" w:ascii="Times New Roman" w:hAnsi="Times New Roman" w:eastAsia="宋体" w:cs="Times New Roman"/>
          <w:b/>
          <w:bCs/>
          <w:color w:val="auto"/>
          <w:kern w:val="2"/>
          <w:sz w:val="21"/>
          <w:szCs w:val="21"/>
          <w:lang w:val="en-US" w:eastAsia="zh-CN" w:bidi="ar-SA"/>
        </w:rPr>
        <w:t>13</w:t>
      </w:r>
      <w:r>
        <w:rPr>
          <w:rFonts w:hint="default" w:ascii="Times New Roman" w:hAnsi="Times New Roman" w:eastAsia="宋体" w:cs="Times New Roman"/>
          <w:b/>
          <w:bCs/>
          <w:color w:val="auto"/>
          <w:kern w:val="2"/>
          <w:sz w:val="21"/>
          <w:szCs w:val="21"/>
          <w:lang w:val="en-US" w:eastAsia="zh-CN" w:bidi="ar-SA"/>
        </w:rPr>
        <w:t xml:space="preserve">   ZJPT5</w:t>
      </w:r>
    </w:p>
    <w:p w14:paraId="21D0172D">
      <w:pPr>
        <w:tabs>
          <w:tab w:val="left" w:pos="2189"/>
          <w:tab w:val="left" w:pos="2419"/>
        </w:tabs>
        <w:wordWrap/>
        <w:spacing w:line="360" w:lineRule="auto"/>
        <w:ind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探槽（TC1～TC4）</w:t>
      </w:r>
    </w:p>
    <w:p w14:paraId="51ED43D8">
      <w:pPr>
        <w:tabs>
          <w:tab w:val="left" w:pos="2189"/>
          <w:tab w:val="left" w:pos="2419"/>
        </w:tabs>
        <w:wordWrap/>
        <w:spacing w:line="360" w:lineRule="auto"/>
        <w:ind w:firstLine="600" w:firstLineChars="250"/>
        <w:jc w:val="both"/>
        <w:rPr>
          <w:rFonts w:hint="eastAsia" w:ascii="宋体" w:hAnsi="宋体" w:eastAsia="宋体" w:cs="宋体"/>
          <w:color w:val="auto"/>
          <w:sz w:val="24"/>
          <w:szCs w:val="24"/>
        </w:rPr>
      </w:pPr>
      <w:r>
        <w:rPr>
          <w:rFonts w:hint="eastAsia" w:ascii="宋体" w:hAnsi="宋体" w:eastAsia="宋体" w:cs="宋体"/>
          <w:color w:val="auto"/>
          <w:sz w:val="24"/>
          <w:szCs w:val="24"/>
        </w:rPr>
        <w:t>探矿遗留探槽4条，其中TC1～TC4分布于</w:t>
      </w:r>
      <w:r>
        <w:rPr>
          <w:rFonts w:hint="eastAsia" w:ascii="宋体" w:hAnsi="宋体" w:eastAsia="宋体" w:cs="宋体"/>
          <w:color w:val="auto"/>
          <w:sz w:val="24"/>
          <w:szCs w:val="24"/>
          <w:lang w:eastAsia="zh-CN"/>
        </w:rPr>
        <w:t>采</w:t>
      </w:r>
      <w:r>
        <w:rPr>
          <w:rFonts w:hint="eastAsia" w:ascii="宋体" w:hAnsi="宋体" w:eastAsia="宋体" w:cs="宋体"/>
          <w:color w:val="auto"/>
          <w:sz w:val="24"/>
          <w:szCs w:val="24"/>
        </w:rPr>
        <w:t>区北部，部分位于矿区范围之外；探槽较规整，长44～95m，宽2.2～2.5m，深0.3～0.6m，挖出碎石土直接排放于探槽周边，堆高均小于0.5m，探槽凹坑及废石压占损毁总面积约812m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。开挖探槽地表形成凹坑，产出废石土形成堆积地貌，</w:t>
      </w:r>
      <w:r>
        <w:rPr>
          <w:rFonts w:hint="eastAsia" w:ascii="宋体" w:hAnsi="宋体" w:eastAsia="宋体" w:cs="宋体"/>
          <w:bCs/>
          <w:color w:val="auto"/>
          <w:sz w:val="24"/>
          <w:szCs w:val="24"/>
        </w:rPr>
        <w:t>破坏了原生的地形地貌景观和植被，</w:t>
      </w:r>
      <w:r>
        <w:rPr>
          <w:rFonts w:hint="eastAsia" w:ascii="宋体" w:hAnsi="宋体" w:eastAsia="宋体" w:cs="宋体"/>
          <w:bCs/>
          <w:color w:val="auto"/>
          <w:sz w:val="24"/>
          <w:szCs w:val="24"/>
          <w:lang w:eastAsia="zh-CN"/>
        </w:rPr>
        <w:t>影响了矿区的</w:t>
      </w:r>
      <w:r>
        <w:rPr>
          <w:rFonts w:hint="eastAsia" w:ascii="宋体" w:hAnsi="宋体" w:eastAsia="宋体" w:cs="宋体"/>
          <w:bCs/>
          <w:color w:val="auto"/>
          <w:sz w:val="24"/>
          <w:szCs w:val="24"/>
        </w:rPr>
        <w:t>地形地貌景观</w:t>
      </w:r>
      <w:r>
        <w:rPr>
          <w:rFonts w:hint="eastAsia" w:ascii="宋体" w:hAnsi="宋体" w:eastAsia="宋体" w:cs="宋体"/>
          <w:color w:val="auto"/>
          <w:sz w:val="24"/>
          <w:szCs w:val="24"/>
        </w:rPr>
        <w:t>。</w:t>
      </w:r>
    </w:p>
    <w:p w14:paraId="18E852E9">
      <w:pPr>
        <w:widowControl w:val="0"/>
        <w:autoSpaceDE w:val="0"/>
        <w:autoSpaceDN w:val="0"/>
        <w:adjustRightInd w:val="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                </w:t>
      </w:r>
    </w:p>
    <w:p w14:paraId="6C8D2CCC">
      <w:pPr>
        <w:widowControl w:val="0"/>
        <w:tabs>
          <w:tab w:val="left" w:pos="6120"/>
        </w:tabs>
        <w:spacing w:line="360" w:lineRule="auto"/>
        <w:ind w:firstLine="0" w:firstLineChars="0"/>
        <w:jc w:val="center"/>
        <w:rPr>
          <w:rFonts w:hint="eastAsia" w:ascii="宋体" w:hAnsi="宋体" w:eastAsia="宋体" w:cs="宋体"/>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 xml:space="preserve">照片4-14   TC2               </w:t>
      </w:r>
      <w:r>
        <w:rPr>
          <w:rFonts w:hint="eastAsia" w:ascii="Times New Roman" w:hAnsi="Times New Roman" w:eastAsia="宋体" w:cs="Times New Roman"/>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 xml:space="preserve">      照片4-15   TC3</w:t>
      </w:r>
    </w:p>
    <w:p w14:paraId="5B1A5DD2">
      <w:pPr>
        <w:widowControl w:val="0"/>
        <w:tabs>
          <w:tab w:val="left" w:pos="6120"/>
        </w:tabs>
        <w:spacing w:line="240" w:lineRule="auto"/>
        <w:ind w:firstLine="0" w:firstLineChars="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 xml:space="preserve">       </w:t>
      </w:r>
    </w:p>
    <w:p w14:paraId="6939645D">
      <w:pPr>
        <w:widowControl w:val="0"/>
        <w:tabs>
          <w:tab w:val="left" w:pos="6120"/>
        </w:tabs>
        <w:spacing w:line="360" w:lineRule="auto"/>
        <w:ind w:firstLine="0" w:firstLineChars="0"/>
        <w:jc w:val="center"/>
        <w:rPr>
          <w:rFonts w:hint="eastAsia" w:ascii="宋体" w:hAnsi="宋体" w:eastAsia="宋体" w:cs="宋体"/>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照片4-16   TC4</w:t>
      </w:r>
    </w:p>
    <w:p w14:paraId="4A73D1E7">
      <w:pPr>
        <w:wordWrap/>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矿区道路</w:t>
      </w:r>
    </w:p>
    <w:p w14:paraId="357A20CF">
      <w:pPr>
        <w:wordWrap/>
        <w:spacing w:line="360" w:lineRule="auto"/>
        <w:ind w:firstLine="480" w:firstLineChars="200"/>
        <w:jc w:val="left"/>
        <w:rPr>
          <w:rFonts w:hint="eastAsia" w:ascii="宋体" w:hAnsi="宋体" w:eastAsia="宋体" w:cs="宋体"/>
          <w:color w:val="auto"/>
          <w:sz w:val="28"/>
          <w:szCs w:val="28"/>
        </w:rPr>
      </w:pPr>
      <w:r>
        <w:rPr>
          <w:rFonts w:hint="default" w:ascii="Times New Roman" w:hAnsi="Times New Roman" w:eastAsia="宋体" w:cs="Times New Roman"/>
          <w:color w:val="auto"/>
          <w:sz w:val="24"/>
          <w:szCs w:val="24"/>
        </w:rPr>
        <w:t>现状</w:t>
      </w:r>
      <w:r>
        <w:rPr>
          <w:rFonts w:hint="default" w:ascii="Times New Roman" w:hAnsi="Times New Roman" w:eastAsia="宋体" w:cs="Times New Roman"/>
          <w:color w:val="auto"/>
          <w:sz w:val="24"/>
          <w:szCs w:val="24"/>
          <w:lang w:eastAsia="zh-CN"/>
        </w:rPr>
        <w:t>矿区</w:t>
      </w:r>
      <w:r>
        <w:rPr>
          <w:rFonts w:hint="default" w:ascii="Times New Roman" w:hAnsi="Times New Roman" w:eastAsia="宋体" w:cs="Times New Roman"/>
          <w:color w:val="auto"/>
          <w:sz w:val="24"/>
          <w:szCs w:val="24"/>
        </w:rPr>
        <w:t>开拓道路总长1017m，路面平均宽2m-3m，占地面积为3122m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，部分路段有切坡，切坡道路长约595m，高度0.5m-1m，坡角30°-45°。矿区道路与乡村道路相连通，道路的建设及运输碾压地表，破坏植被，</w:t>
      </w:r>
      <w:r>
        <w:rPr>
          <w:rFonts w:hint="default" w:ascii="Times New Roman" w:hAnsi="Times New Roman" w:eastAsia="宋体" w:cs="Times New Roman"/>
          <w:bCs/>
          <w:color w:val="auto"/>
          <w:sz w:val="24"/>
          <w:szCs w:val="24"/>
          <w:lang w:eastAsia="zh-CN"/>
        </w:rPr>
        <w:t>影响了矿区的</w:t>
      </w:r>
      <w:r>
        <w:rPr>
          <w:rFonts w:hint="default" w:ascii="Times New Roman" w:hAnsi="Times New Roman" w:eastAsia="宋体" w:cs="Times New Roman"/>
          <w:bCs/>
          <w:color w:val="auto"/>
          <w:sz w:val="24"/>
          <w:szCs w:val="24"/>
        </w:rPr>
        <w:t>地形地貌景观</w:t>
      </w:r>
      <w:r>
        <w:rPr>
          <w:rFonts w:hint="default" w:ascii="Times New Roman" w:hAnsi="Times New Roman" w:eastAsia="宋体" w:cs="Times New Roman"/>
          <w:color w:val="auto"/>
          <w:sz w:val="24"/>
          <w:szCs w:val="24"/>
        </w:rPr>
        <w:t>。</w:t>
      </w:r>
    </w:p>
    <w:p w14:paraId="54B3C490">
      <w:pPr>
        <w:widowControl w:val="0"/>
        <w:autoSpaceDE w:val="0"/>
        <w:autoSpaceDN w:val="0"/>
        <w:adjustRightInd w:val="0"/>
        <w:ind w:left="0" w:leftChars="0"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       </w:t>
      </w:r>
    </w:p>
    <w:p w14:paraId="39E29126">
      <w:pPr>
        <w:wordWrap/>
        <w:spacing w:line="360" w:lineRule="auto"/>
        <w:ind w:firstLine="0" w:firstLineChars="0"/>
        <w:jc w:val="center"/>
        <w:rPr>
          <w:rFonts w:hint="eastAsia" w:ascii="宋体" w:hAnsi="宋体" w:eastAsia="宋体" w:cs="宋体"/>
          <w:b/>
          <w:color w:val="auto"/>
          <w:sz w:val="21"/>
          <w:szCs w:val="21"/>
        </w:rPr>
      </w:pPr>
      <w:r>
        <w:rPr>
          <w:rFonts w:hint="default" w:ascii="Times New Roman" w:hAnsi="Times New Roman" w:eastAsia="宋体" w:cs="Times New Roman"/>
          <w:b/>
          <w:color w:val="auto"/>
          <w:sz w:val="21"/>
          <w:szCs w:val="21"/>
        </w:rPr>
        <w:t>照片</w:t>
      </w:r>
      <w:r>
        <w:rPr>
          <w:rFonts w:hint="default" w:ascii="Times New Roman" w:hAnsi="Times New Roman" w:eastAsia="宋体" w:cs="Times New Roman"/>
          <w:b/>
          <w:bCs/>
          <w:color w:val="auto"/>
          <w:kern w:val="2"/>
          <w:sz w:val="21"/>
          <w:szCs w:val="21"/>
          <w:lang w:val="en-US" w:eastAsia="zh-CN" w:bidi="ar-SA"/>
        </w:rPr>
        <w:t>4-</w:t>
      </w:r>
      <w:r>
        <w:rPr>
          <w:rFonts w:hint="eastAsia" w:ascii="Times New Roman" w:hAnsi="Times New Roman" w:eastAsia="宋体" w:cs="Times New Roman"/>
          <w:b/>
          <w:color w:val="auto"/>
          <w:sz w:val="21"/>
          <w:szCs w:val="21"/>
          <w:lang w:val="en-US" w:eastAsia="zh-CN"/>
        </w:rPr>
        <w:t>17</w:t>
      </w:r>
      <w:r>
        <w:rPr>
          <w:rFonts w:hint="default" w:ascii="Times New Roman" w:hAnsi="Times New Roman" w:eastAsia="宋体" w:cs="Times New Roman"/>
          <w:b/>
          <w:color w:val="auto"/>
          <w:sz w:val="21"/>
          <w:szCs w:val="21"/>
        </w:rPr>
        <w:t xml:space="preserve">  矿区道路（切坡路段）</w:t>
      </w:r>
    </w:p>
    <w:p w14:paraId="1CC602DE">
      <w:pPr>
        <w:wordWrap/>
        <w:adjustRightInd w:val="0"/>
        <w:snapToGrid w:val="0"/>
        <w:spacing w:line="360" w:lineRule="auto"/>
        <w:ind w:firstLine="48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4"/>
          <w:szCs w:val="24"/>
          <w:lang w:eastAsia="zh-CN"/>
        </w:rPr>
        <w:t>矿区内的</w:t>
      </w:r>
      <w:r>
        <w:rPr>
          <w:rFonts w:hint="eastAsia" w:ascii="宋体" w:hAnsi="宋体" w:eastAsia="宋体" w:cs="宋体"/>
          <w:b w:val="0"/>
          <w:bCs w:val="0"/>
          <w:color w:val="auto"/>
          <w:sz w:val="24"/>
          <w:szCs w:val="24"/>
        </w:rPr>
        <w:t>其他区域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矿山活动极少，基本保持了原生的地形地貌状态，对地形地貌景观的影响较轻。</w:t>
      </w:r>
    </w:p>
    <w:p w14:paraId="7D4B08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eastAsia="宋体" w:cs="宋体" w:asciiTheme="majorAscii" w:hAnsiTheme="majorAscii"/>
          <w:b/>
          <w:color w:val="auto"/>
          <w:sz w:val="21"/>
          <w:szCs w:val="21"/>
        </w:rPr>
      </w:pPr>
      <w:r>
        <w:rPr>
          <w:rFonts w:hint="default" w:eastAsia="宋体" w:cs="宋体" w:asciiTheme="majorAscii" w:hAnsiTheme="majorAscii"/>
          <w:b/>
          <w:color w:val="auto"/>
          <w:sz w:val="21"/>
          <w:szCs w:val="21"/>
        </w:rPr>
        <w:t>表</w:t>
      </w:r>
      <w:r>
        <w:rPr>
          <w:rFonts w:hint="eastAsia" w:eastAsia="宋体" w:cs="宋体" w:asciiTheme="majorAscii" w:hAnsiTheme="majorAscii"/>
          <w:b/>
          <w:color w:val="auto"/>
          <w:sz w:val="21"/>
          <w:szCs w:val="21"/>
          <w:lang w:val="en-US" w:eastAsia="zh-CN"/>
        </w:rPr>
        <w:t>4-1</w:t>
      </w:r>
      <w:r>
        <w:rPr>
          <w:rFonts w:hint="default" w:eastAsia="宋体" w:cs="宋体" w:asciiTheme="majorAscii" w:hAnsiTheme="majorAscii"/>
          <w:b/>
          <w:color w:val="auto"/>
          <w:sz w:val="21"/>
          <w:szCs w:val="21"/>
        </w:rPr>
        <w:t xml:space="preserve">  地形表地貌景观影响</w:t>
      </w:r>
      <w:r>
        <w:rPr>
          <w:rFonts w:hint="eastAsia" w:eastAsia="宋体" w:cs="宋体" w:asciiTheme="majorAscii" w:hAnsiTheme="majorAscii"/>
          <w:b/>
          <w:color w:val="auto"/>
          <w:sz w:val="21"/>
          <w:szCs w:val="21"/>
          <w:lang w:eastAsia="zh-CN"/>
        </w:rPr>
        <w:t>特征</w:t>
      </w:r>
      <w:r>
        <w:rPr>
          <w:rFonts w:hint="default" w:eastAsia="宋体" w:cs="宋体" w:asciiTheme="majorAscii" w:hAnsiTheme="majorAscii"/>
          <w:b/>
          <w:color w:val="auto"/>
          <w:sz w:val="21"/>
          <w:szCs w:val="21"/>
        </w:rPr>
        <w:t>表</w:t>
      </w:r>
    </w:p>
    <w:tbl>
      <w:tblPr>
        <w:tblStyle w:val="18"/>
        <w:tblW w:w="500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980"/>
        <w:gridCol w:w="1853"/>
        <w:gridCol w:w="869"/>
        <w:gridCol w:w="4820"/>
      </w:tblGrid>
      <w:tr w14:paraId="61BD2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blHeader/>
          <w:jc w:val="center"/>
        </w:trPr>
        <w:tc>
          <w:tcPr>
            <w:tcW w:w="575" w:type="pct"/>
            <w:tcBorders>
              <w:top w:val="single" w:color="auto" w:sz="2" w:space="0"/>
              <w:left w:val="single" w:color="auto" w:sz="2" w:space="0"/>
              <w:bottom w:val="single" w:color="auto" w:sz="2" w:space="0"/>
              <w:right w:val="single" w:color="auto" w:sz="2" w:space="0"/>
            </w:tcBorders>
            <w:vAlign w:val="center"/>
          </w:tcPr>
          <w:p w14:paraId="421DD2F7">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采区</w:t>
            </w:r>
          </w:p>
        </w:tc>
        <w:tc>
          <w:tcPr>
            <w:tcW w:w="1087" w:type="pct"/>
            <w:tcBorders>
              <w:top w:val="single" w:color="auto" w:sz="2" w:space="0"/>
              <w:left w:val="single" w:color="auto" w:sz="2" w:space="0"/>
              <w:bottom w:val="single" w:color="auto" w:sz="2" w:space="0"/>
              <w:right w:val="single" w:color="auto" w:sz="2" w:space="0"/>
            </w:tcBorders>
            <w:vAlign w:val="center"/>
          </w:tcPr>
          <w:p w14:paraId="4035C8E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地质环境分区</w:t>
            </w:r>
          </w:p>
        </w:tc>
        <w:tc>
          <w:tcPr>
            <w:tcW w:w="510" w:type="pct"/>
            <w:tcBorders>
              <w:top w:val="single" w:color="auto" w:sz="2" w:space="0"/>
              <w:left w:val="single" w:color="auto" w:sz="2" w:space="0"/>
              <w:bottom w:val="single" w:color="auto" w:sz="2" w:space="0"/>
              <w:right w:val="single" w:color="auto" w:sz="2" w:space="0"/>
            </w:tcBorders>
            <w:vAlign w:val="center"/>
          </w:tcPr>
          <w:p w14:paraId="0D670E5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2827" w:type="pct"/>
            <w:tcBorders>
              <w:top w:val="single" w:color="auto" w:sz="2" w:space="0"/>
              <w:left w:val="single" w:color="auto" w:sz="2" w:space="0"/>
              <w:bottom w:val="single" w:color="auto" w:sz="2" w:space="0"/>
              <w:right w:val="single" w:color="auto" w:sz="2" w:space="0"/>
            </w:tcBorders>
            <w:vAlign w:val="center"/>
          </w:tcPr>
          <w:p w14:paraId="4EECC99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特 征</w:t>
            </w:r>
          </w:p>
        </w:tc>
      </w:tr>
      <w:tr w14:paraId="56A8C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blHeader/>
          <w:jc w:val="center"/>
        </w:trPr>
        <w:tc>
          <w:tcPr>
            <w:tcW w:w="575" w:type="pct"/>
            <w:tcBorders>
              <w:top w:val="single" w:color="auto" w:sz="2" w:space="0"/>
              <w:left w:val="single" w:color="auto" w:sz="2" w:space="0"/>
              <w:right w:val="single" w:color="auto" w:sz="2" w:space="0"/>
            </w:tcBorders>
            <w:vAlign w:val="center"/>
          </w:tcPr>
          <w:p w14:paraId="6F84AD2A">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下歪脖子井采区</w:t>
            </w:r>
          </w:p>
        </w:tc>
        <w:tc>
          <w:tcPr>
            <w:tcW w:w="1087" w:type="pct"/>
            <w:tcBorders>
              <w:top w:val="single" w:color="auto" w:sz="2" w:space="0"/>
              <w:left w:val="single" w:color="auto" w:sz="2" w:space="0"/>
              <w:bottom w:val="single" w:color="auto" w:sz="2" w:space="0"/>
              <w:right w:val="single" w:color="auto" w:sz="2" w:space="0"/>
            </w:tcBorders>
            <w:vAlign w:val="center"/>
          </w:tcPr>
          <w:p w14:paraId="063892BA">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矿区道路</w:t>
            </w:r>
          </w:p>
        </w:tc>
        <w:tc>
          <w:tcPr>
            <w:tcW w:w="510" w:type="pct"/>
            <w:tcBorders>
              <w:top w:val="single" w:color="auto" w:sz="2" w:space="0"/>
              <w:left w:val="single" w:color="auto" w:sz="2" w:space="0"/>
              <w:bottom w:val="single" w:color="auto" w:sz="2" w:space="0"/>
              <w:right w:val="single" w:color="auto" w:sz="2" w:space="0"/>
            </w:tcBorders>
            <w:vAlign w:val="center"/>
          </w:tcPr>
          <w:p w14:paraId="4AD6A093">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3286</w:t>
            </w:r>
          </w:p>
        </w:tc>
        <w:tc>
          <w:tcPr>
            <w:tcW w:w="2827" w:type="pct"/>
            <w:tcBorders>
              <w:top w:val="single" w:color="auto" w:sz="2" w:space="0"/>
              <w:left w:val="single" w:color="auto" w:sz="2" w:space="0"/>
              <w:bottom w:val="single" w:color="auto" w:sz="2" w:space="0"/>
              <w:right w:val="single" w:color="auto" w:sz="2" w:space="0"/>
            </w:tcBorders>
            <w:vAlign w:val="center"/>
          </w:tcPr>
          <w:p w14:paraId="3B9BBFE0">
            <w:pPr>
              <w:widowControl/>
              <w:wordWrap/>
              <w:spacing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道路总长1180m，路面平均宽2m-3m，切坡道路长约650m，高度0.5m-1m，坡角30°-45°。</w:t>
            </w:r>
          </w:p>
        </w:tc>
      </w:tr>
      <w:tr w14:paraId="013F7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blHeader/>
          <w:jc w:val="center"/>
        </w:trPr>
        <w:tc>
          <w:tcPr>
            <w:tcW w:w="575" w:type="pct"/>
            <w:vMerge w:val="restart"/>
            <w:tcBorders>
              <w:top w:val="single" w:color="auto" w:sz="2" w:space="0"/>
              <w:left w:val="single" w:color="auto" w:sz="2" w:space="0"/>
              <w:right w:val="single" w:color="auto" w:sz="2" w:space="0"/>
            </w:tcBorders>
            <w:vAlign w:val="center"/>
          </w:tcPr>
          <w:p w14:paraId="6E91056D">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羊草沟采区</w:t>
            </w:r>
          </w:p>
        </w:tc>
        <w:tc>
          <w:tcPr>
            <w:tcW w:w="1087" w:type="pct"/>
            <w:tcBorders>
              <w:top w:val="single" w:color="auto" w:sz="2" w:space="0"/>
              <w:left w:val="single" w:color="auto" w:sz="2" w:space="0"/>
              <w:bottom w:val="single" w:color="auto" w:sz="4" w:space="0"/>
              <w:right w:val="single" w:color="auto" w:sz="2" w:space="0"/>
            </w:tcBorders>
            <w:vAlign w:val="center"/>
          </w:tcPr>
          <w:p w14:paraId="3A5BB8D8">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钻机平台（ZJPT1~ZJPT5）</w:t>
            </w:r>
          </w:p>
        </w:tc>
        <w:tc>
          <w:tcPr>
            <w:tcW w:w="510" w:type="pct"/>
            <w:tcBorders>
              <w:top w:val="single" w:color="auto" w:sz="2" w:space="0"/>
              <w:left w:val="single" w:color="auto" w:sz="2" w:space="0"/>
              <w:bottom w:val="single" w:color="auto" w:sz="4" w:space="0"/>
              <w:right w:val="single" w:color="auto" w:sz="2" w:space="0"/>
            </w:tcBorders>
            <w:vAlign w:val="center"/>
          </w:tcPr>
          <w:p w14:paraId="6FDF072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165</w:t>
            </w:r>
          </w:p>
        </w:tc>
        <w:tc>
          <w:tcPr>
            <w:tcW w:w="2827" w:type="pct"/>
            <w:tcBorders>
              <w:top w:val="single" w:color="auto" w:sz="2" w:space="0"/>
              <w:left w:val="single" w:color="auto" w:sz="2" w:space="0"/>
              <w:bottom w:val="single" w:color="auto" w:sz="4" w:space="0"/>
              <w:right w:val="single" w:color="auto" w:sz="2" w:space="0"/>
            </w:tcBorders>
            <w:vAlign w:val="center"/>
          </w:tcPr>
          <w:p w14:paraId="5A89FF85">
            <w:pPr>
              <w:widowControl/>
              <w:wordWrap/>
              <w:spacing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场地长8.7～12.8m，宽3.8～5.9m。</w:t>
            </w:r>
          </w:p>
        </w:tc>
      </w:tr>
      <w:tr w14:paraId="37AA3C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blHeader/>
          <w:jc w:val="center"/>
        </w:trPr>
        <w:tc>
          <w:tcPr>
            <w:tcW w:w="575" w:type="pct"/>
            <w:vMerge w:val="continue"/>
            <w:tcBorders>
              <w:left w:val="single" w:color="auto" w:sz="2" w:space="0"/>
              <w:right w:val="single" w:color="auto" w:sz="2" w:space="0"/>
            </w:tcBorders>
            <w:vAlign w:val="center"/>
          </w:tcPr>
          <w:p w14:paraId="5B4BC18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087" w:type="pct"/>
            <w:tcBorders>
              <w:top w:val="single" w:color="auto" w:sz="4" w:space="0"/>
              <w:left w:val="single" w:color="auto" w:sz="2" w:space="0"/>
              <w:bottom w:val="single" w:color="auto" w:sz="4" w:space="0"/>
              <w:right w:val="single" w:color="auto" w:sz="2" w:space="0"/>
            </w:tcBorders>
            <w:vAlign w:val="center"/>
          </w:tcPr>
          <w:p w14:paraId="5A801016">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探槽（TC1～TC4）</w:t>
            </w:r>
          </w:p>
        </w:tc>
        <w:tc>
          <w:tcPr>
            <w:tcW w:w="510" w:type="pct"/>
            <w:tcBorders>
              <w:top w:val="single" w:color="auto" w:sz="4" w:space="0"/>
              <w:left w:val="single" w:color="auto" w:sz="2" w:space="0"/>
              <w:bottom w:val="single" w:color="auto" w:sz="4" w:space="0"/>
              <w:right w:val="single" w:color="auto" w:sz="2" w:space="0"/>
            </w:tcBorders>
            <w:vAlign w:val="center"/>
          </w:tcPr>
          <w:p w14:paraId="440BF98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812</w:t>
            </w:r>
          </w:p>
        </w:tc>
        <w:tc>
          <w:tcPr>
            <w:tcW w:w="2827" w:type="pct"/>
            <w:tcBorders>
              <w:top w:val="single" w:color="auto" w:sz="4" w:space="0"/>
              <w:left w:val="single" w:color="auto" w:sz="2" w:space="0"/>
              <w:bottom w:val="single" w:color="auto" w:sz="4" w:space="0"/>
              <w:right w:val="single" w:color="auto" w:sz="2" w:space="0"/>
            </w:tcBorders>
            <w:vAlign w:val="center"/>
          </w:tcPr>
          <w:p w14:paraId="4C2671FC">
            <w:pPr>
              <w:widowControl/>
              <w:wordWrap/>
              <w:spacing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长44～95m，宽2.2～2.5m，深0.3～0.6m，挖出碎石土直接排放于探槽周边，堆高均小于0.5m。</w:t>
            </w:r>
          </w:p>
        </w:tc>
      </w:tr>
      <w:tr w14:paraId="3584C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blHeader/>
          <w:jc w:val="center"/>
        </w:trPr>
        <w:tc>
          <w:tcPr>
            <w:tcW w:w="575" w:type="pct"/>
            <w:vMerge w:val="continue"/>
            <w:tcBorders>
              <w:left w:val="single" w:color="auto" w:sz="2" w:space="0"/>
              <w:bottom w:val="single" w:color="auto" w:sz="4" w:space="0"/>
              <w:right w:val="single" w:color="auto" w:sz="2" w:space="0"/>
            </w:tcBorders>
            <w:vAlign w:val="center"/>
          </w:tcPr>
          <w:p w14:paraId="5520A10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087" w:type="pct"/>
            <w:tcBorders>
              <w:top w:val="single" w:color="auto" w:sz="4" w:space="0"/>
              <w:left w:val="single" w:color="auto" w:sz="2" w:space="0"/>
              <w:bottom w:val="single" w:color="auto" w:sz="4" w:space="0"/>
              <w:right w:val="single" w:color="auto" w:sz="2" w:space="0"/>
            </w:tcBorders>
            <w:vAlign w:val="center"/>
          </w:tcPr>
          <w:p w14:paraId="08BAC4F6">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矿区道路</w:t>
            </w:r>
          </w:p>
        </w:tc>
        <w:tc>
          <w:tcPr>
            <w:tcW w:w="510" w:type="pct"/>
            <w:tcBorders>
              <w:top w:val="single" w:color="auto" w:sz="4" w:space="0"/>
              <w:left w:val="single" w:color="auto" w:sz="2" w:space="0"/>
              <w:bottom w:val="single" w:color="auto" w:sz="4" w:space="0"/>
              <w:right w:val="single" w:color="auto" w:sz="2" w:space="0"/>
            </w:tcBorders>
            <w:vAlign w:val="center"/>
          </w:tcPr>
          <w:p w14:paraId="153CEB08">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3122</w:t>
            </w:r>
          </w:p>
        </w:tc>
        <w:tc>
          <w:tcPr>
            <w:tcW w:w="2827" w:type="pct"/>
            <w:tcBorders>
              <w:top w:val="single" w:color="auto" w:sz="4" w:space="0"/>
              <w:left w:val="single" w:color="auto" w:sz="2" w:space="0"/>
              <w:bottom w:val="single" w:color="auto" w:sz="4" w:space="0"/>
              <w:right w:val="single" w:color="auto" w:sz="2" w:space="0"/>
            </w:tcBorders>
            <w:vAlign w:val="center"/>
          </w:tcPr>
          <w:p w14:paraId="30D9BBBA">
            <w:pPr>
              <w:widowControl/>
              <w:wordWrap/>
              <w:spacing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道路总长1017m，路面平均宽2m-3m，切坡道路长约595m，高度0.5m-1m，坡角30°-45°。</w:t>
            </w:r>
          </w:p>
        </w:tc>
      </w:tr>
      <w:tr w14:paraId="22559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blHeader/>
          <w:jc w:val="center"/>
        </w:trPr>
        <w:tc>
          <w:tcPr>
            <w:tcW w:w="575" w:type="pct"/>
            <w:tcBorders>
              <w:top w:val="single" w:color="auto" w:sz="2" w:space="0"/>
              <w:left w:val="single" w:color="auto" w:sz="2" w:space="0"/>
              <w:bottom w:val="single" w:color="auto" w:sz="4" w:space="0"/>
              <w:right w:val="single" w:color="auto" w:sz="2" w:space="0"/>
            </w:tcBorders>
            <w:vAlign w:val="center"/>
          </w:tcPr>
          <w:p w14:paraId="755778BA">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087" w:type="pct"/>
            <w:tcBorders>
              <w:top w:val="single" w:color="auto" w:sz="2" w:space="0"/>
              <w:left w:val="single" w:color="auto" w:sz="2" w:space="0"/>
              <w:bottom w:val="single" w:color="auto" w:sz="4" w:space="0"/>
              <w:right w:val="single" w:color="auto" w:sz="2" w:space="0"/>
            </w:tcBorders>
            <w:vAlign w:val="center"/>
          </w:tcPr>
          <w:p w14:paraId="086AC267">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合计</w:t>
            </w:r>
          </w:p>
        </w:tc>
        <w:tc>
          <w:tcPr>
            <w:tcW w:w="510" w:type="pct"/>
            <w:tcBorders>
              <w:top w:val="single" w:color="auto" w:sz="2" w:space="0"/>
              <w:left w:val="single" w:color="auto" w:sz="2" w:space="0"/>
              <w:bottom w:val="single" w:color="auto" w:sz="4" w:space="0"/>
              <w:right w:val="single" w:color="auto" w:sz="2" w:space="0"/>
            </w:tcBorders>
            <w:vAlign w:val="center"/>
          </w:tcPr>
          <w:p w14:paraId="1881FEBC">
            <w:pPr>
              <w:widowControl/>
              <w:wordWrap/>
              <w:spacing w:line="240" w:lineRule="auto"/>
              <w:ind w:firstLine="0" w:firstLineChars="0"/>
              <w:jc w:val="center"/>
              <w:rPr>
                <w:rFonts w:hint="default" w:ascii="Times New Roman" w:hAnsi="Times New Roman" w:eastAsia="宋体" w:cs="Times New Roman"/>
                <w:color w:val="auto"/>
                <w:kern w:val="0"/>
                <w:sz w:val="21"/>
                <w:szCs w:val="21"/>
                <w:lang w:val="en-US"/>
              </w:rPr>
            </w:pPr>
            <w:r>
              <w:rPr>
                <w:rFonts w:hint="default" w:ascii="Times New Roman" w:hAnsi="Times New Roman" w:eastAsia="宋体" w:cs="Times New Roman"/>
                <w:color w:val="auto"/>
                <w:kern w:val="0"/>
                <w:sz w:val="21"/>
                <w:szCs w:val="21"/>
                <w:lang w:val="en-US" w:eastAsia="zh-CN"/>
              </w:rPr>
              <w:t>7385</w:t>
            </w:r>
          </w:p>
        </w:tc>
        <w:tc>
          <w:tcPr>
            <w:tcW w:w="2827" w:type="pct"/>
            <w:tcBorders>
              <w:top w:val="single" w:color="auto" w:sz="2" w:space="0"/>
              <w:left w:val="single" w:color="auto" w:sz="2" w:space="0"/>
              <w:bottom w:val="single" w:color="auto" w:sz="4" w:space="0"/>
              <w:right w:val="single" w:color="auto" w:sz="2" w:space="0"/>
            </w:tcBorders>
            <w:vAlign w:val="center"/>
          </w:tcPr>
          <w:p w14:paraId="52C26BD8">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bl>
    <w:p w14:paraId="336FACB5">
      <w:pPr>
        <w:ind w:firstLine="562"/>
        <w:rPr>
          <w:rFonts w:hint="eastAsia" w:eastAsia="宋体" w:cs="宋体" w:asciiTheme="majorAscii" w:hAnsiTheme="majorAscii"/>
          <w:b/>
          <w:bCs/>
          <w:color w:val="auto"/>
          <w:lang w:val="en-US" w:eastAsia="zh-CN"/>
        </w:rPr>
      </w:pPr>
      <w:r>
        <w:rPr>
          <w:rFonts w:hint="default" w:ascii="Times New Roman" w:hAnsi="Times New Roman" w:eastAsia="宋体" w:cs="Times New Roman"/>
          <w:color w:val="auto"/>
          <w:kern w:val="2"/>
          <w:sz w:val="24"/>
          <w:szCs w:val="24"/>
          <w:lang w:val="en-US" w:eastAsia="zh-CN" w:bidi="ar"/>
        </w:rPr>
        <w:t>综上所述：现状对矿区地形地貌景观影响程度较严重的单元仅为民采坑、钻机平台和矿区道路已完成治理，对地形地貌景观影响程度为较轻；矿区其它区域基本属于原始状态，矿业活动对地形地貌景观影响程度为较轻。</w:t>
      </w:r>
    </w:p>
    <w:p w14:paraId="558EF44A">
      <w:pPr>
        <w:keepNext w:val="0"/>
        <w:keepLines w:val="0"/>
        <w:pageBreakBefore w:val="0"/>
        <w:widowControl w:val="0"/>
        <w:kinsoku/>
        <w:overflowPunct/>
        <w:topLinePunct w:val="0"/>
        <w:autoSpaceDE/>
        <w:autoSpaceDN/>
        <w:bidi w:val="0"/>
        <w:ind w:firstLine="562"/>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、矿山土地损毁现状</w:t>
      </w:r>
    </w:p>
    <w:p w14:paraId="0E8C75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根据1：1万土地利用现状图K50G035084、K50G033086，现状已损毁破坏的土地资源利用类型有旱地（</w:t>
      </w:r>
      <w:r>
        <w:rPr>
          <w:rFonts w:hint="eastAsia" w:ascii="Times New Roman" w:hAnsi="Times New Roman" w:eastAsia="宋体" w:cs="Times New Roman"/>
          <w:b w:val="0"/>
          <w:bCs w:val="0"/>
          <w:color w:val="auto"/>
          <w:sz w:val="24"/>
          <w:szCs w:val="24"/>
          <w:lang w:val="en-US" w:eastAsia="zh-CN"/>
        </w:rPr>
        <w:t>559</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）、天然牧草地（699m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）、其他草地（</w:t>
      </w:r>
      <w:r>
        <w:rPr>
          <w:rFonts w:hint="eastAsia" w:ascii="Times New Roman" w:hAnsi="Times New Roman" w:eastAsia="宋体" w:cs="Times New Roman"/>
          <w:b w:val="0"/>
          <w:bCs w:val="0"/>
          <w:color w:val="auto"/>
          <w:sz w:val="24"/>
          <w:szCs w:val="24"/>
          <w:lang w:val="en-US" w:eastAsia="zh-CN"/>
        </w:rPr>
        <w:t>6127</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），总面积</w:t>
      </w:r>
      <w:r>
        <w:rPr>
          <w:rFonts w:hint="eastAsia" w:ascii="Times New Roman" w:hAnsi="Times New Roman" w:eastAsia="宋体" w:cs="Times New Roman"/>
          <w:b w:val="0"/>
          <w:bCs w:val="0"/>
          <w:color w:val="auto"/>
          <w:sz w:val="24"/>
          <w:szCs w:val="24"/>
          <w:lang w:val="en-US" w:eastAsia="zh-CN"/>
        </w:rPr>
        <w:t>7385</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w:t>
      </w:r>
    </w:p>
    <w:p w14:paraId="599793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对照全国第二次土地利用现状，下歪脖子井采区土地权属归赤峰市松山区哈拉道口镇下歪脖子井村所有，羊草沟采区土地权属归赤峰市松山区安庆镇羊草沟村翁牛特旗解放营子乡三分地村所有，界线清晰，无争议。</w:t>
      </w:r>
    </w:p>
    <w:p w14:paraId="120374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eastAsia="宋体" w:cs="宋体" w:asciiTheme="majorAscii" w:hAnsiTheme="majorAscii"/>
          <w:b w:val="0"/>
          <w:bCs w:val="0"/>
          <w:color w:val="auto"/>
          <w:sz w:val="28"/>
          <w:szCs w:val="28"/>
          <w:lang w:val="en-US" w:eastAsia="zh-CN"/>
        </w:rPr>
      </w:pPr>
      <w:r>
        <w:rPr>
          <w:rFonts w:hint="default" w:ascii="Times New Roman" w:hAnsi="Times New Roman" w:eastAsia="宋体" w:cs="Times New Roman"/>
          <w:b w:val="0"/>
          <w:bCs w:val="0"/>
          <w:color w:val="auto"/>
          <w:sz w:val="24"/>
          <w:szCs w:val="24"/>
          <w:lang w:val="en-US" w:eastAsia="zh-CN"/>
        </w:rPr>
        <w:t>现状条件下，地表各单元对土地损毁情况见表4-2。</w:t>
      </w:r>
    </w:p>
    <w:p w14:paraId="2EEAD5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表</w:t>
      </w:r>
      <w:r>
        <w:rPr>
          <w:rFonts w:hint="eastAsia" w:ascii="宋体" w:hAnsi="宋体" w:eastAsia="宋体" w:cs="宋体"/>
          <w:b/>
          <w:color w:val="auto"/>
          <w:sz w:val="21"/>
          <w:szCs w:val="21"/>
          <w:lang w:val="en-US" w:eastAsia="zh-CN"/>
        </w:rPr>
        <w:t>4-2</w:t>
      </w:r>
      <w:r>
        <w:rPr>
          <w:rFonts w:hint="eastAsia" w:ascii="宋体" w:hAnsi="宋体" w:eastAsia="宋体" w:cs="宋体"/>
          <w:b/>
          <w:color w:val="auto"/>
          <w:sz w:val="21"/>
          <w:szCs w:val="21"/>
        </w:rPr>
        <w:t xml:space="preserve">  现状损毁土地资源情况表</w:t>
      </w:r>
    </w:p>
    <w:tbl>
      <w:tblPr>
        <w:tblStyle w:val="18"/>
        <w:tblW w:w="9390" w:type="dxa"/>
        <w:jc w:val="center"/>
        <w:tblLayout w:type="fixed"/>
        <w:tblCellMar>
          <w:top w:w="0" w:type="dxa"/>
          <w:left w:w="0" w:type="dxa"/>
          <w:bottom w:w="0" w:type="dxa"/>
          <w:right w:w="0" w:type="dxa"/>
        </w:tblCellMar>
      </w:tblPr>
      <w:tblGrid>
        <w:gridCol w:w="952"/>
        <w:gridCol w:w="1812"/>
        <w:gridCol w:w="813"/>
        <w:gridCol w:w="500"/>
        <w:gridCol w:w="737"/>
        <w:gridCol w:w="675"/>
        <w:gridCol w:w="1400"/>
        <w:gridCol w:w="925"/>
        <w:gridCol w:w="1576"/>
      </w:tblGrid>
      <w:tr w14:paraId="00465C70">
        <w:tblPrEx>
          <w:tblCellMar>
            <w:top w:w="0" w:type="dxa"/>
            <w:left w:w="0" w:type="dxa"/>
            <w:bottom w:w="0" w:type="dxa"/>
            <w:right w:w="0" w:type="dxa"/>
          </w:tblCellMar>
        </w:tblPrEx>
        <w:trPr>
          <w:trHeight w:val="312"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14E8">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单元名称　</w:t>
            </w:r>
          </w:p>
        </w:tc>
        <w:tc>
          <w:tcPr>
            <w:tcW w:w="8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DC032E2">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面积</w:t>
            </w:r>
          </w:p>
          <w:p w14:paraId="585BE0BB">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w:t>
            </w:r>
            <w:r>
              <w:rPr>
                <w:rFonts w:hint="eastAsia" w:ascii="宋体" w:hAnsi="宋体" w:eastAsia="宋体" w:cs="宋体"/>
                <w:color w:val="auto"/>
                <w:kern w:val="0"/>
                <w:sz w:val="21"/>
                <w:szCs w:val="21"/>
                <w:vertAlign w:val="superscript"/>
                <w:lang w:bidi="ar"/>
              </w:rPr>
              <w:t>2</w:t>
            </w:r>
            <w:r>
              <w:rPr>
                <w:rFonts w:hint="eastAsia" w:ascii="宋体" w:hAnsi="宋体" w:eastAsia="宋体" w:cs="宋体"/>
                <w:color w:val="auto"/>
                <w:kern w:val="0"/>
                <w:sz w:val="21"/>
                <w:szCs w:val="21"/>
                <w:lang w:bidi="ar"/>
              </w:rPr>
              <w:t>）</w:t>
            </w:r>
          </w:p>
        </w:tc>
        <w:tc>
          <w:tcPr>
            <w:tcW w:w="33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6143">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已损毁土地类型</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48AE5">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面积（m</w:t>
            </w:r>
            <w:r>
              <w:rPr>
                <w:rFonts w:hint="eastAsia" w:ascii="宋体" w:hAnsi="宋体" w:eastAsia="宋体" w:cs="宋体"/>
                <w:color w:val="auto"/>
                <w:kern w:val="0"/>
                <w:sz w:val="21"/>
                <w:szCs w:val="21"/>
                <w:vertAlign w:val="superscript"/>
                <w:lang w:bidi="ar"/>
              </w:rPr>
              <w:t>2</w:t>
            </w:r>
            <w:r>
              <w:rPr>
                <w:rFonts w:hint="eastAsia" w:ascii="宋体" w:hAnsi="宋体" w:eastAsia="宋体" w:cs="宋体"/>
                <w:color w:val="auto"/>
                <w:kern w:val="0"/>
                <w:sz w:val="21"/>
                <w:szCs w:val="21"/>
                <w:lang w:bidi="ar"/>
              </w:rPr>
              <w:t>）</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3DD33">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土地</w:t>
            </w:r>
          </w:p>
        </w:tc>
      </w:tr>
      <w:tr w14:paraId="5614A968">
        <w:tblPrEx>
          <w:tblCellMar>
            <w:top w:w="0" w:type="dxa"/>
            <w:left w:w="0" w:type="dxa"/>
            <w:bottom w:w="0" w:type="dxa"/>
            <w:right w:w="0" w:type="dxa"/>
          </w:tblCellMar>
        </w:tblPrEx>
        <w:trPr>
          <w:trHeight w:val="312" w:hRule="atLeast"/>
          <w:jc w:val="center"/>
        </w:trPr>
        <w:tc>
          <w:tcPr>
            <w:tcW w:w="2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A04A">
            <w:pPr>
              <w:wordWrap/>
              <w:spacing w:line="240" w:lineRule="auto"/>
              <w:ind w:firstLine="0" w:firstLineChars="0"/>
              <w:jc w:val="center"/>
              <w:rPr>
                <w:rFonts w:hint="eastAsia" w:ascii="宋体" w:hAnsi="宋体" w:eastAsia="宋体" w:cs="宋体"/>
                <w:color w:val="auto"/>
                <w:sz w:val="21"/>
                <w:szCs w:val="21"/>
              </w:rPr>
            </w:pPr>
          </w:p>
        </w:tc>
        <w:tc>
          <w:tcPr>
            <w:tcW w:w="8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DC40">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2BC4">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一级地类</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CA638">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二级地类</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1803">
            <w:pPr>
              <w:wordWrap/>
              <w:spacing w:line="240" w:lineRule="auto"/>
              <w:ind w:firstLine="0" w:firstLineChars="0"/>
              <w:jc w:val="center"/>
              <w:rPr>
                <w:rFonts w:hint="eastAsia" w:ascii="宋体" w:hAnsi="宋体" w:eastAsia="宋体" w:cs="宋体"/>
                <w:color w:val="auto"/>
                <w:sz w:val="21"/>
                <w:szCs w:val="21"/>
              </w:rPr>
            </w:pP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C7EA">
            <w:pPr>
              <w:wordWrap/>
              <w:spacing w:line="240" w:lineRule="auto"/>
              <w:ind w:firstLine="0" w:firstLineChars="0"/>
              <w:jc w:val="center"/>
              <w:rPr>
                <w:rFonts w:hint="eastAsia" w:ascii="宋体" w:hAnsi="宋体" w:eastAsia="宋体" w:cs="宋体"/>
                <w:color w:val="auto"/>
                <w:sz w:val="21"/>
                <w:szCs w:val="21"/>
              </w:rPr>
            </w:pPr>
          </w:p>
        </w:tc>
      </w:tr>
      <w:tr w14:paraId="1DAA9300">
        <w:tblPrEx>
          <w:tblCellMar>
            <w:top w:w="0" w:type="dxa"/>
            <w:left w:w="0" w:type="dxa"/>
            <w:bottom w:w="0" w:type="dxa"/>
            <w:right w:w="0" w:type="dxa"/>
          </w:tblCellMar>
        </w:tblPrEx>
        <w:trPr>
          <w:trHeight w:val="312"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04359">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下歪脖子井采区</w:t>
            </w:r>
          </w:p>
        </w:tc>
        <w:tc>
          <w:tcPr>
            <w:tcW w:w="181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3793A52">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矿区道路</w:t>
            </w:r>
          </w:p>
        </w:tc>
        <w:tc>
          <w:tcPr>
            <w:tcW w:w="8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7374003">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3286</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B8F6">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01</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5CBE">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耕地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02B2D">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013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D61C">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旱地</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0671A">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559</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CDE28">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赤峰市松山区哈拉道口镇下歪脖子井村</w:t>
            </w:r>
          </w:p>
        </w:tc>
      </w:tr>
      <w:tr w14:paraId="22FB3AFC">
        <w:tblPrEx>
          <w:tblCellMar>
            <w:top w:w="0" w:type="dxa"/>
            <w:left w:w="0" w:type="dxa"/>
            <w:bottom w:w="0" w:type="dxa"/>
            <w:right w:w="0" w:type="dxa"/>
          </w:tblCellMar>
        </w:tblPrEx>
        <w:trPr>
          <w:trHeight w:val="312"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9617">
            <w:pPr>
              <w:wordWrap/>
              <w:spacing w:line="240" w:lineRule="auto"/>
              <w:ind w:firstLine="0" w:firstLineChars="0"/>
              <w:jc w:val="center"/>
              <w:rPr>
                <w:rFonts w:hint="eastAsia" w:ascii="宋体" w:hAnsi="宋体" w:eastAsia="宋体" w:cs="宋体"/>
                <w:color w:val="auto"/>
                <w:sz w:val="21"/>
                <w:szCs w:val="21"/>
              </w:rPr>
            </w:pPr>
          </w:p>
        </w:tc>
        <w:tc>
          <w:tcPr>
            <w:tcW w:w="181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8765">
            <w:pPr>
              <w:wordWrap/>
              <w:spacing w:line="240" w:lineRule="auto"/>
              <w:ind w:firstLine="0" w:firstLineChars="0"/>
              <w:jc w:val="center"/>
              <w:rPr>
                <w:rFonts w:hint="eastAsia" w:ascii="宋体" w:hAnsi="宋体" w:eastAsia="宋体" w:cs="宋体"/>
                <w:color w:val="auto"/>
                <w:sz w:val="21"/>
                <w:szCs w:val="21"/>
              </w:rPr>
            </w:pPr>
          </w:p>
        </w:tc>
        <w:tc>
          <w:tcPr>
            <w:tcW w:w="8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AAB40">
            <w:pPr>
              <w:wordWrap/>
              <w:spacing w:line="240" w:lineRule="auto"/>
              <w:ind w:firstLine="0" w:firstLineChars="0"/>
              <w:jc w:val="center"/>
              <w:rPr>
                <w:rFonts w:hint="eastAsia" w:ascii="宋体" w:hAnsi="宋体" w:eastAsia="宋体" w:cs="宋体"/>
                <w:color w:val="auto"/>
                <w:sz w:val="21"/>
                <w:szCs w:val="21"/>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BE19">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04</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788C7">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草地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2C64B">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043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36CE">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其他草地</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FC67">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2727</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A7F22">
            <w:pPr>
              <w:wordWrap/>
              <w:spacing w:line="240" w:lineRule="auto"/>
              <w:ind w:firstLine="0" w:firstLineChars="0"/>
              <w:jc w:val="center"/>
              <w:rPr>
                <w:rFonts w:hint="eastAsia" w:ascii="宋体" w:hAnsi="宋体" w:eastAsia="宋体" w:cs="宋体"/>
                <w:color w:val="auto"/>
                <w:sz w:val="21"/>
                <w:szCs w:val="21"/>
              </w:rPr>
            </w:pPr>
          </w:p>
        </w:tc>
      </w:tr>
      <w:tr w14:paraId="17D916E7">
        <w:tblPrEx>
          <w:tblCellMar>
            <w:top w:w="0" w:type="dxa"/>
            <w:left w:w="0" w:type="dxa"/>
            <w:bottom w:w="0" w:type="dxa"/>
            <w:right w:w="0" w:type="dxa"/>
          </w:tblCellMar>
        </w:tblPrEx>
        <w:trPr>
          <w:trHeight w:val="312" w:hRule="atLeast"/>
          <w:jc w:val="center"/>
        </w:trPr>
        <w:tc>
          <w:tcPr>
            <w:tcW w:w="9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2B47BE3">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羊草沟采区</w:t>
            </w:r>
          </w:p>
        </w:tc>
        <w:tc>
          <w:tcPr>
            <w:tcW w:w="181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53F0356">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钻机平台（ZJPT1~ZJPT5）</w:t>
            </w:r>
          </w:p>
        </w:tc>
        <w:tc>
          <w:tcPr>
            <w:tcW w:w="8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D05AB75">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165</w:t>
            </w:r>
          </w:p>
        </w:tc>
        <w:tc>
          <w:tcPr>
            <w:tcW w:w="5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D67CD8D">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04</w:t>
            </w:r>
          </w:p>
        </w:tc>
        <w:tc>
          <w:tcPr>
            <w:tcW w:w="7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B0652B6">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草地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4D5BF">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041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A455A">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天然牧草地</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7E3F">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141</w:t>
            </w:r>
          </w:p>
        </w:tc>
        <w:tc>
          <w:tcPr>
            <w:tcW w:w="1576"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2662185F">
            <w:pPr>
              <w:wordWrap/>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赤峰市松山区安庆镇羊草沟村及翁牛特旗解放营子乡三分地村</w:t>
            </w:r>
          </w:p>
        </w:tc>
      </w:tr>
      <w:tr w14:paraId="1932E76A">
        <w:tblPrEx>
          <w:tblCellMar>
            <w:top w:w="0" w:type="dxa"/>
            <w:left w:w="0" w:type="dxa"/>
            <w:bottom w:w="0" w:type="dxa"/>
            <w:right w:w="0" w:type="dxa"/>
          </w:tblCellMar>
        </w:tblPrEx>
        <w:trPr>
          <w:trHeight w:val="312" w:hRule="atLeast"/>
          <w:jc w:val="center"/>
        </w:trPr>
        <w:tc>
          <w:tcPr>
            <w:tcW w:w="9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6D753FC">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181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99BB">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8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72025">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5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C11E">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73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44251">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2450">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043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7722">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其他草地</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1351">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24</w:t>
            </w:r>
          </w:p>
        </w:tc>
        <w:tc>
          <w:tcPr>
            <w:tcW w:w="15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E53CCBB">
            <w:pPr>
              <w:wordWrap/>
              <w:spacing w:line="240" w:lineRule="auto"/>
              <w:ind w:firstLine="0" w:firstLineChars="0"/>
              <w:jc w:val="center"/>
              <w:rPr>
                <w:rFonts w:hint="eastAsia" w:ascii="宋体" w:hAnsi="宋体" w:eastAsia="宋体" w:cs="宋体"/>
                <w:color w:val="auto"/>
                <w:sz w:val="21"/>
                <w:szCs w:val="21"/>
              </w:rPr>
            </w:pPr>
          </w:p>
        </w:tc>
      </w:tr>
      <w:tr w14:paraId="2DF539D5">
        <w:tblPrEx>
          <w:tblCellMar>
            <w:top w:w="0" w:type="dxa"/>
            <w:left w:w="0" w:type="dxa"/>
            <w:bottom w:w="0" w:type="dxa"/>
            <w:right w:w="0" w:type="dxa"/>
          </w:tblCellMar>
        </w:tblPrEx>
        <w:trPr>
          <w:trHeight w:val="312" w:hRule="atLeast"/>
          <w:jc w:val="center"/>
        </w:trPr>
        <w:tc>
          <w:tcPr>
            <w:tcW w:w="9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4775768">
            <w:pPr>
              <w:wordWrap/>
              <w:spacing w:line="240" w:lineRule="auto"/>
              <w:ind w:firstLine="0" w:firstLineChars="0"/>
              <w:jc w:val="center"/>
              <w:rPr>
                <w:rFonts w:hint="eastAsia" w:ascii="宋体" w:hAnsi="宋体" w:eastAsia="宋体" w:cs="宋体"/>
                <w:color w:val="auto"/>
                <w:sz w:val="21"/>
                <w:szCs w:val="21"/>
              </w:rPr>
            </w:pPr>
          </w:p>
        </w:tc>
        <w:tc>
          <w:tcPr>
            <w:tcW w:w="181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6DE5A41">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探槽</w:t>
            </w:r>
          </w:p>
          <w:p w14:paraId="43D72766">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（TC1～TC4）</w:t>
            </w:r>
          </w:p>
        </w:tc>
        <w:tc>
          <w:tcPr>
            <w:tcW w:w="8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F49A029">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812</w:t>
            </w:r>
          </w:p>
        </w:tc>
        <w:tc>
          <w:tcPr>
            <w:tcW w:w="5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52CDB3D">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04</w:t>
            </w:r>
          </w:p>
        </w:tc>
        <w:tc>
          <w:tcPr>
            <w:tcW w:w="7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84468B6">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草地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F3BCC">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041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7381">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天然牧草地</w:t>
            </w:r>
          </w:p>
        </w:tc>
        <w:tc>
          <w:tcPr>
            <w:tcW w:w="9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0F5A574">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112</w:t>
            </w:r>
          </w:p>
        </w:tc>
        <w:tc>
          <w:tcPr>
            <w:tcW w:w="15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44BC37A">
            <w:pPr>
              <w:wordWrap/>
              <w:spacing w:line="240" w:lineRule="auto"/>
              <w:ind w:firstLine="0" w:firstLineChars="0"/>
              <w:jc w:val="center"/>
              <w:rPr>
                <w:rFonts w:hint="eastAsia" w:ascii="宋体" w:hAnsi="宋体" w:eastAsia="宋体" w:cs="宋体"/>
                <w:color w:val="auto"/>
                <w:sz w:val="21"/>
                <w:szCs w:val="21"/>
              </w:rPr>
            </w:pPr>
          </w:p>
        </w:tc>
      </w:tr>
      <w:tr w14:paraId="021D02E7">
        <w:tblPrEx>
          <w:tblCellMar>
            <w:top w:w="0" w:type="dxa"/>
            <w:left w:w="0" w:type="dxa"/>
            <w:bottom w:w="0" w:type="dxa"/>
            <w:right w:w="0" w:type="dxa"/>
          </w:tblCellMar>
        </w:tblPrEx>
        <w:trPr>
          <w:trHeight w:val="312" w:hRule="atLeast"/>
          <w:jc w:val="center"/>
        </w:trPr>
        <w:tc>
          <w:tcPr>
            <w:tcW w:w="9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DC052FE">
            <w:pPr>
              <w:wordWrap/>
              <w:spacing w:line="240" w:lineRule="auto"/>
              <w:ind w:firstLine="0" w:firstLineChars="0"/>
              <w:jc w:val="center"/>
              <w:rPr>
                <w:rFonts w:hint="eastAsia" w:ascii="宋体" w:hAnsi="宋体" w:eastAsia="宋体" w:cs="宋体"/>
                <w:color w:val="auto"/>
                <w:sz w:val="21"/>
                <w:szCs w:val="21"/>
              </w:rPr>
            </w:pPr>
          </w:p>
        </w:tc>
        <w:tc>
          <w:tcPr>
            <w:tcW w:w="181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BC865">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8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50C7F">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5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B933">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73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42C8">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D482">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043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A8073">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其他草地</w:t>
            </w:r>
          </w:p>
        </w:tc>
        <w:tc>
          <w:tcPr>
            <w:tcW w:w="9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2110062">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700</w:t>
            </w:r>
          </w:p>
        </w:tc>
        <w:tc>
          <w:tcPr>
            <w:tcW w:w="15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BA979A3">
            <w:pPr>
              <w:wordWrap/>
              <w:spacing w:line="240" w:lineRule="auto"/>
              <w:ind w:firstLine="0" w:firstLineChars="0"/>
              <w:jc w:val="center"/>
              <w:rPr>
                <w:rFonts w:hint="eastAsia" w:ascii="宋体" w:hAnsi="宋体" w:eastAsia="宋体" w:cs="宋体"/>
                <w:color w:val="auto"/>
                <w:sz w:val="21"/>
                <w:szCs w:val="21"/>
              </w:rPr>
            </w:pPr>
          </w:p>
        </w:tc>
      </w:tr>
      <w:tr w14:paraId="24B87242">
        <w:tblPrEx>
          <w:tblCellMar>
            <w:top w:w="0" w:type="dxa"/>
            <w:left w:w="0" w:type="dxa"/>
            <w:bottom w:w="0" w:type="dxa"/>
            <w:right w:w="0" w:type="dxa"/>
          </w:tblCellMar>
        </w:tblPrEx>
        <w:trPr>
          <w:trHeight w:val="312" w:hRule="atLeast"/>
          <w:jc w:val="center"/>
        </w:trPr>
        <w:tc>
          <w:tcPr>
            <w:tcW w:w="9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CA2C">
            <w:pPr>
              <w:wordWrap/>
              <w:spacing w:line="240" w:lineRule="auto"/>
              <w:ind w:firstLine="0" w:firstLineChars="0"/>
              <w:jc w:val="center"/>
              <w:rPr>
                <w:rFonts w:hint="eastAsia" w:ascii="宋体" w:hAnsi="宋体" w:eastAsia="宋体" w:cs="宋体"/>
                <w:color w:val="auto"/>
                <w:sz w:val="21"/>
                <w:szCs w:val="21"/>
              </w:rPr>
            </w:pPr>
          </w:p>
        </w:tc>
        <w:tc>
          <w:tcPr>
            <w:tcW w:w="181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5E341D4">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矿区道路</w:t>
            </w:r>
          </w:p>
        </w:tc>
        <w:tc>
          <w:tcPr>
            <w:tcW w:w="8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606CC1A">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3122</w:t>
            </w:r>
          </w:p>
        </w:tc>
        <w:tc>
          <w:tcPr>
            <w:tcW w:w="5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BC6F4E5">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04</w:t>
            </w:r>
          </w:p>
        </w:tc>
        <w:tc>
          <w:tcPr>
            <w:tcW w:w="7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B21881F">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草地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60B4">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041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BBCE">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天然牧草地</w:t>
            </w:r>
          </w:p>
        </w:tc>
        <w:tc>
          <w:tcPr>
            <w:tcW w:w="9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2A87">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446</w:t>
            </w:r>
          </w:p>
        </w:tc>
        <w:tc>
          <w:tcPr>
            <w:tcW w:w="15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09A1FCF">
            <w:pPr>
              <w:wordWrap/>
              <w:spacing w:line="240" w:lineRule="auto"/>
              <w:ind w:firstLine="0" w:firstLineChars="0"/>
              <w:jc w:val="center"/>
              <w:rPr>
                <w:rFonts w:hint="eastAsia" w:ascii="宋体" w:hAnsi="宋体" w:eastAsia="宋体" w:cs="宋体"/>
                <w:color w:val="auto"/>
                <w:sz w:val="21"/>
                <w:szCs w:val="21"/>
              </w:rPr>
            </w:pPr>
          </w:p>
        </w:tc>
      </w:tr>
      <w:tr w14:paraId="3E425C7B">
        <w:tblPrEx>
          <w:tblCellMar>
            <w:top w:w="0" w:type="dxa"/>
            <w:left w:w="0" w:type="dxa"/>
            <w:bottom w:w="0" w:type="dxa"/>
            <w:right w:w="0" w:type="dxa"/>
          </w:tblCellMar>
        </w:tblPrEx>
        <w:trPr>
          <w:trHeight w:val="312" w:hRule="atLeast"/>
          <w:jc w:val="center"/>
        </w:trPr>
        <w:tc>
          <w:tcPr>
            <w:tcW w:w="9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75EF2">
            <w:pPr>
              <w:wordWrap/>
              <w:spacing w:line="240" w:lineRule="auto"/>
              <w:ind w:firstLine="0" w:firstLineChars="0"/>
              <w:jc w:val="center"/>
              <w:rPr>
                <w:rFonts w:hint="eastAsia" w:ascii="宋体" w:hAnsi="宋体" w:eastAsia="宋体" w:cs="宋体"/>
                <w:color w:val="auto"/>
                <w:sz w:val="21"/>
                <w:szCs w:val="21"/>
              </w:rPr>
            </w:pPr>
          </w:p>
        </w:tc>
        <w:tc>
          <w:tcPr>
            <w:tcW w:w="181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698DC">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8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D876">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5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D0E1">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73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40E3">
            <w:pPr>
              <w:widowControl/>
              <w:wordWrap/>
              <w:spacing w:line="240" w:lineRule="auto"/>
              <w:ind w:firstLine="0" w:firstLineChars="0"/>
              <w:jc w:val="center"/>
              <w:textAlignment w:val="center"/>
              <w:rPr>
                <w:rFonts w:hint="eastAsia" w:ascii="宋体" w:hAnsi="宋体" w:eastAsia="宋体" w:cs="宋体"/>
                <w:color w:val="auto"/>
                <w:sz w:val="21"/>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8999">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043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9CEE">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其他草地</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120D">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2676</w:t>
            </w:r>
          </w:p>
        </w:tc>
        <w:tc>
          <w:tcPr>
            <w:tcW w:w="157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58C8A1C">
            <w:pPr>
              <w:wordWrap/>
              <w:spacing w:line="240" w:lineRule="auto"/>
              <w:ind w:firstLine="0" w:firstLineChars="0"/>
              <w:jc w:val="center"/>
              <w:rPr>
                <w:rFonts w:hint="eastAsia" w:ascii="宋体" w:hAnsi="宋体" w:eastAsia="宋体" w:cs="宋体"/>
                <w:color w:val="auto"/>
                <w:sz w:val="21"/>
                <w:szCs w:val="21"/>
              </w:rPr>
            </w:pPr>
          </w:p>
        </w:tc>
      </w:tr>
      <w:tr w14:paraId="4791B72B">
        <w:tblPrEx>
          <w:tblCellMar>
            <w:top w:w="0" w:type="dxa"/>
            <w:left w:w="0" w:type="dxa"/>
            <w:bottom w:w="0" w:type="dxa"/>
            <w:right w:w="0" w:type="dxa"/>
          </w:tblCellMar>
        </w:tblPrEx>
        <w:trPr>
          <w:trHeight w:val="312" w:hRule="atLeast"/>
          <w:jc w:val="center"/>
        </w:trPr>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C581">
            <w:pPr>
              <w:wordWrap/>
              <w:spacing w:line="240" w:lineRule="auto"/>
              <w:ind w:firstLine="0" w:firstLineChars="0"/>
              <w:jc w:val="both"/>
              <w:rPr>
                <w:rFonts w:hint="eastAsia" w:ascii="宋体" w:hAnsi="宋体" w:eastAsia="宋体" w:cs="宋体"/>
                <w:color w:val="auto"/>
                <w:sz w:val="21"/>
                <w:szCs w:val="21"/>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E039F">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合计</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231F">
            <w:pPr>
              <w:widowControl/>
              <w:wordWrap/>
              <w:spacing w:line="240" w:lineRule="auto"/>
              <w:ind w:firstLine="0" w:firstLineChars="0"/>
              <w:jc w:val="center"/>
              <w:textAlignment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7385</w:t>
            </w:r>
          </w:p>
        </w:tc>
        <w:tc>
          <w:tcPr>
            <w:tcW w:w="33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2DE2">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7176">
            <w:pPr>
              <w:widowControl/>
              <w:wordWrap/>
              <w:spacing w:line="240" w:lineRule="auto"/>
              <w:ind w:firstLine="0" w:firstLineChars="0"/>
              <w:jc w:val="center"/>
              <w:textAlignment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7385</w:t>
            </w:r>
          </w:p>
        </w:tc>
        <w:tc>
          <w:tcPr>
            <w:tcW w:w="157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4902">
            <w:pPr>
              <w:widowControl/>
              <w:wordWrap/>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r>
      <w:bookmarkEnd w:id="57"/>
    </w:tbl>
    <w:p w14:paraId="033604F4">
      <w:pPr>
        <w:pStyle w:val="17"/>
        <w:keepNext w:val="0"/>
        <w:keepLines w:val="0"/>
        <w:widowControl w:val="0"/>
        <w:suppressLineNumbers w:val="0"/>
        <w:tabs>
          <w:tab w:val="left" w:pos="6120"/>
        </w:tabs>
        <w:spacing w:before="0" w:beforeAutospacing="0" w:after="0" w:afterAutospacing="0" w:line="360" w:lineRule="auto"/>
        <w:ind w:left="0" w:leftChars="0" w:right="0" w:firstLine="464" w:firstLineChars="200"/>
        <w:jc w:val="both"/>
        <w:rPr>
          <w:rFonts w:hint="default" w:ascii="Times New Roman" w:hAnsi="Times New Roman" w:eastAsia="宋体" w:cs="Times New Roman"/>
          <w:color w:val="auto"/>
          <w:spacing w:val="-4"/>
          <w:kern w:val="2"/>
          <w:sz w:val="24"/>
          <w:szCs w:val="24"/>
          <w:lang w:val="en-US" w:eastAsia="zh-CN" w:bidi="ar"/>
        </w:rPr>
      </w:pPr>
      <w:bookmarkStart w:id="58" w:name="_Toc21319"/>
      <w:r>
        <w:rPr>
          <w:rFonts w:hint="default" w:ascii="Times New Roman" w:hAnsi="Times New Roman" w:eastAsia="宋体" w:cs="Times New Roman"/>
          <w:color w:val="auto"/>
          <w:spacing w:val="-4"/>
          <w:kern w:val="2"/>
          <w:sz w:val="24"/>
          <w:szCs w:val="24"/>
          <w:lang w:val="en-US" w:eastAsia="zh-CN" w:bidi="ar"/>
        </w:rPr>
        <w:t>根据《方案》，现状各单元损毁土地程度评价见表</w:t>
      </w:r>
      <w:r>
        <w:rPr>
          <w:rFonts w:hint="eastAsia" w:ascii="Times New Roman" w:hAnsi="Times New Roman" w:eastAsia="宋体" w:cs="Times New Roman"/>
          <w:color w:val="auto"/>
          <w:spacing w:val="-4"/>
          <w:kern w:val="2"/>
          <w:sz w:val="24"/>
          <w:szCs w:val="24"/>
          <w:lang w:val="en-US" w:eastAsia="zh-CN" w:bidi="ar"/>
        </w:rPr>
        <w:t>4-</w:t>
      </w:r>
      <w:r>
        <w:rPr>
          <w:rFonts w:hint="eastAsia" w:cs="Times New Roman"/>
          <w:color w:val="auto"/>
          <w:spacing w:val="-4"/>
          <w:kern w:val="2"/>
          <w:sz w:val="24"/>
          <w:szCs w:val="24"/>
          <w:lang w:val="en-US" w:eastAsia="zh-CN" w:bidi="ar"/>
        </w:rPr>
        <w:t>3</w:t>
      </w:r>
      <w:r>
        <w:rPr>
          <w:rFonts w:hint="default" w:ascii="Times New Roman" w:hAnsi="Times New Roman" w:eastAsia="宋体" w:cs="Times New Roman"/>
          <w:color w:val="auto"/>
          <w:spacing w:val="-4"/>
          <w:kern w:val="2"/>
          <w:sz w:val="24"/>
          <w:szCs w:val="24"/>
          <w:lang w:val="en-US" w:eastAsia="zh-CN" w:bidi="ar"/>
        </w:rPr>
        <w:t>和表</w:t>
      </w:r>
      <w:r>
        <w:rPr>
          <w:rFonts w:hint="eastAsia" w:ascii="Times New Roman" w:hAnsi="Times New Roman" w:eastAsia="宋体" w:cs="Times New Roman"/>
          <w:color w:val="auto"/>
          <w:spacing w:val="-4"/>
          <w:kern w:val="2"/>
          <w:sz w:val="24"/>
          <w:szCs w:val="24"/>
          <w:lang w:val="en-US" w:eastAsia="zh-CN" w:bidi="ar"/>
        </w:rPr>
        <w:t>4-</w:t>
      </w:r>
      <w:r>
        <w:rPr>
          <w:rFonts w:hint="eastAsia" w:cs="Times New Roman"/>
          <w:color w:val="auto"/>
          <w:spacing w:val="-4"/>
          <w:kern w:val="2"/>
          <w:sz w:val="24"/>
          <w:szCs w:val="24"/>
          <w:lang w:val="en-US" w:eastAsia="zh-CN" w:bidi="ar"/>
        </w:rPr>
        <w:t>5</w:t>
      </w:r>
      <w:r>
        <w:rPr>
          <w:rFonts w:hint="default" w:ascii="Times New Roman" w:hAnsi="Times New Roman" w:eastAsia="宋体" w:cs="Times New Roman"/>
          <w:color w:val="auto"/>
          <w:spacing w:val="-4"/>
          <w:kern w:val="2"/>
          <w:sz w:val="24"/>
          <w:szCs w:val="24"/>
          <w:lang w:val="en-US" w:eastAsia="zh-CN" w:bidi="ar"/>
        </w:rPr>
        <w:t>。</w:t>
      </w:r>
    </w:p>
    <w:p w14:paraId="5567A48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right="0" w:firstLine="0" w:firstLineChars="0"/>
        <w:jc w:val="center"/>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bCs/>
          <w:color w:val="auto"/>
          <w:kern w:val="2"/>
          <w:sz w:val="21"/>
          <w:szCs w:val="21"/>
          <w:lang w:val="en-US" w:eastAsia="zh-CN" w:bidi="ar-SA"/>
        </w:rPr>
        <w:t>表4-</w:t>
      </w:r>
      <w:r>
        <w:rPr>
          <w:rFonts w:hint="eastAsia" w:cs="Times New Roman"/>
          <w:b/>
          <w:bCs/>
          <w:color w:val="auto"/>
          <w:kern w:val="2"/>
          <w:sz w:val="21"/>
          <w:szCs w:val="21"/>
          <w:lang w:val="en-US" w:eastAsia="zh-CN" w:bidi="ar-SA"/>
        </w:rPr>
        <w:t>4</w:t>
      </w:r>
      <w:r>
        <w:rPr>
          <w:rFonts w:hint="default" w:ascii="Times New Roman" w:hAnsi="Times New Roman" w:eastAsia="宋体" w:cs="Times New Roman"/>
          <w:b/>
          <w:bCs/>
          <w:color w:val="auto"/>
          <w:kern w:val="2"/>
          <w:sz w:val="21"/>
          <w:szCs w:val="21"/>
          <w:lang w:val="en-US" w:eastAsia="zh-CN" w:bidi="ar-SA"/>
        </w:rPr>
        <w:t xml:space="preserve">  挖损损毁土地损毁程度评价表</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24"/>
        <w:gridCol w:w="1223"/>
        <w:gridCol w:w="1768"/>
        <w:gridCol w:w="1542"/>
        <w:gridCol w:w="938"/>
        <w:gridCol w:w="1139"/>
      </w:tblGrid>
      <w:tr w14:paraId="46E2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blHeader/>
        </w:trPr>
        <w:tc>
          <w:tcPr>
            <w:tcW w:w="1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CA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评价单元</w:t>
            </w:r>
          </w:p>
        </w:tc>
        <w:tc>
          <w:tcPr>
            <w:tcW w:w="7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B85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损毁类型</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D5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评价因子</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3B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损毁程度</w:t>
            </w:r>
          </w:p>
        </w:tc>
        <w:tc>
          <w:tcPr>
            <w:tcW w:w="5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99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得分</w:t>
            </w:r>
          </w:p>
        </w:tc>
        <w:tc>
          <w:tcPr>
            <w:tcW w:w="6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10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评价结果</w:t>
            </w:r>
          </w:p>
        </w:tc>
      </w:tr>
      <w:tr w14:paraId="06EF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FA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矿区道路</w:t>
            </w:r>
          </w:p>
          <w:p w14:paraId="3DBF2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下歪脖子井采区</w:t>
            </w:r>
            <w:r>
              <w:rPr>
                <w:rFonts w:hint="eastAsia" w:ascii="Times New Roman" w:hAnsi="Times New Roman" w:eastAsia="宋体" w:cs="Times New Roman"/>
                <w:color w:val="auto"/>
                <w:kern w:val="0"/>
                <w:sz w:val="21"/>
                <w:szCs w:val="21"/>
                <w:lang w:val="en-US" w:eastAsia="zh-CN" w:bidi="ar"/>
              </w:rPr>
              <w:t>）</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D6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eastAsia" w:ascii="Times New Roman" w:hAnsi="Times New Roman" w:eastAsia="宋体" w:cs="Times New Roman"/>
                <w:color w:val="auto"/>
                <w:kern w:val="0"/>
                <w:sz w:val="21"/>
                <w:szCs w:val="21"/>
                <w:lang w:val="en-US" w:eastAsia="zh-CN" w:bidi="ar"/>
              </w:rPr>
              <w:t>压占</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86E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压占面积</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0F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&lt;0.2hm</w:t>
            </w:r>
            <w:r>
              <w:rPr>
                <w:rFonts w:hint="default" w:ascii="Times New Roman" w:hAnsi="Times New Roman" w:eastAsia="宋体" w:cs="Times New Roman"/>
                <w:color w:val="auto"/>
                <w:kern w:val="0"/>
                <w:sz w:val="21"/>
                <w:szCs w:val="21"/>
                <w:vertAlign w:val="superscript"/>
                <w:lang w:val="en-US" w:eastAsia="zh-CN" w:bidi="ar"/>
              </w:rPr>
              <w:t>2</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D7E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1.3</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5B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中度损毁</w:t>
            </w:r>
          </w:p>
        </w:tc>
      </w:tr>
      <w:tr w14:paraId="661D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4A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E0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AD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边坡坡度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D73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25°-35°</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B19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20D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388F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4E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C13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7B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排土（渣）高度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DAF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&lt;15m</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653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7F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6558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BF1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07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D44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复垦难度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92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易</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DB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20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4064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6CD8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钻机平（ZJPT1~ZJPT5）</w:t>
            </w:r>
          </w:p>
          <w:p w14:paraId="3C877307">
            <w:pPr>
              <w:pStyle w:val="2"/>
              <w:rPr>
                <w:rFonts w:hint="default"/>
                <w:color w:val="auto"/>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羊草沟采区</w:t>
            </w:r>
            <w:r>
              <w:rPr>
                <w:rFonts w:hint="eastAsia" w:ascii="Times New Roman" w:hAnsi="Times New Roman" w:eastAsia="宋体" w:cs="Times New Roman"/>
                <w:color w:val="auto"/>
                <w:kern w:val="0"/>
                <w:sz w:val="21"/>
                <w:szCs w:val="21"/>
                <w:lang w:val="en-US" w:eastAsia="zh-CN" w:bidi="ar"/>
              </w:rPr>
              <w:t>）</w:t>
            </w:r>
          </w:p>
        </w:tc>
        <w:tc>
          <w:tcPr>
            <w:tcW w:w="71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B0043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挖损</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EDCB">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挖损面积</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D8C9F">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&lt;0.2hm</w:t>
            </w:r>
            <w:r>
              <w:rPr>
                <w:rFonts w:hint="default" w:ascii="Times New Roman" w:hAnsi="Times New Roman" w:eastAsia="宋体" w:cs="Times New Roman"/>
                <w:color w:val="auto"/>
                <w:sz w:val="21"/>
                <w:szCs w:val="21"/>
                <w:vertAlign w:val="superscript"/>
              </w:rPr>
              <w:t>2</w:t>
            </w:r>
          </w:p>
        </w:tc>
        <w:tc>
          <w:tcPr>
            <w:tcW w:w="54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FEFEC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1.0</w:t>
            </w:r>
          </w:p>
        </w:tc>
        <w:tc>
          <w:tcPr>
            <w:tcW w:w="66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DD43C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rPr>
            </w:pPr>
            <w:r>
              <w:rPr>
                <w:rFonts w:hint="eastAsia" w:ascii="Times New Roman" w:hAnsi="Times New Roman" w:eastAsia="宋体" w:cs="Times New Roman"/>
                <w:color w:val="auto"/>
                <w:kern w:val="0"/>
                <w:sz w:val="21"/>
                <w:szCs w:val="21"/>
                <w:lang w:val="en-US" w:eastAsia="zh-CN" w:bidi="ar"/>
              </w:rPr>
              <w:t>轻</w:t>
            </w:r>
            <w:r>
              <w:rPr>
                <w:rFonts w:hint="default" w:ascii="Times New Roman" w:hAnsi="Times New Roman" w:eastAsia="宋体" w:cs="Times New Roman"/>
                <w:color w:val="auto"/>
                <w:kern w:val="0"/>
                <w:sz w:val="21"/>
                <w:szCs w:val="21"/>
                <w:lang w:val="en-US" w:eastAsia="zh-CN" w:bidi="ar"/>
              </w:rPr>
              <w:t>度损毁</w:t>
            </w:r>
          </w:p>
        </w:tc>
      </w:tr>
      <w:tr w14:paraId="6B13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806BD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71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43503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5A03">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挖损深度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5218">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&lt;2.0m</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806A1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32400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rPr>
            </w:pPr>
          </w:p>
        </w:tc>
      </w:tr>
      <w:tr w14:paraId="257D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56A60C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71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0606F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AC2F">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挖损土层厚度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6EB4">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&lt;20cm</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55D97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D5E72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rPr>
            </w:pPr>
          </w:p>
        </w:tc>
      </w:tr>
      <w:tr w14:paraId="59A4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A9C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71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D0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B19A">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积水情况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FCA38">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无积水</w:t>
            </w:r>
          </w:p>
        </w:tc>
        <w:tc>
          <w:tcPr>
            <w:tcW w:w="549"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554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6A5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rPr>
            </w:pPr>
          </w:p>
        </w:tc>
      </w:tr>
      <w:tr w14:paraId="6340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97CD5A8">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探槽（TC1～TC4）</w:t>
            </w:r>
          </w:p>
          <w:p w14:paraId="5ABE68F1">
            <w:pPr>
              <w:pStyle w:val="2"/>
              <w:rPr>
                <w:rFonts w:hint="default"/>
                <w:color w:val="auto"/>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羊草沟采区</w:t>
            </w:r>
            <w:r>
              <w:rPr>
                <w:rFonts w:hint="eastAsia" w:ascii="Times New Roman" w:hAnsi="Times New Roman" w:eastAsia="宋体" w:cs="Times New Roman"/>
                <w:color w:val="auto"/>
                <w:kern w:val="0"/>
                <w:sz w:val="21"/>
                <w:szCs w:val="21"/>
                <w:lang w:val="en-US" w:eastAsia="zh-CN" w:bidi="ar"/>
              </w:rPr>
              <w:t>）</w:t>
            </w:r>
          </w:p>
        </w:tc>
        <w:tc>
          <w:tcPr>
            <w:tcW w:w="71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83720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rPr>
            </w:pPr>
            <w:r>
              <w:rPr>
                <w:rFonts w:hint="eastAsia" w:ascii="Times New Roman" w:hAnsi="Times New Roman" w:eastAsia="宋体" w:cs="Times New Roman"/>
                <w:color w:val="auto"/>
                <w:kern w:val="2"/>
                <w:sz w:val="21"/>
                <w:szCs w:val="22"/>
                <w:lang w:val="en-US" w:eastAsia="zh-CN"/>
              </w:rPr>
              <w:t>挖损</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FB5F">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挖损面积</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D3B80">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&lt;0.2hm</w:t>
            </w:r>
            <w:r>
              <w:rPr>
                <w:rFonts w:hint="default" w:ascii="Times New Roman" w:hAnsi="Times New Roman" w:eastAsia="宋体" w:cs="Times New Roman"/>
                <w:color w:val="auto"/>
                <w:sz w:val="21"/>
                <w:szCs w:val="21"/>
                <w:vertAlign w:val="superscript"/>
              </w:rPr>
              <w:t>2</w:t>
            </w:r>
          </w:p>
        </w:tc>
        <w:tc>
          <w:tcPr>
            <w:tcW w:w="54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77C38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1.0</w:t>
            </w:r>
          </w:p>
        </w:tc>
        <w:tc>
          <w:tcPr>
            <w:tcW w:w="66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3F160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rPr>
            </w:pPr>
            <w:r>
              <w:rPr>
                <w:rFonts w:hint="eastAsia" w:ascii="Times New Roman" w:hAnsi="Times New Roman" w:eastAsia="宋体" w:cs="Times New Roman"/>
                <w:color w:val="auto"/>
                <w:kern w:val="0"/>
                <w:sz w:val="21"/>
                <w:szCs w:val="21"/>
                <w:lang w:val="en-US" w:eastAsia="zh-CN" w:bidi="ar"/>
              </w:rPr>
              <w:t>轻</w:t>
            </w:r>
            <w:r>
              <w:rPr>
                <w:rFonts w:hint="default" w:ascii="Times New Roman" w:hAnsi="Times New Roman" w:eastAsia="宋体" w:cs="Times New Roman"/>
                <w:color w:val="auto"/>
                <w:kern w:val="0"/>
                <w:sz w:val="21"/>
                <w:szCs w:val="21"/>
                <w:lang w:val="en-US" w:eastAsia="zh-CN" w:bidi="ar"/>
              </w:rPr>
              <w:t>度损毁</w:t>
            </w:r>
          </w:p>
        </w:tc>
      </w:tr>
      <w:tr w14:paraId="3D50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06F39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71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47735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E33D9">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挖损深度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79848">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&lt;2.0m</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05696C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94411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68F2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7F8E2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71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C2E8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4A51">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挖损土层厚度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6AA4">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&lt;20cm</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54655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A11DA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7197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20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71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A8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EA61A">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积水情况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4332">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无积水</w:t>
            </w:r>
          </w:p>
        </w:tc>
        <w:tc>
          <w:tcPr>
            <w:tcW w:w="549"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F8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62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5F69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AE2BB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矿区道路</w:t>
            </w:r>
          </w:p>
          <w:p w14:paraId="45C1A3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羊草沟采区</w:t>
            </w:r>
            <w:r>
              <w:rPr>
                <w:rFonts w:hint="eastAsia" w:ascii="Times New Roman" w:hAnsi="Times New Roman" w:eastAsia="宋体" w:cs="Times New Roman"/>
                <w:color w:val="auto"/>
                <w:kern w:val="0"/>
                <w:sz w:val="21"/>
                <w:szCs w:val="21"/>
                <w:lang w:val="en-US" w:eastAsia="zh-CN" w:bidi="ar"/>
              </w:rPr>
              <w:t>）</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6FC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rPr>
            </w:pPr>
            <w:r>
              <w:rPr>
                <w:rFonts w:hint="eastAsia" w:ascii="Times New Roman" w:hAnsi="Times New Roman" w:eastAsia="宋体" w:cs="Times New Roman"/>
                <w:color w:val="auto"/>
                <w:kern w:val="0"/>
                <w:sz w:val="21"/>
                <w:szCs w:val="21"/>
                <w:lang w:val="en-US" w:eastAsia="zh-CN" w:bidi="ar"/>
              </w:rPr>
              <w:t>压占</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09F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压占面积</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E9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&lt;0.2hm</w:t>
            </w:r>
            <w:r>
              <w:rPr>
                <w:rFonts w:hint="default" w:ascii="Times New Roman" w:hAnsi="Times New Roman" w:eastAsia="宋体" w:cs="Times New Roman"/>
                <w:color w:val="auto"/>
                <w:kern w:val="0"/>
                <w:sz w:val="21"/>
                <w:szCs w:val="21"/>
                <w:vertAlign w:val="superscript"/>
                <w:lang w:val="en-US" w:eastAsia="zh-CN" w:bidi="ar"/>
              </w:rPr>
              <w:t>2</w:t>
            </w:r>
          </w:p>
        </w:tc>
        <w:tc>
          <w:tcPr>
            <w:tcW w:w="54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5F26C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rPr>
            </w:pPr>
            <w:r>
              <w:rPr>
                <w:rFonts w:hint="default" w:ascii="Times New Roman" w:hAnsi="Times New Roman" w:eastAsia="宋体" w:cs="Times New Roman"/>
                <w:color w:val="auto"/>
                <w:kern w:val="0"/>
                <w:sz w:val="21"/>
                <w:szCs w:val="21"/>
                <w:lang w:val="en-US" w:eastAsia="zh-CN" w:bidi="ar"/>
              </w:rPr>
              <w:t>1.3</w:t>
            </w:r>
          </w:p>
        </w:tc>
        <w:tc>
          <w:tcPr>
            <w:tcW w:w="66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D9AB0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rPr>
            </w:pPr>
            <w:r>
              <w:rPr>
                <w:rFonts w:hint="default" w:ascii="Times New Roman" w:hAnsi="Times New Roman" w:eastAsia="宋体" w:cs="Times New Roman"/>
                <w:color w:val="auto"/>
                <w:kern w:val="0"/>
                <w:sz w:val="21"/>
                <w:szCs w:val="21"/>
                <w:lang w:val="en-US" w:eastAsia="zh-CN" w:bidi="ar"/>
              </w:rPr>
              <w:t>中度损毁</w:t>
            </w:r>
          </w:p>
        </w:tc>
      </w:tr>
      <w:tr w14:paraId="3F00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885A1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89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AA7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边坡坡度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4E8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25°-35°</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16CD0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5A8991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7E91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55771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F8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C3A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排土（渣）高度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893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&lt;15m</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AB9EC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EA88C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10EA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A84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16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F58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复垦难度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FB6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易</w:t>
            </w:r>
          </w:p>
        </w:tc>
        <w:tc>
          <w:tcPr>
            <w:tcW w:w="549"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174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65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bl>
    <w:p w14:paraId="61E0A23B">
      <w:pPr>
        <w:pStyle w:val="17"/>
        <w:keepNext w:val="0"/>
        <w:keepLines w:val="0"/>
        <w:pageBreakBefore w:val="0"/>
        <w:widowControl w:val="0"/>
        <w:suppressLineNumbers w:val="0"/>
        <w:tabs>
          <w:tab w:val="left" w:pos="6120"/>
        </w:tabs>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4"/>
          <w:szCs w:val="24"/>
          <w:lang w:val="en-US" w:eastAsia="zh-CN" w:bidi="ar"/>
        </w:rPr>
        <w:t>综上：依据《方案》及已完成的矿山地质环境治理工程，矿区道路对土地损毁程度为中度损毁；矿区其他区域对土地损毁程度为轻度损毁（见表4-5）。</w:t>
      </w:r>
    </w:p>
    <w:p w14:paraId="0267AAB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宋体" w:cs="Times New Roman"/>
          <w:b/>
          <w:bCs/>
          <w:color w:val="auto"/>
          <w:kern w:val="2"/>
          <w:sz w:val="21"/>
          <w:szCs w:val="21"/>
          <w:lang w:val="en-US" w:eastAsia="zh-CN" w:bidi="ar-SA"/>
        </w:rPr>
        <w:t>表 4-</w:t>
      </w:r>
      <w:r>
        <w:rPr>
          <w:rFonts w:hint="eastAsia" w:cs="Times New Roman"/>
          <w:b/>
          <w:bCs/>
          <w:color w:val="auto"/>
          <w:kern w:val="2"/>
          <w:sz w:val="21"/>
          <w:szCs w:val="21"/>
          <w:lang w:val="en-US" w:eastAsia="zh-CN" w:bidi="ar-SA"/>
        </w:rPr>
        <w:t>5</w:t>
      </w:r>
      <w:r>
        <w:rPr>
          <w:rFonts w:hint="default" w:ascii="Times New Roman" w:hAnsi="Times New Roman" w:eastAsia="宋体" w:cs="Times New Roman"/>
          <w:b/>
          <w:bCs/>
          <w:color w:val="auto"/>
          <w:kern w:val="2"/>
          <w:sz w:val="21"/>
          <w:szCs w:val="21"/>
          <w:lang w:val="en-US" w:eastAsia="zh-CN" w:bidi="ar-SA"/>
        </w:rPr>
        <w:t xml:space="preserve">   矿山地质环境问题说明表</w:t>
      </w:r>
    </w:p>
    <w:tbl>
      <w:tblPr>
        <w:tblStyle w:val="19"/>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025"/>
        <w:gridCol w:w="1125"/>
        <w:gridCol w:w="875"/>
        <w:gridCol w:w="2698"/>
        <w:gridCol w:w="1160"/>
      </w:tblGrid>
      <w:tr w14:paraId="2BA5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Merge w:val="restart"/>
            <w:vAlign w:val="center"/>
          </w:tcPr>
          <w:p w14:paraId="2D0403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名称</w:t>
            </w:r>
          </w:p>
        </w:tc>
        <w:tc>
          <w:tcPr>
            <w:tcW w:w="1025" w:type="dxa"/>
            <w:vMerge w:val="restart"/>
            <w:vAlign w:val="center"/>
          </w:tcPr>
          <w:p w14:paraId="47C57B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面积</w:t>
            </w:r>
          </w:p>
          <w:p w14:paraId="38354D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（m</w:t>
            </w:r>
            <w:r>
              <w:rPr>
                <w:rFonts w:hint="default" w:ascii="Times New Roman" w:hAnsi="Times New Roman" w:eastAsia="宋体" w:cs="Times New Roman"/>
                <w:i w:val="0"/>
                <w:color w:val="auto"/>
                <w:kern w:val="0"/>
                <w:sz w:val="21"/>
                <w:szCs w:val="21"/>
                <w:u w:val="none"/>
                <w:vertAlign w:val="superscript"/>
                <w:lang w:val="en-US" w:eastAsia="zh-CN" w:bidi="ar"/>
              </w:rPr>
              <w:t>2</w:t>
            </w:r>
            <w:r>
              <w:rPr>
                <w:rFonts w:hint="default" w:ascii="Times New Roman" w:hAnsi="Times New Roman" w:eastAsia="宋体" w:cs="Times New Roman"/>
                <w:i w:val="0"/>
                <w:color w:val="auto"/>
                <w:kern w:val="0"/>
                <w:sz w:val="21"/>
                <w:szCs w:val="21"/>
                <w:u w:val="none"/>
                <w:lang w:val="en-US" w:eastAsia="zh-CN" w:bidi="ar"/>
              </w:rPr>
              <w:t>）</w:t>
            </w:r>
          </w:p>
        </w:tc>
        <w:tc>
          <w:tcPr>
            <w:tcW w:w="5858" w:type="dxa"/>
            <w:gridSpan w:val="4"/>
            <w:vAlign w:val="center"/>
          </w:tcPr>
          <w:p w14:paraId="679246DF">
            <w:pPr>
              <w:pStyle w:val="17"/>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矿山地质环境问题</w:t>
            </w:r>
          </w:p>
        </w:tc>
      </w:tr>
      <w:tr w14:paraId="4301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Merge w:val="continue"/>
            <w:vAlign w:val="center"/>
          </w:tcPr>
          <w:p w14:paraId="4F7D1B03">
            <w:pPr>
              <w:pStyle w:val="17"/>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vertAlign w:val="baseline"/>
                <w:lang w:val="en-US" w:eastAsia="zh-CN"/>
              </w:rPr>
            </w:pPr>
          </w:p>
        </w:tc>
        <w:tc>
          <w:tcPr>
            <w:tcW w:w="1025" w:type="dxa"/>
            <w:vMerge w:val="continue"/>
            <w:vAlign w:val="center"/>
          </w:tcPr>
          <w:p w14:paraId="4602EE9A">
            <w:pPr>
              <w:pStyle w:val="17"/>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vertAlign w:val="baseline"/>
                <w:lang w:val="en-US" w:eastAsia="zh-CN"/>
              </w:rPr>
            </w:pPr>
          </w:p>
        </w:tc>
        <w:tc>
          <w:tcPr>
            <w:tcW w:w="1125" w:type="dxa"/>
            <w:vAlign w:val="center"/>
          </w:tcPr>
          <w:p w14:paraId="4C13D5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地质灾害</w:t>
            </w:r>
          </w:p>
        </w:tc>
        <w:tc>
          <w:tcPr>
            <w:tcW w:w="875" w:type="dxa"/>
            <w:vAlign w:val="center"/>
          </w:tcPr>
          <w:p w14:paraId="0CDC4D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含水层</w:t>
            </w:r>
          </w:p>
        </w:tc>
        <w:tc>
          <w:tcPr>
            <w:tcW w:w="2698" w:type="dxa"/>
            <w:vAlign w:val="center"/>
          </w:tcPr>
          <w:p w14:paraId="75336E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地形地貌景观</w:t>
            </w:r>
          </w:p>
        </w:tc>
        <w:tc>
          <w:tcPr>
            <w:tcW w:w="1160" w:type="dxa"/>
            <w:vAlign w:val="center"/>
          </w:tcPr>
          <w:p w14:paraId="46C8B5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土地资源</w:t>
            </w:r>
          </w:p>
        </w:tc>
      </w:tr>
      <w:tr w14:paraId="623B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5D9BD4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矿区道路</w:t>
            </w:r>
          </w:p>
          <w:p w14:paraId="534D9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下歪脖子井采区</w:t>
            </w:r>
            <w:r>
              <w:rPr>
                <w:rFonts w:hint="eastAsia" w:ascii="Times New Roman" w:hAnsi="Times New Roman" w:eastAsia="宋体" w:cs="Times New Roman"/>
                <w:color w:val="auto"/>
                <w:kern w:val="0"/>
                <w:sz w:val="21"/>
                <w:szCs w:val="21"/>
                <w:lang w:val="en-US" w:eastAsia="zh-CN" w:bidi="ar"/>
              </w:rPr>
              <w:t>）</w:t>
            </w:r>
          </w:p>
        </w:tc>
        <w:tc>
          <w:tcPr>
            <w:tcW w:w="1025" w:type="dxa"/>
            <w:vAlign w:val="center"/>
          </w:tcPr>
          <w:p w14:paraId="0ABD80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3286</w:t>
            </w:r>
          </w:p>
        </w:tc>
        <w:tc>
          <w:tcPr>
            <w:tcW w:w="1125" w:type="dxa"/>
            <w:vAlign w:val="center"/>
          </w:tcPr>
          <w:p w14:paraId="6101D2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3362C6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5683A2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sz w:val="21"/>
                <w:szCs w:val="21"/>
              </w:rPr>
              <w:t>切坡道路长约650m，高度0.5m-1m，坡角30°-45°。</w:t>
            </w:r>
          </w:p>
        </w:tc>
        <w:tc>
          <w:tcPr>
            <w:tcW w:w="1160" w:type="dxa"/>
            <w:vAlign w:val="center"/>
          </w:tcPr>
          <w:p w14:paraId="5256C2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损毁</w:t>
            </w:r>
            <w:r>
              <w:rPr>
                <w:rFonts w:hint="eastAsia" w:ascii="Times New Roman" w:hAnsi="Times New Roman" w:eastAsia="宋体" w:cs="Times New Roman"/>
                <w:i w:val="0"/>
                <w:color w:val="auto"/>
                <w:kern w:val="0"/>
                <w:sz w:val="21"/>
                <w:szCs w:val="21"/>
                <w:u w:val="none"/>
                <w:lang w:val="en-US" w:eastAsia="zh-CN" w:bidi="ar"/>
              </w:rPr>
              <w:t>旱地</w:t>
            </w:r>
            <w:r>
              <w:rPr>
                <w:rFonts w:hint="default" w:ascii="Times New Roman" w:hAnsi="Times New Roman" w:eastAsia="宋体" w:cs="Times New Roman"/>
                <w:i w:val="0"/>
                <w:color w:val="auto"/>
                <w:kern w:val="0"/>
                <w:sz w:val="21"/>
                <w:szCs w:val="21"/>
                <w:u w:val="none"/>
                <w:lang w:val="en-US" w:eastAsia="zh-CN" w:bidi="ar"/>
              </w:rPr>
              <w:t>与其它草地</w:t>
            </w:r>
          </w:p>
        </w:tc>
      </w:tr>
      <w:tr w14:paraId="28C9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1407AC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钻机平</w:t>
            </w:r>
            <w:r>
              <w:rPr>
                <w:rFonts w:hint="eastAsia" w:ascii="宋体" w:hAnsi="宋体" w:eastAsia="宋体" w:cs="宋体"/>
                <w:color w:val="auto"/>
                <w:kern w:val="0"/>
                <w:sz w:val="21"/>
                <w:szCs w:val="21"/>
                <w:lang w:val="en-US" w:eastAsia="zh-CN" w:bidi="ar"/>
              </w:rPr>
              <w:t>台</w:t>
            </w:r>
            <w:r>
              <w:rPr>
                <w:rFonts w:hint="eastAsia" w:ascii="宋体" w:hAnsi="宋体" w:eastAsia="宋体" w:cs="宋体"/>
                <w:color w:val="auto"/>
                <w:kern w:val="0"/>
                <w:sz w:val="21"/>
                <w:szCs w:val="21"/>
                <w:lang w:bidi="ar"/>
              </w:rPr>
              <w:t>（ZJPT1~ZJPT5）</w:t>
            </w:r>
          </w:p>
          <w:p w14:paraId="3A70B387">
            <w:pPr>
              <w:pStyle w:val="2"/>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羊草沟采区</w:t>
            </w:r>
            <w:r>
              <w:rPr>
                <w:rFonts w:hint="eastAsia" w:ascii="Times New Roman" w:hAnsi="Times New Roman" w:eastAsia="宋体" w:cs="Times New Roman"/>
                <w:color w:val="auto"/>
                <w:kern w:val="0"/>
                <w:sz w:val="21"/>
                <w:szCs w:val="21"/>
                <w:lang w:val="en-US" w:eastAsia="zh-CN" w:bidi="ar"/>
              </w:rPr>
              <w:t>）</w:t>
            </w:r>
          </w:p>
        </w:tc>
        <w:tc>
          <w:tcPr>
            <w:tcW w:w="1025" w:type="dxa"/>
            <w:vAlign w:val="center"/>
          </w:tcPr>
          <w:p w14:paraId="03BBFB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165</w:t>
            </w:r>
          </w:p>
        </w:tc>
        <w:tc>
          <w:tcPr>
            <w:tcW w:w="1125" w:type="dxa"/>
            <w:vAlign w:val="center"/>
          </w:tcPr>
          <w:p w14:paraId="07FA46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31C2B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56CCC4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color w:val="auto"/>
                <w:sz w:val="21"/>
                <w:szCs w:val="21"/>
              </w:rPr>
              <w:t>场地长8.7～12.8m，宽3.8～5.9m。</w:t>
            </w:r>
          </w:p>
        </w:tc>
        <w:tc>
          <w:tcPr>
            <w:tcW w:w="1160" w:type="dxa"/>
            <w:vAlign w:val="center"/>
          </w:tcPr>
          <w:p w14:paraId="4AB86C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损毁</w:t>
            </w:r>
            <w:r>
              <w:rPr>
                <w:rFonts w:hint="eastAsia" w:ascii="Times New Roman" w:hAnsi="Times New Roman" w:eastAsia="宋体" w:cs="Times New Roman"/>
                <w:i w:val="0"/>
                <w:color w:val="auto"/>
                <w:kern w:val="0"/>
                <w:sz w:val="21"/>
                <w:szCs w:val="21"/>
                <w:u w:val="none"/>
                <w:lang w:val="en-US" w:eastAsia="zh-CN" w:bidi="ar"/>
              </w:rPr>
              <w:t>天然牧草地</w:t>
            </w:r>
            <w:r>
              <w:rPr>
                <w:rFonts w:hint="default" w:ascii="Times New Roman" w:hAnsi="Times New Roman" w:eastAsia="宋体" w:cs="Times New Roman"/>
                <w:i w:val="0"/>
                <w:color w:val="auto"/>
                <w:kern w:val="0"/>
                <w:sz w:val="21"/>
                <w:szCs w:val="21"/>
                <w:u w:val="none"/>
                <w:lang w:val="en-US" w:eastAsia="zh-CN" w:bidi="ar"/>
              </w:rPr>
              <w:t>与其它草地</w:t>
            </w:r>
          </w:p>
        </w:tc>
      </w:tr>
      <w:tr w14:paraId="2E10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59E2CE20">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探槽（TC1～TC4）</w:t>
            </w:r>
          </w:p>
          <w:p w14:paraId="1EE996C0">
            <w:pPr>
              <w:pStyle w:val="2"/>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羊草沟采区</w:t>
            </w:r>
            <w:r>
              <w:rPr>
                <w:rFonts w:hint="eastAsia" w:ascii="Times New Roman" w:hAnsi="Times New Roman" w:eastAsia="宋体" w:cs="Times New Roman"/>
                <w:color w:val="auto"/>
                <w:kern w:val="0"/>
                <w:sz w:val="21"/>
                <w:szCs w:val="21"/>
                <w:lang w:val="en-US" w:eastAsia="zh-CN" w:bidi="ar"/>
              </w:rPr>
              <w:t>）</w:t>
            </w:r>
          </w:p>
        </w:tc>
        <w:tc>
          <w:tcPr>
            <w:tcW w:w="1025" w:type="dxa"/>
            <w:vAlign w:val="center"/>
          </w:tcPr>
          <w:p w14:paraId="739715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812</w:t>
            </w:r>
          </w:p>
        </w:tc>
        <w:tc>
          <w:tcPr>
            <w:tcW w:w="1125" w:type="dxa"/>
            <w:vAlign w:val="center"/>
          </w:tcPr>
          <w:p w14:paraId="5407AB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3AE482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54AD0FE7">
            <w:pPr>
              <w:widowControl/>
              <w:wordWrap/>
              <w:spacing w:line="240" w:lineRule="auto"/>
              <w:ind w:firstLine="0" w:firstLineChars="0"/>
              <w:jc w:val="left"/>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color w:val="auto"/>
                <w:sz w:val="21"/>
                <w:szCs w:val="21"/>
              </w:rPr>
              <w:t>长44～95m，宽2.2～2.5m，深0.3～0.6m，挖出碎石土堆高均小于0.5m。</w:t>
            </w:r>
          </w:p>
        </w:tc>
        <w:tc>
          <w:tcPr>
            <w:tcW w:w="1160" w:type="dxa"/>
            <w:vAlign w:val="center"/>
          </w:tcPr>
          <w:p w14:paraId="031BAA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损毁</w:t>
            </w:r>
            <w:r>
              <w:rPr>
                <w:rFonts w:hint="eastAsia" w:ascii="Times New Roman" w:hAnsi="Times New Roman" w:eastAsia="宋体" w:cs="Times New Roman"/>
                <w:i w:val="0"/>
                <w:color w:val="auto"/>
                <w:kern w:val="0"/>
                <w:sz w:val="21"/>
                <w:szCs w:val="21"/>
                <w:u w:val="none"/>
                <w:lang w:val="en-US" w:eastAsia="zh-CN" w:bidi="ar"/>
              </w:rPr>
              <w:t>天然牧草地</w:t>
            </w:r>
            <w:r>
              <w:rPr>
                <w:rFonts w:hint="default" w:ascii="Times New Roman" w:hAnsi="Times New Roman" w:eastAsia="宋体" w:cs="Times New Roman"/>
                <w:i w:val="0"/>
                <w:color w:val="auto"/>
                <w:kern w:val="0"/>
                <w:sz w:val="21"/>
                <w:szCs w:val="21"/>
                <w:u w:val="none"/>
                <w:lang w:val="en-US" w:eastAsia="zh-CN" w:bidi="ar"/>
              </w:rPr>
              <w:t>与其它草地</w:t>
            </w:r>
          </w:p>
        </w:tc>
      </w:tr>
      <w:tr w14:paraId="645A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473D25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矿区道路</w:t>
            </w:r>
          </w:p>
          <w:p w14:paraId="00183E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羊草沟采区</w:t>
            </w:r>
            <w:r>
              <w:rPr>
                <w:rFonts w:hint="eastAsia" w:ascii="Times New Roman" w:hAnsi="Times New Roman" w:eastAsia="宋体" w:cs="Times New Roman"/>
                <w:color w:val="auto"/>
                <w:kern w:val="0"/>
                <w:sz w:val="21"/>
                <w:szCs w:val="21"/>
                <w:lang w:val="en-US" w:eastAsia="zh-CN" w:bidi="ar"/>
              </w:rPr>
              <w:t>）</w:t>
            </w:r>
          </w:p>
        </w:tc>
        <w:tc>
          <w:tcPr>
            <w:tcW w:w="1025" w:type="dxa"/>
            <w:vAlign w:val="center"/>
          </w:tcPr>
          <w:p w14:paraId="645EC3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3122</w:t>
            </w:r>
          </w:p>
        </w:tc>
        <w:tc>
          <w:tcPr>
            <w:tcW w:w="1125" w:type="dxa"/>
            <w:vAlign w:val="center"/>
          </w:tcPr>
          <w:p w14:paraId="1DADAA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715460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7D9BB15D">
            <w:pPr>
              <w:widowControl/>
              <w:wordWrap/>
              <w:spacing w:line="240" w:lineRule="auto"/>
              <w:ind w:firstLine="0" w:firstLineChars="0"/>
              <w:jc w:val="left"/>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color w:val="auto"/>
                <w:sz w:val="21"/>
                <w:szCs w:val="21"/>
              </w:rPr>
              <w:t>道路总长1017m，路面平均宽2m-3m，切坡道路长约595m，高度0.5m-1m，坡角30°-45°。</w:t>
            </w:r>
          </w:p>
        </w:tc>
        <w:tc>
          <w:tcPr>
            <w:tcW w:w="1160" w:type="dxa"/>
            <w:vAlign w:val="center"/>
          </w:tcPr>
          <w:p w14:paraId="55D4DB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损毁</w:t>
            </w:r>
            <w:r>
              <w:rPr>
                <w:rFonts w:hint="eastAsia" w:ascii="Times New Roman" w:hAnsi="Times New Roman" w:eastAsia="宋体" w:cs="Times New Roman"/>
                <w:i w:val="0"/>
                <w:color w:val="auto"/>
                <w:kern w:val="0"/>
                <w:sz w:val="21"/>
                <w:szCs w:val="21"/>
                <w:u w:val="none"/>
                <w:lang w:val="en-US" w:eastAsia="zh-CN" w:bidi="ar"/>
              </w:rPr>
              <w:t>天然牧草地</w:t>
            </w:r>
            <w:r>
              <w:rPr>
                <w:rFonts w:hint="default" w:ascii="Times New Roman" w:hAnsi="Times New Roman" w:eastAsia="宋体" w:cs="Times New Roman"/>
                <w:i w:val="0"/>
                <w:color w:val="auto"/>
                <w:kern w:val="0"/>
                <w:sz w:val="21"/>
                <w:szCs w:val="21"/>
                <w:u w:val="none"/>
                <w:lang w:val="en-US" w:eastAsia="zh-CN" w:bidi="ar"/>
              </w:rPr>
              <w:t>与其它草地</w:t>
            </w:r>
          </w:p>
        </w:tc>
      </w:tr>
      <w:tr w14:paraId="09A9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7E0609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其它</w:t>
            </w:r>
          </w:p>
          <w:p w14:paraId="74654D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区域</w:t>
            </w:r>
          </w:p>
        </w:tc>
        <w:tc>
          <w:tcPr>
            <w:tcW w:w="1025" w:type="dxa"/>
            <w:vAlign w:val="center"/>
          </w:tcPr>
          <w:p w14:paraId="4F66B7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color w:val="auto"/>
                <w:kern w:val="0"/>
                <w:sz w:val="21"/>
                <w:szCs w:val="21"/>
                <w:lang w:val="en-US" w:eastAsia="zh-CN" w:bidi="ar"/>
              </w:rPr>
              <w:t>4154727</w:t>
            </w:r>
          </w:p>
        </w:tc>
        <w:tc>
          <w:tcPr>
            <w:tcW w:w="1125" w:type="dxa"/>
            <w:vAlign w:val="center"/>
          </w:tcPr>
          <w:p w14:paraId="1AA79A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671662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50BED1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矿业活动极少，该区其它地方基本保持了原生的地形地貌状态。</w:t>
            </w:r>
          </w:p>
        </w:tc>
        <w:tc>
          <w:tcPr>
            <w:tcW w:w="1160" w:type="dxa"/>
            <w:vAlign w:val="center"/>
          </w:tcPr>
          <w:p w14:paraId="058D8D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无影响</w:t>
            </w:r>
          </w:p>
        </w:tc>
      </w:tr>
      <w:tr w14:paraId="0D19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043B62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合计</w:t>
            </w:r>
          </w:p>
        </w:tc>
        <w:tc>
          <w:tcPr>
            <w:tcW w:w="1025" w:type="dxa"/>
            <w:vAlign w:val="center"/>
          </w:tcPr>
          <w:p w14:paraId="05ED93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4162112</w:t>
            </w:r>
          </w:p>
        </w:tc>
        <w:tc>
          <w:tcPr>
            <w:tcW w:w="1125" w:type="dxa"/>
            <w:vAlign w:val="center"/>
          </w:tcPr>
          <w:p w14:paraId="426A2C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875" w:type="dxa"/>
            <w:vAlign w:val="center"/>
          </w:tcPr>
          <w:p w14:paraId="4ED55C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2698" w:type="dxa"/>
            <w:vAlign w:val="center"/>
          </w:tcPr>
          <w:p w14:paraId="5B73D2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1160" w:type="dxa"/>
            <w:vAlign w:val="center"/>
          </w:tcPr>
          <w:p w14:paraId="0FCC5D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r>
      <w:bookmarkEnd w:id="58"/>
    </w:tbl>
    <w:p w14:paraId="35455FD9">
      <w:pPr>
        <w:keepNext w:val="0"/>
        <w:keepLines w:val="0"/>
        <w:pageBreakBefore w:val="0"/>
        <w:numPr>
          <w:ilvl w:val="0"/>
          <w:numId w:val="0"/>
        </w:numPr>
        <w:kinsoku/>
        <w:overflowPunct/>
        <w:topLinePunct w:val="0"/>
        <w:autoSpaceDE/>
        <w:autoSpaceDN/>
        <w:bidi w:val="0"/>
        <w:spacing w:line="360" w:lineRule="auto"/>
        <w:ind w:leftChars="0"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59" w:name="_Toc605"/>
      <w:bookmarkStart w:id="60" w:name="_Toc21536"/>
      <w:bookmarkStart w:id="61" w:name="_Toc18616"/>
      <w:bookmarkStart w:id="62" w:name="_Toc28798"/>
      <w:bookmarkStart w:id="63" w:name="_Toc23751"/>
      <w:bookmarkStart w:id="64" w:name="_Toc4463"/>
      <w:bookmarkStart w:id="65" w:name="_Toc12026"/>
      <w:bookmarkStart w:id="66" w:name="_Toc31911"/>
      <w:bookmarkStart w:id="67" w:name="_Toc16355"/>
      <w:bookmarkStart w:id="68" w:name="_Toc6690"/>
      <w:bookmarkStart w:id="69" w:name="_Toc9457"/>
      <w:bookmarkStart w:id="70" w:name="_Toc5050"/>
      <w:r>
        <w:rPr>
          <w:rFonts w:hint="default" w:ascii="Times New Roman" w:hAnsi="Times New Roman" w:eastAsia="宋体" w:cs="Times New Roman"/>
          <w:b/>
          <w:bCs/>
          <w:color w:val="auto"/>
          <w:sz w:val="24"/>
          <w:szCs w:val="24"/>
          <w:lang w:val="en-US" w:eastAsia="zh-CN"/>
        </w:rPr>
        <w:t>（二）矿山地质环境问题预测</w:t>
      </w:r>
      <w:bookmarkEnd w:id="59"/>
      <w:bookmarkEnd w:id="60"/>
      <w:bookmarkEnd w:id="61"/>
      <w:bookmarkEnd w:id="62"/>
      <w:bookmarkEnd w:id="63"/>
      <w:bookmarkEnd w:id="64"/>
    </w:p>
    <w:p w14:paraId="0ED6D31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根据矿山开采计划，本年度矿山拟继续办理采矿许可证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无开采与基建计划。</w:t>
      </w:r>
      <w:r>
        <w:rPr>
          <w:rFonts w:hint="default" w:ascii="Times New Roman" w:hAnsi="Times New Roman" w:eastAsia="宋体" w:cs="Times New Roman"/>
          <w:color w:val="auto"/>
          <w:sz w:val="24"/>
          <w:szCs w:val="24"/>
          <w:lang w:eastAsia="zh-CN"/>
        </w:rPr>
        <w:t>预测</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年度矿山地质环境问题基本与现状</w:t>
      </w:r>
      <w:r>
        <w:rPr>
          <w:rFonts w:hint="default" w:ascii="Times New Roman" w:hAnsi="Times New Roman" w:eastAsia="宋体" w:cs="Times New Roman"/>
          <w:color w:val="auto"/>
          <w:sz w:val="24"/>
          <w:szCs w:val="24"/>
          <w:lang w:val="en-US" w:eastAsia="zh-CN"/>
        </w:rPr>
        <w:t>保持</w:t>
      </w:r>
      <w:r>
        <w:rPr>
          <w:rFonts w:hint="default" w:ascii="Times New Roman" w:hAnsi="Times New Roman" w:eastAsia="宋体" w:cs="Times New Roman"/>
          <w:color w:val="auto"/>
          <w:sz w:val="24"/>
          <w:szCs w:val="24"/>
          <w:lang w:eastAsia="zh-CN"/>
        </w:rPr>
        <w:t>一致（</w:t>
      </w:r>
      <w:r>
        <w:rPr>
          <w:rFonts w:hint="default" w:ascii="Times New Roman" w:hAnsi="Times New Roman" w:eastAsia="宋体" w:cs="Times New Roman"/>
          <w:color w:val="auto"/>
          <w:sz w:val="24"/>
          <w:szCs w:val="24"/>
          <w:lang w:val="en-US" w:eastAsia="zh-CN"/>
        </w:rPr>
        <w:t>见表4-6</w:t>
      </w:r>
      <w:r>
        <w:rPr>
          <w:rFonts w:hint="default" w:ascii="Times New Roman" w:hAnsi="Times New Roman" w:eastAsia="宋体" w:cs="Times New Roman"/>
          <w:color w:val="auto"/>
          <w:sz w:val="24"/>
          <w:szCs w:val="24"/>
          <w:lang w:eastAsia="zh-CN"/>
        </w:rPr>
        <w:t>）。</w:t>
      </w:r>
    </w:p>
    <w:p w14:paraId="6C1B91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 4-6   矿山地质环境问题预测说明表</w:t>
      </w:r>
    </w:p>
    <w:tbl>
      <w:tblPr>
        <w:tblStyle w:val="19"/>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025"/>
        <w:gridCol w:w="1125"/>
        <w:gridCol w:w="875"/>
        <w:gridCol w:w="2698"/>
        <w:gridCol w:w="1160"/>
      </w:tblGrid>
      <w:tr w14:paraId="64D9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Merge w:val="restart"/>
            <w:vAlign w:val="center"/>
          </w:tcPr>
          <w:p w14:paraId="749082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名称</w:t>
            </w:r>
          </w:p>
        </w:tc>
        <w:tc>
          <w:tcPr>
            <w:tcW w:w="1025" w:type="dxa"/>
            <w:vMerge w:val="restart"/>
            <w:vAlign w:val="center"/>
          </w:tcPr>
          <w:p w14:paraId="4D4D47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面积</w:t>
            </w:r>
          </w:p>
          <w:p w14:paraId="65529E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（m</w:t>
            </w:r>
            <w:r>
              <w:rPr>
                <w:rFonts w:hint="default" w:ascii="Times New Roman" w:hAnsi="Times New Roman" w:eastAsia="宋体" w:cs="Times New Roman"/>
                <w:i w:val="0"/>
                <w:color w:val="auto"/>
                <w:kern w:val="0"/>
                <w:sz w:val="21"/>
                <w:szCs w:val="21"/>
                <w:u w:val="none"/>
                <w:vertAlign w:val="superscript"/>
                <w:lang w:val="en-US" w:eastAsia="zh-CN" w:bidi="ar"/>
              </w:rPr>
              <w:t>2</w:t>
            </w:r>
            <w:r>
              <w:rPr>
                <w:rFonts w:hint="default" w:ascii="Times New Roman" w:hAnsi="Times New Roman" w:eastAsia="宋体" w:cs="Times New Roman"/>
                <w:i w:val="0"/>
                <w:color w:val="auto"/>
                <w:kern w:val="0"/>
                <w:sz w:val="21"/>
                <w:szCs w:val="21"/>
                <w:u w:val="none"/>
                <w:lang w:val="en-US" w:eastAsia="zh-CN" w:bidi="ar"/>
              </w:rPr>
              <w:t>）</w:t>
            </w:r>
          </w:p>
        </w:tc>
        <w:tc>
          <w:tcPr>
            <w:tcW w:w="5858" w:type="dxa"/>
            <w:gridSpan w:val="4"/>
            <w:vAlign w:val="center"/>
          </w:tcPr>
          <w:p w14:paraId="4837B537">
            <w:pPr>
              <w:pStyle w:val="17"/>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矿山地质环境问题</w:t>
            </w:r>
          </w:p>
        </w:tc>
      </w:tr>
      <w:tr w14:paraId="3C63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Merge w:val="continue"/>
            <w:vAlign w:val="center"/>
          </w:tcPr>
          <w:p w14:paraId="1D0CA607">
            <w:pPr>
              <w:pStyle w:val="17"/>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vertAlign w:val="baseline"/>
                <w:lang w:val="en-US" w:eastAsia="zh-CN"/>
              </w:rPr>
            </w:pPr>
          </w:p>
        </w:tc>
        <w:tc>
          <w:tcPr>
            <w:tcW w:w="1025" w:type="dxa"/>
            <w:vMerge w:val="continue"/>
            <w:vAlign w:val="center"/>
          </w:tcPr>
          <w:p w14:paraId="6311E0CD">
            <w:pPr>
              <w:pStyle w:val="17"/>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vertAlign w:val="baseline"/>
                <w:lang w:val="en-US" w:eastAsia="zh-CN"/>
              </w:rPr>
            </w:pPr>
          </w:p>
        </w:tc>
        <w:tc>
          <w:tcPr>
            <w:tcW w:w="1125" w:type="dxa"/>
            <w:vAlign w:val="center"/>
          </w:tcPr>
          <w:p w14:paraId="03D772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地质灾害</w:t>
            </w:r>
          </w:p>
        </w:tc>
        <w:tc>
          <w:tcPr>
            <w:tcW w:w="875" w:type="dxa"/>
            <w:vAlign w:val="center"/>
          </w:tcPr>
          <w:p w14:paraId="4B7E4A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含水层</w:t>
            </w:r>
          </w:p>
        </w:tc>
        <w:tc>
          <w:tcPr>
            <w:tcW w:w="2698" w:type="dxa"/>
            <w:vAlign w:val="center"/>
          </w:tcPr>
          <w:p w14:paraId="3A53F8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地形地貌景观</w:t>
            </w:r>
          </w:p>
        </w:tc>
        <w:tc>
          <w:tcPr>
            <w:tcW w:w="1160" w:type="dxa"/>
            <w:vAlign w:val="center"/>
          </w:tcPr>
          <w:p w14:paraId="331458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土地资源</w:t>
            </w:r>
          </w:p>
        </w:tc>
      </w:tr>
      <w:tr w14:paraId="4735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09A8EE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矿区道路</w:t>
            </w:r>
          </w:p>
          <w:p w14:paraId="5D8FF1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下歪脖子井采区</w:t>
            </w:r>
            <w:r>
              <w:rPr>
                <w:rFonts w:hint="eastAsia" w:ascii="Times New Roman" w:hAnsi="Times New Roman" w:eastAsia="宋体" w:cs="Times New Roman"/>
                <w:color w:val="auto"/>
                <w:kern w:val="0"/>
                <w:sz w:val="21"/>
                <w:szCs w:val="21"/>
                <w:lang w:val="en-US" w:eastAsia="zh-CN" w:bidi="ar"/>
              </w:rPr>
              <w:t>）</w:t>
            </w:r>
          </w:p>
        </w:tc>
        <w:tc>
          <w:tcPr>
            <w:tcW w:w="1025" w:type="dxa"/>
            <w:vAlign w:val="center"/>
          </w:tcPr>
          <w:p w14:paraId="68112C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3286</w:t>
            </w:r>
          </w:p>
        </w:tc>
        <w:tc>
          <w:tcPr>
            <w:tcW w:w="1125" w:type="dxa"/>
            <w:vAlign w:val="center"/>
          </w:tcPr>
          <w:p w14:paraId="582DA3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29AD85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5F0D91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sz w:val="21"/>
                <w:szCs w:val="21"/>
              </w:rPr>
              <w:t>切坡道路长约650m，高度0.5m-1m，坡角30°-45°。</w:t>
            </w:r>
          </w:p>
        </w:tc>
        <w:tc>
          <w:tcPr>
            <w:tcW w:w="1160" w:type="dxa"/>
            <w:vAlign w:val="center"/>
          </w:tcPr>
          <w:p w14:paraId="12385A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损毁</w:t>
            </w:r>
            <w:r>
              <w:rPr>
                <w:rFonts w:hint="eastAsia" w:ascii="Times New Roman" w:hAnsi="Times New Roman" w:eastAsia="宋体" w:cs="Times New Roman"/>
                <w:i w:val="0"/>
                <w:color w:val="auto"/>
                <w:kern w:val="0"/>
                <w:sz w:val="21"/>
                <w:szCs w:val="21"/>
                <w:u w:val="none"/>
                <w:lang w:val="en-US" w:eastAsia="zh-CN" w:bidi="ar"/>
              </w:rPr>
              <w:t>旱地</w:t>
            </w:r>
            <w:r>
              <w:rPr>
                <w:rFonts w:hint="default" w:ascii="Times New Roman" w:hAnsi="Times New Roman" w:eastAsia="宋体" w:cs="Times New Roman"/>
                <w:i w:val="0"/>
                <w:color w:val="auto"/>
                <w:kern w:val="0"/>
                <w:sz w:val="21"/>
                <w:szCs w:val="21"/>
                <w:u w:val="none"/>
                <w:lang w:val="en-US" w:eastAsia="zh-CN" w:bidi="ar"/>
              </w:rPr>
              <w:t>与其它草地</w:t>
            </w:r>
          </w:p>
        </w:tc>
      </w:tr>
      <w:tr w14:paraId="1960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19C2EA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钻机平</w:t>
            </w:r>
            <w:r>
              <w:rPr>
                <w:rFonts w:hint="eastAsia" w:ascii="宋体" w:hAnsi="宋体" w:eastAsia="宋体" w:cs="宋体"/>
                <w:color w:val="auto"/>
                <w:kern w:val="0"/>
                <w:sz w:val="21"/>
                <w:szCs w:val="21"/>
                <w:lang w:val="en-US" w:eastAsia="zh-CN" w:bidi="ar"/>
              </w:rPr>
              <w:t>台</w:t>
            </w:r>
            <w:r>
              <w:rPr>
                <w:rFonts w:hint="eastAsia" w:ascii="宋体" w:hAnsi="宋体" w:eastAsia="宋体" w:cs="宋体"/>
                <w:color w:val="auto"/>
                <w:kern w:val="0"/>
                <w:sz w:val="21"/>
                <w:szCs w:val="21"/>
                <w:lang w:bidi="ar"/>
              </w:rPr>
              <w:t>（ZJPT1~ZJPT5）</w:t>
            </w:r>
          </w:p>
          <w:p w14:paraId="3E536CDA">
            <w:pPr>
              <w:pStyle w:val="2"/>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羊草沟采区</w:t>
            </w:r>
            <w:r>
              <w:rPr>
                <w:rFonts w:hint="eastAsia" w:ascii="Times New Roman" w:hAnsi="Times New Roman" w:eastAsia="宋体" w:cs="Times New Roman"/>
                <w:color w:val="auto"/>
                <w:kern w:val="0"/>
                <w:sz w:val="21"/>
                <w:szCs w:val="21"/>
                <w:lang w:val="en-US" w:eastAsia="zh-CN" w:bidi="ar"/>
              </w:rPr>
              <w:t>）</w:t>
            </w:r>
          </w:p>
        </w:tc>
        <w:tc>
          <w:tcPr>
            <w:tcW w:w="1025" w:type="dxa"/>
            <w:vAlign w:val="center"/>
          </w:tcPr>
          <w:p w14:paraId="324958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165</w:t>
            </w:r>
          </w:p>
        </w:tc>
        <w:tc>
          <w:tcPr>
            <w:tcW w:w="1125" w:type="dxa"/>
            <w:vAlign w:val="center"/>
          </w:tcPr>
          <w:p w14:paraId="0C417A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3B029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60AF4E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color w:val="auto"/>
                <w:sz w:val="21"/>
                <w:szCs w:val="21"/>
              </w:rPr>
              <w:t>场地长8.7～12.8m，宽3.8～5.9m。</w:t>
            </w:r>
          </w:p>
        </w:tc>
        <w:tc>
          <w:tcPr>
            <w:tcW w:w="1160" w:type="dxa"/>
            <w:vAlign w:val="center"/>
          </w:tcPr>
          <w:p w14:paraId="7105D8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损毁</w:t>
            </w:r>
            <w:r>
              <w:rPr>
                <w:rFonts w:hint="eastAsia" w:ascii="Times New Roman" w:hAnsi="Times New Roman" w:eastAsia="宋体" w:cs="Times New Roman"/>
                <w:i w:val="0"/>
                <w:color w:val="auto"/>
                <w:kern w:val="0"/>
                <w:sz w:val="21"/>
                <w:szCs w:val="21"/>
                <w:u w:val="none"/>
                <w:lang w:val="en-US" w:eastAsia="zh-CN" w:bidi="ar"/>
              </w:rPr>
              <w:t>天然牧草地</w:t>
            </w:r>
            <w:r>
              <w:rPr>
                <w:rFonts w:hint="default" w:ascii="Times New Roman" w:hAnsi="Times New Roman" w:eastAsia="宋体" w:cs="Times New Roman"/>
                <w:i w:val="0"/>
                <w:color w:val="auto"/>
                <w:kern w:val="0"/>
                <w:sz w:val="21"/>
                <w:szCs w:val="21"/>
                <w:u w:val="none"/>
                <w:lang w:val="en-US" w:eastAsia="zh-CN" w:bidi="ar"/>
              </w:rPr>
              <w:t>与其它草地</w:t>
            </w:r>
          </w:p>
        </w:tc>
      </w:tr>
      <w:tr w14:paraId="53C9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033EAD39">
            <w:pPr>
              <w:widowControl/>
              <w:wordWrap/>
              <w:spacing w:line="24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探槽（TC1～TC4）</w:t>
            </w:r>
          </w:p>
          <w:p w14:paraId="1F8B45FC">
            <w:pPr>
              <w:pStyle w:val="2"/>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羊草沟采区</w:t>
            </w:r>
            <w:r>
              <w:rPr>
                <w:rFonts w:hint="eastAsia" w:ascii="Times New Roman" w:hAnsi="Times New Roman" w:eastAsia="宋体" w:cs="Times New Roman"/>
                <w:color w:val="auto"/>
                <w:kern w:val="0"/>
                <w:sz w:val="21"/>
                <w:szCs w:val="21"/>
                <w:lang w:val="en-US" w:eastAsia="zh-CN" w:bidi="ar"/>
              </w:rPr>
              <w:t>）</w:t>
            </w:r>
          </w:p>
        </w:tc>
        <w:tc>
          <w:tcPr>
            <w:tcW w:w="1025" w:type="dxa"/>
            <w:vAlign w:val="center"/>
          </w:tcPr>
          <w:p w14:paraId="2435B8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812</w:t>
            </w:r>
          </w:p>
        </w:tc>
        <w:tc>
          <w:tcPr>
            <w:tcW w:w="1125" w:type="dxa"/>
            <w:vAlign w:val="center"/>
          </w:tcPr>
          <w:p w14:paraId="5E8ED9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7252D2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4CCC15A9">
            <w:pPr>
              <w:widowControl/>
              <w:wordWrap/>
              <w:spacing w:line="240" w:lineRule="auto"/>
              <w:ind w:firstLine="0" w:firstLineChars="0"/>
              <w:jc w:val="left"/>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color w:val="auto"/>
                <w:sz w:val="21"/>
                <w:szCs w:val="21"/>
              </w:rPr>
              <w:t>长44～95m，宽2.2～2.5m，深0.3～0.6m，挖出碎石土堆高均小于0.5m。</w:t>
            </w:r>
          </w:p>
        </w:tc>
        <w:tc>
          <w:tcPr>
            <w:tcW w:w="1160" w:type="dxa"/>
            <w:vAlign w:val="center"/>
          </w:tcPr>
          <w:p w14:paraId="0B08F5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损毁</w:t>
            </w:r>
            <w:r>
              <w:rPr>
                <w:rFonts w:hint="eastAsia" w:ascii="Times New Roman" w:hAnsi="Times New Roman" w:eastAsia="宋体" w:cs="Times New Roman"/>
                <w:i w:val="0"/>
                <w:color w:val="auto"/>
                <w:kern w:val="0"/>
                <w:sz w:val="21"/>
                <w:szCs w:val="21"/>
                <w:u w:val="none"/>
                <w:lang w:val="en-US" w:eastAsia="zh-CN" w:bidi="ar"/>
              </w:rPr>
              <w:t>天然牧草地</w:t>
            </w:r>
            <w:r>
              <w:rPr>
                <w:rFonts w:hint="default" w:ascii="Times New Roman" w:hAnsi="Times New Roman" w:eastAsia="宋体" w:cs="Times New Roman"/>
                <w:i w:val="0"/>
                <w:color w:val="auto"/>
                <w:kern w:val="0"/>
                <w:sz w:val="21"/>
                <w:szCs w:val="21"/>
                <w:u w:val="none"/>
                <w:lang w:val="en-US" w:eastAsia="zh-CN" w:bidi="ar"/>
              </w:rPr>
              <w:t>与其它草地</w:t>
            </w:r>
          </w:p>
        </w:tc>
      </w:tr>
      <w:tr w14:paraId="141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3082C6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矿区道路</w:t>
            </w:r>
          </w:p>
          <w:p w14:paraId="68623A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bidi="ar"/>
              </w:rPr>
              <w:t>羊草沟采区</w:t>
            </w:r>
            <w:r>
              <w:rPr>
                <w:rFonts w:hint="eastAsia" w:ascii="Times New Roman" w:hAnsi="Times New Roman" w:eastAsia="宋体" w:cs="Times New Roman"/>
                <w:color w:val="auto"/>
                <w:kern w:val="0"/>
                <w:sz w:val="21"/>
                <w:szCs w:val="21"/>
                <w:lang w:val="en-US" w:eastAsia="zh-CN" w:bidi="ar"/>
              </w:rPr>
              <w:t>）</w:t>
            </w:r>
          </w:p>
        </w:tc>
        <w:tc>
          <w:tcPr>
            <w:tcW w:w="1025" w:type="dxa"/>
            <w:vAlign w:val="center"/>
          </w:tcPr>
          <w:p w14:paraId="272319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3122</w:t>
            </w:r>
          </w:p>
        </w:tc>
        <w:tc>
          <w:tcPr>
            <w:tcW w:w="1125" w:type="dxa"/>
            <w:vAlign w:val="center"/>
          </w:tcPr>
          <w:p w14:paraId="298FDE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5CB04A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5C8DC1A9">
            <w:pPr>
              <w:widowControl/>
              <w:wordWrap/>
              <w:spacing w:line="240" w:lineRule="auto"/>
              <w:ind w:firstLine="0" w:firstLineChars="0"/>
              <w:jc w:val="left"/>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color w:val="auto"/>
                <w:sz w:val="21"/>
                <w:szCs w:val="21"/>
              </w:rPr>
              <w:t>道路总长1017m，路面平均宽2m-3m，切坡道路长约595m，高度0.5m-1m，坡角30°-45°。</w:t>
            </w:r>
          </w:p>
        </w:tc>
        <w:tc>
          <w:tcPr>
            <w:tcW w:w="1160" w:type="dxa"/>
            <w:vAlign w:val="center"/>
          </w:tcPr>
          <w:p w14:paraId="43BD69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损毁</w:t>
            </w:r>
            <w:r>
              <w:rPr>
                <w:rFonts w:hint="eastAsia" w:ascii="Times New Roman" w:hAnsi="Times New Roman" w:eastAsia="宋体" w:cs="Times New Roman"/>
                <w:i w:val="0"/>
                <w:color w:val="auto"/>
                <w:kern w:val="0"/>
                <w:sz w:val="21"/>
                <w:szCs w:val="21"/>
                <w:u w:val="none"/>
                <w:lang w:val="en-US" w:eastAsia="zh-CN" w:bidi="ar"/>
              </w:rPr>
              <w:t>天然牧草地</w:t>
            </w:r>
            <w:r>
              <w:rPr>
                <w:rFonts w:hint="default" w:ascii="Times New Roman" w:hAnsi="Times New Roman" w:eastAsia="宋体" w:cs="Times New Roman"/>
                <w:i w:val="0"/>
                <w:color w:val="auto"/>
                <w:kern w:val="0"/>
                <w:sz w:val="21"/>
                <w:szCs w:val="21"/>
                <w:u w:val="none"/>
                <w:lang w:val="en-US" w:eastAsia="zh-CN" w:bidi="ar"/>
              </w:rPr>
              <w:t>与其它草地</w:t>
            </w:r>
          </w:p>
        </w:tc>
      </w:tr>
      <w:tr w14:paraId="7488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5E1E19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其它</w:t>
            </w:r>
          </w:p>
          <w:p w14:paraId="245E42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区域</w:t>
            </w:r>
          </w:p>
        </w:tc>
        <w:tc>
          <w:tcPr>
            <w:tcW w:w="1025" w:type="dxa"/>
            <w:vAlign w:val="center"/>
          </w:tcPr>
          <w:p w14:paraId="456435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color w:val="auto"/>
                <w:kern w:val="0"/>
                <w:sz w:val="21"/>
                <w:szCs w:val="21"/>
                <w:lang w:val="en-US" w:eastAsia="zh-CN" w:bidi="ar"/>
              </w:rPr>
              <w:t>4154727</w:t>
            </w:r>
          </w:p>
        </w:tc>
        <w:tc>
          <w:tcPr>
            <w:tcW w:w="1125" w:type="dxa"/>
            <w:vAlign w:val="center"/>
          </w:tcPr>
          <w:p w14:paraId="02EF2C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不发育</w:t>
            </w:r>
          </w:p>
        </w:tc>
        <w:tc>
          <w:tcPr>
            <w:tcW w:w="875" w:type="dxa"/>
            <w:vAlign w:val="center"/>
          </w:tcPr>
          <w:p w14:paraId="444943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无影响</w:t>
            </w:r>
          </w:p>
        </w:tc>
        <w:tc>
          <w:tcPr>
            <w:tcW w:w="2698" w:type="dxa"/>
            <w:vAlign w:val="center"/>
          </w:tcPr>
          <w:p w14:paraId="081040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矿业活动极少，该区其它地方基本保持了原生的地形地貌状态。</w:t>
            </w:r>
          </w:p>
        </w:tc>
        <w:tc>
          <w:tcPr>
            <w:tcW w:w="1160" w:type="dxa"/>
            <w:vAlign w:val="center"/>
          </w:tcPr>
          <w:p w14:paraId="0E610B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无影响</w:t>
            </w:r>
          </w:p>
        </w:tc>
      </w:tr>
      <w:tr w14:paraId="30B3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dxa"/>
            <w:vAlign w:val="center"/>
          </w:tcPr>
          <w:p w14:paraId="3072A4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合计</w:t>
            </w:r>
          </w:p>
        </w:tc>
        <w:tc>
          <w:tcPr>
            <w:tcW w:w="1025" w:type="dxa"/>
            <w:vAlign w:val="center"/>
          </w:tcPr>
          <w:p w14:paraId="4872CE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4162112</w:t>
            </w:r>
          </w:p>
        </w:tc>
        <w:tc>
          <w:tcPr>
            <w:tcW w:w="1125" w:type="dxa"/>
            <w:vAlign w:val="center"/>
          </w:tcPr>
          <w:p w14:paraId="6B467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875" w:type="dxa"/>
            <w:vAlign w:val="center"/>
          </w:tcPr>
          <w:p w14:paraId="06A880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2698" w:type="dxa"/>
            <w:vAlign w:val="center"/>
          </w:tcPr>
          <w:p w14:paraId="0C8AFD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1160" w:type="dxa"/>
            <w:vAlign w:val="center"/>
          </w:tcPr>
          <w:p w14:paraId="58DF3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r>
    </w:tbl>
    <w:p w14:paraId="4C4FEAF8">
      <w:pPr>
        <w:ind w:left="0" w:leftChars="0" w:firstLine="0" w:firstLineChars="0"/>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66587C2F">
      <w:pPr>
        <w:pStyle w:val="3"/>
        <w:spacing w:beforeLines="100"/>
        <w:rPr>
          <w:rStyle w:val="23"/>
          <w:rFonts w:hint="eastAsia" w:ascii="宋体" w:hAnsi="宋体" w:eastAsia="宋体" w:cs="宋体"/>
          <w:b/>
          <w:bCs/>
          <w:color w:val="auto"/>
        </w:rPr>
      </w:pPr>
      <w:bookmarkStart w:id="71" w:name="_Toc4064"/>
      <w:r>
        <w:rPr>
          <w:rFonts w:hint="eastAsia" w:ascii="宋体" w:hAnsi="宋体" w:eastAsia="宋体" w:cs="宋体"/>
          <w:color w:val="auto"/>
          <w:lang w:eastAsia="zh-CN"/>
        </w:rPr>
        <w:t>五、</w:t>
      </w:r>
      <w:r>
        <w:rPr>
          <w:rFonts w:hint="eastAsia" w:ascii="宋体" w:hAnsi="宋体" w:eastAsia="宋体" w:cs="宋体"/>
          <w:color w:val="auto"/>
        </w:rPr>
        <w:t>矿山地质环境防治工程</w:t>
      </w:r>
      <w:bookmarkEnd w:id="65"/>
      <w:bookmarkEnd w:id="66"/>
      <w:bookmarkEnd w:id="67"/>
      <w:bookmarkEnd w:id="68"/>
      <w:bookmarkEnd w:id="69"/>
      <w:bookmarkEnd w:id="70"/>
      <w:bookmarkEnd w:id="71"/>
    </w:p>
    <w:p w14:paraId="3003F732">
      <w:pPr>
        <w:numPr>
          <w:ilvl w:val="0"/>
          <w:numId w:val="0"/>
        </w:numPr>
        <w:spacing w:line="360" w:lineRule="auto"/>
        <w:ind w:leftChars="0" w:firstLine="482" w:firstLineChars="200"/>
        <w:jc w:val="both"/>
        <w:outlineLvl w:val="1"/>
        <w:rPr>
          <w:rFonts w:hint="default" w:ascii="Times New Roman" w:hAnsi="Times New Roman" w:eastAsia="宋体" w:cs="Times New Roman"/>
          <w:b/>
          <w:bCs/>
          <w:color w:val="auto"/>
          <w:sz w:val="24"/>
          <w:szCs w:val="24"/>
          <w:lang w:val="en-US" w:eastAsia="zh-CN"/>
        </w:rPr>
      </w:pPr>
      <w:bookmarkStart w:id="72" w:name="_Toc27096"/>
      <w:bookmarkStart w:id="73" w:name="_Toc32392"/>
      <w:bookmarkStart w:id="74" w:name="_Toc25591"/>
      <w:bookmarkStart w:id="75" w:name="_Toc27262"/>
      <w:bookmarkStart w:id="76" w:name="_Toc30779"/>
      <w:bookmarkStart w:id="77" w:name="_Toc7619"/>
      <w:r>
        <w:rPr>
          <w:rFonts w:hint="default" w:ascii="Times New Roman" w:hAnsi="Times New Roman" w:eastAsia="宋体" w:cs="Times New Roman"/>
          <w:b/>
          <w:bCs/>
          <w:color w:val="auto"/>
          <w:sz w:val="24"/>
          <w:szCs w:val="24"/>
          <w:lang w:val="en-US" w:eastAsia="zh-CN"/>
        </w:rPr>
        <w:t>（一）矿山地质环境治理区的确定</w:t>
      </w:r>
      <w:bookmarkEnd w:id="72"/>
      <w:bookmarkEnd w:id="73"/>
      <w:bookmarkEnd w:id="74"/>
      <w:bookmarkEnd w:id="75"/>
      <w:bookmarkEnd w:id="76"/>
      <w:bookmarkEnd w:id="77"/>
    </w:p>
    <w:p w14:paraId="7D9965B3">
      <w:pPr>
        <w:spacing w:after="0" w:line="360" w:lineRule="auto"/>
        <w:ind w:firstLine="480" w:firstLineChars="200"/>
        <w:contextualSpacing/>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矿山地质环境保护与恢复治理方案编制规范》（DZ/T0223-2011），治理区域范围包括已存在矿山地质环境问题的区域及本期开采区与矿业活动的影响区域。根据《土地复垦方案编制规程》，土地复垦责任范围为复垦区中已损毁和拟损毁的土地及土地复垦方案涉及的生产年限结束后不再留续使用的永久性建设用地共同构成的区域。</w:t>
      </w:r>
    </w:p>
    <w:p w14:paraId="5B1F8E9C">
      <w:pPr>
        <w:ind w:firstLine="560"/>
        <w:jc w:val="both"/>
        <w:rPr>
          <w:rFonts w:hint="eastAsia" w:ascii="宋体" w:hAnsi="宋体" w:eastAsia="宋体" w:cs="宋体"/>
          <w:color w:val="auto"/>
          <w:lang w:val="en-US" w:eastAsia="zh-CN"/>
        </w:rPr>
      </w:pPr>
      <w:r>
        <w:rPr>
          <w:rFonts w:hint="default" w:ascii="Times New Roman" w:hAnsi="Times New Roman" w:eastAsia="宋体" w:cs="Times New Roman"/>
          <w:color w:val="auto"/>
          <w:kern w:val="2"/>
          <w:sz w:val="24"/>
          <w:szCs w:val="24"/>
          <w:lang w:val="en-US" w:eastAsia="zh-CN" w:bidi="ar"/>
        </w:rPr>
        <w:t>治理区的确定（1）原则上对应《方案》规划的年度治理工程内容（《方案》规划的202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年及其以前未完成的治理工程内容应该在本年度设计治理）；（2）结合矿山地质环境现状，按照</w:t>
      </w:r>
      <w:r>
        <w:rPr>
          <w:rFonts w:hint="default" w:ascii="Times New Roman" w:hAnsi="Times New Roman" w:eastAsia="宋体" w:cs="Times New Roman"/>
          <w:color w:val="auto"/>
          <w:sz w:val="24"/>
          <w:szCs w:val="24"/>
          <w:lang w:val="en-US" w:eastAsia="zh-CN"/>
        </w:rPr>
        <w:t>“边开采，边治理”、“预防为主，防治结合”、“在保护中开发，在开发中保护”、“谁损毁，谁复垦”、“</w:t>
      </w:r>
      <w:r>
        <w:rPr>
          <w:rFonts w:hint="default" w:ascii="Times New Roman" w:hAnsi="Times New Roman" w:eastAsia="宋体" w:cs="Times New Roman"/>
          <w:color w:val="auto"/>
          <w:kern w:val="2"/>
          <w:sz w:val="24"/>
          <w:szCs w:val="24"/>
          <w:lang w:val="en-US" w:eastAsia="zh-CN" w:bidi="ar"/>
        </w:rPr>
        <w:t>应治可治全部治理</w:t>
      </w:r>
      <w:r>
        <w:rPr>
          <w:rFonts w:hint="default" w:ascii="Times New Roman" w:hAnsi="Times New Roman" w:eastAsia="宋体" w:cs="Times New Roman"/>
          <w:color w:val="auto"/>
          <w:sz w:val="24"/>
          <w:szCs w:val="24"/>
          <w:lang w:val="en-US" w:eastAsia="zh-CN"/>
        </w:rPr>
        <w:t>”的原则，确定矿山地质环境</w:t>
      </w:r>
      <w:r>
        <w:rPr>
          <w:rFonts w:hint="default" w:ascii="Times New Roman" w:hAnsi="Times New Roman" w:eastAsia="宋体" w:cs="Times New Roman"/>
          <w:color w:val="auto"/>
          <w:kern w:val="2"/>
          <w:sz w:val="24"/>
          <w:szCs w:val="24"/>
          <w:lang w:val="en-US" w:eastAsia="zh-CN" w:bidi="ar"/>
        </w:rPr>
        <w:t>年度治理单元。</w:t>
      </w:r>
    </w:p>
    <w:p w14:paraId="323D3A8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2"/>
          <w:sz w:val="24"/>
          <w:szCs w:val="24"/>
          <w:lang w:val="en-US" w:eastAsia="zh-CN" w:bidi="ar"/>
        </w:rPr>
        <w:t>《方案》规划的</w:t>
      </w:r>
      <w:r>
        <w:rPr>
          <w:rFonts w:hint="eastAsia" w:ascii="Times New Roman" w:hAnsi="Times New Roman" w:eastAsia="宋体" w:cs="Times New Roman"/>
          <w:color w:val="auto"/>
          <w:kern w:val="2"/>
          <w:sz w:val="24"/>
          <w:szCs w:val="24"/>
          <w:lang w:val="en-US" w:eastAsia="zh-CN" w:bidi="ar"/>
        </w:rPr>
        <w:t>近期</w:t>
      </w:r>
      <w:r>
        <w:rPr>
          <w:rFonts w:hint="default" w:ascii="Times New Roman" w:hAnsi="Times New Roman" w:eastAsia="宋体" w:cs="Times New Roman"/>
          <w:color w:val="auto"/>
          <w:kern w:val="2"/>
          <w:sz w:val="24"/>
          <w:szCs w:val="24"/>
          <w:lang w:val="en-US" w:eastAsia="zh-CN" w:bidi="ar"/>
        </w:rPr>
        <w:t>治理工程单元与工程包括：</w:t>
      </w:r>
    </w:p>
    <w:p w14:paraId="32D500F3">
      <w:pPr>
        <w:pStyle w:val="34"/>
        <w:keepNext w:val="0"/>
        <w:keepLines w:val="0"/>
        <w:pageBreakBefore w:val="0"/>
        <w:widowControl w:val="0"/>
        <w:kinsoku/>
        <w:overflowPunct/>
        <w:topLinePunct w:val="0"/>
        <w:bidi w:val="0"/>
        <w:snapToGrid/>
        <w:spacing w:line="360" w:lineRule="auto"/>
        <w:ind w:firstLine="496"/>
        <w:jc w:val="left"/>
        <w:textAlignment w:val="auto"/>
        <w:rPr>
          <w:rFonts w:hint="default" w:ascii="Times New Roman" w:hAnsi="Times New Roman" w:eastAsia="宋体" w:cs="Times New Roman"/>
          <w:color w:val="auto"/>
          <w:spacing w:val="4"/>
          <w:kern w:val="0"/>
          <w:sz w:val="24"/>
          <w:szCs w:val="24"/>
        </w:rPr>
      </w:pPr>
      <w:r>
        <w:rPr>
          <w:rFonts w:hint="default" w:ascii="Times New Roman" w:hAnsi="Times New Roman" w:eastAsia="宋体" w:cs="Times New Roman"/>
          <w:bCs/>
          <w:color w:val="auto"/>
          <w:sz w:val="24"/>
          <w:szCs w:val="24"/>
        </w:rPr>
        <w:t>1、</w:t>
      </w:r>
      <w:r>
        <w:rPr>
          <w:rFonts w:hint="default" w:ascii="Times New Roman" w:hAnsi="Times New Roman" w:eastAsia="宋体" w:cs="Times New Roman"/>
          <w:color w:val="auto"/>
          <w:spacing w:val="4"/>
          <w:kern w:val="0"/>
          <w:sz w:val="24"/>
          <w:szCs w:val="24"/>
        </w:rPr>
        <w:t>对拟建露天采场拟开采区域进行表土剥离，在拟建露天采场外围边界设置警示牌及网围栏、及时清理危岩体，对到界的615m、595m台阶进行清理然后覆土、恢复植被。</w:t>
      </w:r>
    </w:p>
    <w:p w14:paraId="43613CC3">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2、利用废石堆废石对</w:t>
      </w:r>
      <w:r>
        <w:rPr>
          <w:rFonts w:hint="eastAsia" w:ascii="Times New Roman" w:hAnsi="Times New Roman" w:eastAsia="宋体" w:cs="Times New Roman"/>
          <w:color w:val="auto"/>
          <w:sz w:val="24"/>
          <w:szCs w:val="24"/>
          <w:lang w:val="en-US" w:eastAsia="zh-CN"/>
        </w:rPr>
        <w:t>采坑</w:t>
      </w:r>
      <w:r>
        <w:rPr>
          <w:rFonts w:hint="default" w:ascii="Times New Roman" w:hAnsi="Times New Roman" w:eastAsia="宋体" w:cs="Times New Roman"/>
          <w:color w:val="auto"/>
          <w:sz w:val="24"/>
          <w:szCs w:val="24"/>
        </w:rPr>
        <w:t>进行回填至接近原始地形，对回填后的场地进行覆土，撒播草籽，管护。</w:t>
      </w:r>
    </w:p>
    <w:p w14:paraId="657EC8D1">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、对</w:t>
      </w:r>
      <w:r>
        <w:rPr>
          <w:rFonts w:hint="default" w:ascii="Times New Roman" w:hAnsi="Times New Roman" w:eastAsia="宋体" w:cs="Times New Roman"/>
          <w:color w:val="auto"/>
          <w:spacing w:val="-4"/>
          <w:sz w:val="24"/>
          <w:szCs w:val="24"/>
        </w:rPr>
        <w:t>拟建</w:t>
      </w:r>
      <w:r>
        <w:rPr>
          <w:rFonts w:hint="default" w:ascii="Times New Roman" w:hAnsi="Times New Roman" w:eastAsia="宋体" w:cs="Times New Roman"/>
          <w:color w:val="auto"/>
          <w:sz w:val="24"/>
          <w:szCs w:val="24"/>
        </w:rPr>
        <w:t>场地进行表土剥离，</w:t>
      </w:r>
      <w:r>
        <w:rPr>
          <w:rFonts w:hint="default" w:ascii="Times New Roman" w:hAnsi="Times New Roman" w:eastAsia="宋体" w:cs="Times New Roman"/>
          <w:color w:val="auto"/>
          <w:spacing w:val="4"/>
          <w:kern w:val="0"/>
          <w:sz w:val="24"/>
          <w:szCs w:val="24"/>
        </w:rPr>
        <w:t>表土用于近期治理场地，多余表土堆存至拟建表土存放场，在下游设置挡渣墙。</w:t>
      </w:r>
    </w:p>
    <w:p w14:paraId="064B0AD2">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、对废石堆清运至CK1作为回填物料，对清运后的场地覆土、撒播草籽，管护。</w:t>
      </w:r>
    </w:p>
    <w:p w14:paraId="0D7CE7FE">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eastAsia" w:ascii="Times New Roman" w:cs="Times New Roman"/>
          <w:color w:val="auto"/>
          <w:spacing w:val="-4"/>
          <w:sz w:val="24"/>
          <w:szCs w:val="24"/>
          <w:lang w:val="en-US" w:eastAsia="zh-CN"/>
        </w:rPr>
        <w:t>5</w:t>
      </w:r>
      <w:r>
        <w:rPr>
          <w:rFonts w:hint="default" w:ascii="Times New Roman" w:hAnsi="Times New Roman" w:eastAsia="宋体" w:cs="Times New Roman"/>
          <w:color w:val="auto"/>
          <w:spacing w:val="-4"/>
          <w:sz w:val="24"/>
          <w:szCs w:val="24"/>
        </w:rPr>
        <w:t>、利用周边废石对钻机平台</w:t>
      </w:r>
      <w:r>
        <w:rPr>
          <w:rFonts w:hint="eastAsia" w:ascii="Times New Roman" w:eastAsia="宋体" w:cs="Times New Roman"/>
          <w:color w:val="auto"/>
          <w:spacing w:val="-4"/>
          <w:sz w:val="24"/>
          <w:szCs w:val="24"/>
          <w:lang w:eastAsia="zh-CN"/>
        </w:rPr>
        <w:t>、</w:t>
      </w:r>
      <w:r>
        <w:rPr>
          <w:rFonts w:hint="default" w:ascii="Times New Roman" w:hAnsi="Times New Roman" w:eastAsia="宋体" w:cs="Times New Roman"/>
          <w:color w:val="auto"/>
          <w:spacing w:val="-4"/>
          <w:sz w:val="24"/>
          <w:szCs w:val="24"/>
        </w:rPr>
        <w:t>探槽进行回填，然后覆土、撒播草籽、管护。</w:t>
      </w:r>
    </w:p>
    <w:p w14:paraId="28A2B0CE">
      <w:pPr>
        <w:keepNext w:val="0"/>
        <w:keepLines w:val="0"/>
        <w:pageBreakBefore w:val="0"/>
        <w:widowControl w:val="0"/>
        <w:kinsoku/>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pacing w:val="-4"/>
          <w:sz w:val="24"/>
          <w:szCs w:val="24"/>
        </w:rPr>
      </w:pPr>
      <w:r>
        <w:rPr>
          <w:rFonts w:hint="eastAsia" w:ascii="Times New Roman" w:hAnsi="Times New Roman" w:eastAsia="宋体" w:cs="Times New Roman"/>
          <w:bCs/>
          <w:color w:val="auto"/>
          <w:sz w:val="24"/>
          <w:szCs w:val="24"/>
          <w:lang w:val="en-US" w:eastAsia="zh-CN"/>
        </w:rPr>
        <w:t>6</w:t>
      </w:r>
      <w:r>
        <w:rPr>
          <w:rFonts w:hint="default" w:ascii="Times New Roman" w:hAnsi="Times New Roman" w:eastAsia="宋体" w:cs="Times New Roman"/>
          <w:bCs/>
          <w:color w:val="auto"/>
          <w:sz w:val="24"/>
          <w:szCs w:val="24"/>
        </w:rPr>
        <w:t>、对场地堆积表土撒播草籽保护土壤。</w:t>
      </w:r>
    </w:p>
    <w:p w14:paraId="717902F3">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eastAsia" w:ascii="Times New Roman" w:cs="Times New Roman"/>
          <w:color w:val="auto"/>
          <w:spacing w:val="-4"/>
          <w:sz w:val="24"/>
          <w:szCs w:val="24"/>
          <w:lang w:val="en-US" w:eastAsia="zh-CN"/>
        </w:rPr>
        <w:t>7</w:t>
      </w:r>
      <w:r>
        <w:rPr>
          <w:rFonts w:hint="default" w:ascii="Times New Roman" w:hAnsi="Times New Roman" w:eastAsia="宋体" w:cs="Times New Roman"/>
          <w:color w:val="auto"/>
          <w:spacing w:val="-4"/>
          <w:sz w:val="24"/>
          <w:szCs w:val="24"/>
        </w:rPr>
        <w:t>、矿区道路</w:t>
      </w:r>
      <w:r>
        <w:rPr>
          <w:rFonts w:hint="eastAsia" w:ascii="Times New Roman" w:cs="Times New Roman"/>
          <w:color w:val="auto"/>
          <w:spacing w:val="-4"/>
          <w:sz w:val="24"/>
          <w:szCs w:val="24"/>
          <w:lang w:eastAsia="zh-CN"/>
        </w:rPr>
        <w:t>：</w:t>
      </w:r>
      <w:r>
        <w:rPr>
          <w:rFonts w:hint="default" w:ascii="Times New Roman" w:hAnsi="Times New Roman" w:eastAsia="宋体" w:cs="Times New Roman"/>
          <w:color w:val="auto"/>
          <w:spacing w:val="-4"/>
          <w:sz w:val="24"/>
          <w:szCs w:val="24"/>
        </w:rPr>
        <w:t>对不利用路段进行治理，然后全面覆土，撒播草籽、管护。</w:t>
      </w:r>
    </w:p>
    <w:p w14:paraId="5206A9A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Cs/>
          <w:color w:val="auto"/>
          <w:kern w:val="0"/>
          <w:sz w:val="24"/>
          <w:szCs w:val="24"/>
          <w:lang w:val="en-US" w:eastAsia="zh-CN"/>
        </w:rPr>
        <w:t>8、</w:t>
      </w:r>
      <w:r>
        <w:rPr>
          <w:rFonts w:hint="default" w:ascii="Times New Roman" w:hAnsi="Times New Roman" w:eastAsia="宋体" w:cs="Times New Roman"/>
          <w:bCs/>
          <w:color w:val="auto"/>
          <w:kern w:val="0"/>
          <w:sz w:val="24"/>
          <w:szCs w:val="24"/>
        </w:rPr>
        <w:t>矿山生产期间及管护期，对各工程场地地质灾害、地形地貌景观及土地资源、地下水水质进行监测；对复垦植被进行管护</w:t>
      </w:r>
      <w:r>
        <w:rPr>
          <w:rFonts w:hint="default" w:ascii="Times New Roman" w:hAnsi="Times New Roman" w:eastAsia="宋体" w:cs="Times New Roman"/>
          <w:color w:val="auto"/>
          <w:sz w:val="24"/>
          <w:szCs w:val="24"/>
        </w:rPr>
        <w:t>。</w:t>
      </w:r>
    </w:p>
    <w:p w14:paraId="28FB985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年治理工程单元与工程包括：</w:t>
      </w:r>
    </w:p>
    <w:p w14:paraId="3B6BB26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1、对拟建露天采场</w:t>
      </w:r>
      <w:r>
        <w:rPr>
          <w:rFonts w:hint="eastAsia" w:ascii="Times New Roman" w:hAnsi="Times New Roman" w:eastAsia="宋体" w:cs="Times New Roman"/>
          <w:color w:val="auto"/>
          <w:kern w:val="2"/>
          <w:sz w:val="24"/>
          <w:szCs w:val="24"/>
          <w:lang w:val="en-US" w:eastAsia="zh-CN" w:bidi="ar"/>
        </w:rPr>
        <w:t>进行危岩体清理</w:t>
      </w:r>
      <w:r>
        <w:rPr>
          <w:rFonts w:hint="default" w:ascii="Times New Roman" w:hAnsi="Times New Roman" w:eastAsia="宋体" w:cs="Times New Roman"/>
          <w:color w:val="auto"/>
          <w:kern w:val="2"/>
          <w:sz w:val="24"/>
          <w:szCs w:val="24"/>
          <w:lang w:val="en-US" w:eastAsia="zh-CN" w:bidi="ar"/>
        </w:rPr>
        <w:t>；</w:t>
      </w:r>
    </w:p>
    <w:p w14:paraId="55F801B2">
      <w:pPr>
        <w:ind w:firstLine="560"/>
        <w:jc w:val="both"/>
        <w:rPr>
          <w:rFonts w:hint="eastAsia" w:ascii="宋体" w:hAnsi="宋体" w:eastAsia="宋体" w:cs="宋体"/>
          <w:color w:val="auto"/>
          <w:lang w:val="en-US" w:eastAsia="zh-CN"/>
        </w:rPr>
      </w:pPr>
      <w:r>
        <w:rPr>
          <w:rFonts w:hint="default" w:ascii="Times New Roman" w:hAnsi="Times New Roman" w:eastAsia="宋体" w:cs="Times New Roman"/>
          <w:color w:val="auto"/>
          <w:kern w:val="2"/>
          <w:sz w:val="24"/>
          <w:szCs w:val="24"/>
          <w:lang w:val="en-US" w:eastAsia="zh-CN" w:bidi="ar"/>
        </w:rPr>
        <w:t>2、对</w:t>
      </w:r>
      <w:r>
        <w:rPr>
          <w:rFonts w:hint="eastAsia" w:ascii="Times New Roman" w:hAnsi="Times New Roman" w:eastAsia="宋体" w:cs="Times New Roman"/>
          <w:color w:val="auto"/>
          <w:kern w:val="2"/>
          <w:sz w:val="24"/>
          <w:szCs w:val="24"/>
          <w:lang w:val="en-US" w:eastAsia="zh-CN" w:bidi="ar"/>
        </w:rPr>
        <w:t>到界边坡进行修整台阶</w:t>
      </w:r>
      <w:r>
        <w:rPr>
          <w:rFonts w:hint="default" w:ascii="Times New Roman" w:hAnsi="Times New Roman" w:eastAsia="宋体" w:cs="Times New Roman"/>
          <w:color w:val="auto"/>
          <w:kern w:val="2"/>
          <w:sz w:val="24"/>
          <w:szCs w:val="24"/>
          <w:lang w:val="en-US" w:eastAsia="zh-CN" w:bidi="ar"/>
        </w:rPr>
        <w:t>、覆土、种</w:t>
      </w:r>
      <w:r>
        <w:rPr>
          <w:rFonts w:hint="eastAsia" w:ascii="Times New Roman" w:hAnsi="Times New Roman" w:eastAsia="宋体" w:cs="Times New Roman"/>
          <w:color w:val="auto"/>
          <w:kern w:val="2"/>
          <w:sz w:val="24"/>
          <w:szCs w:val="24"/>
          <w:lang w:val="en-US" w:eastAsia="zh-CN" w:bidi="ar"/>
        </w:rPr>
        <w:t>草</w:t>
      </w:r>
      <w:r>
        <w:rPr>
          <w:rFonts w:hint="default" w:ascii="Times New Roman" w:hAnsi="Times New Roman" w:eastAsia="宋体" w:cs="Times New Roman"/>
          <w:color w:val="auto"/>
          <w:kern w:val="2"/>
          <w:sz w:val="24"/>
          <w:szCs w:val="24"/>
          <w:lang w:val="en-US" w:eastAsia="zh-CN" w:bidi="ar"/>
        </w:rPr>
        <w:t>。</w:t>
      </w:r>
    </w:p>
    <w:p w14:paraId="66B83E5F">
      <w:pPr>
        <w:ind w:firstLine="56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根据赤峰矿业（集团）有限责任公司对</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的工作安排，202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年度继续办理与采矿权相关的前期工作。</w:t>
      </w:r>
      <w:r>
        <w:rPr>
          <w:rFonts w:hint="eastAsia" w:ascii="Times New Roman" w:hAnsi="Times New Roman" w:eastAsia="宋体" w:cs="Times New Roman"/>
          <w:color w:val="auto"/>
          <w:sz w:val="24"/>
          <w:szCs w:val="24"/>
          <w:lang w:val="en-US" w:eastAsia="zh-CN"/>
        </w:rPr>
        <w:t>由于矿山前期尚未进行开采，本年度无开采计划，</w:t>
      </w:r>
      <w:r>
        <w:rPr>
          <w:rFonts w:hint="default" w:ascii="Times New Roman" w:hAnsi="Times New Roman" w:eastAsia="宋体" w:cs="Times New Roman"/>
          <w:color w:val="auto"/>
          <w:kern w:val="2"/>
          <w:sz w:val="24"/>
          <w:szCs w:val="24"/>
          <w:lang w:val="en-US" w:eastAsia="zh-CN" w:bidi="ar"/>
        </w:rPr>
        <w:t>《方案》规划的</w:t>
      </w:r>
      <w:r>
        <w:rPr>
          <w:rFonts w:hint="eastAsia" w:ascii="Times New Roman" w:hAnsi="Times New Roman" w:eastAsia="宋体" w:cs="Times New Roman"/>
          <w:color w:val="auto"/>
          <w:kern w:val="2"/>
          <w:sz w:val="24"/>
          <w:szCs w:val="24"/>
          <w:lang w:val="en-US" w:eastAsia="zh-CN" w:bidi="ar"/>
        </w:rPr>
        <w:t>2021年~</w:t>
      </w:r>
      <w:r>
        <w:rPr>
          <w:rFonts w:hint="default" w:ascii="Times New Roman" w:hAnsi="Times New Roman" w:eastAsia="宋体" w:cs="Times New Roman"/>
          <w:color w:val="auto"/>
          <w:kern w:val="2"/>
          <w:sz w:val="24"/>
          <w:szCs w:val="24"/>
          <w:lang w:val="en-US" w:eastAsia="zh-CN" w:bidi="ar"/>
        </w:rPr>
        <w:t>202</w:t>
      </w:r>
      <w:r>
        <w:rPr>
          <w:rFonts w:hint="eastAsia"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年拟建露天采场、拟建工业场地、拟建废石场、拟建表土场的治理工程没有实施的意义</w:t>
      </w:r>
      <w:r>
        <w:rPr>
          <w:rFonts w:hint="eastAsia" w:ascii="Times New Roman" w:hAnsi="Times New Roman" w:eastAsia="宋体" w:cs="Times New Roman"/>
          <w:color w:val="auto"/>
          <w:kern w:val="2"/>
          <w:sz w:val="24"/>
          <w:szCs w:val="24"/>
          <w:lang w:val="en-US" w:eastAsia="zh-CN" w:bidi="ar"/>
        </w:rPr>
        <w:t>，且矿山已完成了下歪脖子井采区的全部治理工程</w:t>
      </w:r>
      <w:r>
        <w:rPr>
          <w:rFonts w:hint="eastAsia" w:ascii="Times New Roman" w:hAnsi="Times New Roman" w:eastAsia="宋体" w:cs="Times New Roman"/>
          <w:color w:val="auto"/>
          <w:kern w:val="2"/>
          <w:sz w:val="24"/>
          <w:szCs w:val="24"/>
          <w:highlight w:val="none"/>
          <w:lang w:val="en-US" w:eastAsia="zh-CN" w:bidi="ar"/>
        </w:rPr>
        <w:t>。</w:t>
      </w:r>
    </w:p>
    <w:p w14:paraId="625B98C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依据《方案》规划的202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年治理工程单元与工程，结合矿山地质环境现状，按照</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kern w:val="2"/>
          <w:sz w:val="24"/>
          <w:szCs w:val="24"/>
          <w:lang w:val="en-US" w:eastAsia="zh-CN" w:bidi="ar"/>
        </w:rPr>
        <w:t>应治可治全部治理</w:t>
      </w:r>
      <w:r>
        <w:rPr>
          <w:rFonts w:hint="default" w:ascii="Times New Roman" w:hAnsi="Times New Roman" w:eastAsia="宋体" w:cs="Times New Roman"/>
          <w:color w:val="auto"/>
          <w:sz w:val="24"/>
          <w:szCs w:val="24"/>
          <w:lang w:val="en-US" w:eastAsia="zh-CN"/>
        </w:rPr>
        <w:t>”的原则，确定</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年度不设计新的矿山地质环境</w:t>
      </w:r>
      <w:r>
        <w:rPr>
          <w:rFonts w:hint="default" w:ascii="Times New Roman" w:hAnsi="Times New Roman" w:eastAsia="宋体" w:cs="Times New Roman"/>
          <w:color w:val="auto"/>
          <w:kern w:val="2"/>
          <w:sz w:val="24"/>
          <w:szCs w:val="24"/>
          <w:lang w:val="en-US" w:eastAsia="zh-CN" w:bidi="ar"/>
        </w:rPr>
        <w:t>治理单元，但</w:t>
      </w:r>
      <w:r>
        <w:rPr>
          <w:rFonts w:hint="default" w:ascii="Times New Roman" w:hAnsi="Times New Roman" w:eastAsia="宋体" w:cs="Times New Roman"/>
          <w:color w:val="auto"/>
          <w:kern w:val="0"/>
          <w:sz w:val="24"/>
          <w:szCs w:val="24"/>
          <w:lang w:val="en-US" w:eastAsia="zh-CN" w:bidi="ar"/>
        </w:rPr>
        <w:t>下歪脖子井采区</w:t>
      </w:r>
      <w:r>
        <w:rPr>
          <w:rFonts w:hint="default" w:ascii="Times New Roman" w:hAnsi="Times New Roman" w:eastAsia="宋体" w:cs="Times New Roman"/>
          <w:color w:val="auto"/>
          <w:kern w:val="2"/>
          <w:sz w:val="24"/>
          <w:szCs w:val="24"/>
          <w:lang w:val="en-US" w:eastAsia="zh-CN" w:bidi="ar"/>
        </w:rPr>
        <w:t>前期治理区因播种季节、</w:t>
      </w:r>
      <w:r>
        <w:rPr>
          <w:rFonts w:hint="default" w:ascii="Times New Roman" w:hAnsi="Times New Roman" w:eastAsia="宋体" w:cs="Times New Roman"/>
          <w:b w:val="0"/>
          <w:bCs w:val="0"/>
          <w:color w:val="auto"/>
          <w:sz w:val="24"/>
          <w:szCs w:val="24"/>
          <w:lang w:val="en-US" w:eastAsia="zh-CN"/>
        </w:rPr>
        <w:t>气候干旱等</w:t>
      </w:r>
      <w:r>
        <w:rPr>
          <w:rFonts w:hint="default" w:ascii="Times New Roman" w:hAnsi="Times New Roman" w:eastAsia="宋体" w:cs="Times New Roman"/>
          <w:color w:val="auto"/>
          <w:kern w:val="2"/>
          <w:sz w:val="24"/>
          <w:szCs w:val="24"/>
          <w:lang w:val="en-US" w:eastAsia="zh-CN" w:bidi="ar"/>
        </w:rPr>
        <w:t>原因，导致植被成活率较低，需要对已完成的治理单元进行补种补植、管护。</w:t>
      </w:r>
      <w:r>
        <w:rPr>
          <w:rFonts w:hint="default" w:ascii="Times New Roman" w:hAnsi="Times New Roman" w:eastAsia="宋体" w:cs="Times New Roman"/>
          <w:color w:val="auto"/>
          <w:sz w:val="24"/>
          <w:szCs w:val="24"/>
        </w:rPr>
        <w:t>综上所述，</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年度矿山地质环境</w:t>
      </w:r>
      <w:r>
        <w:rPr>
          <w:rFonts w:hint="default" w:ascii="Times New Roman" w:hAnsi="Times New Roman" w:eastAsia="宋体" w:cs="Times New Roman"/>
          <w:color w:val="auto"/>
          <w:kern w:val="2"/>
          <w:sz w:val="24"/>
          <w:szCs w:val="24"/>
          <w:lang w:val="en-US" w:eastAsia="zh-CN" w:bidi="ar"/>
        </w:rPr>
        <w:t>治理单元</w:t>
      </w:r>
      <w:r>
        <w:rPr>
          <w:rFonts w:hint="default" w:ascii="Times New Roman" w:hAnsi="Times New Roman" w:eastAsia="宋体" w:cs="Times New Roman"/>
          <w:color w:val="auto"/>
          <w:sz w:val="24"/>
          <w:szCs w:val="24"/>
          <w:lang w:val="en-US" w:eastAsia="zh-CN"/>
        </w:rPr>
        <w:t>工程内容为对前期治理单元</w:t>
      </w:r>
      <w:r>
        <w:rPr>
          <w:rFonts w:hint="default" w:ascii="Times New Roman" w:hAnsi="Times New Roman" w:eastAsia="宋体" w:cs="Times New Roman"/>
          <w:color w:val="auto"/>
          <w:kern w:val="2"/>
          <w:sz w:val="24"/>
          <w:szCs w:val="24"/>
          <w:lang w:val="en-US" w:eastAsia="zh-CN" w:bidi="ar"/>
        </w:rPr>
        <w:t>进行补种补植、管护</w:t>
      </w:r>
      <w:r>
        <w:rPr>
          <w:rFonts w:hint="default" w:ascii="Times New Roman" w:hAnsi="Times New Roman" w:eastAsia="宋体" w:cs="Times New Roman"/>
          <w:color w:val="auto"/>
          <w:sz w:val="24"/>
          <w:szCs w:val="24"/>
          <w:lang w:eastAsia="zh-CN"/>
        </w:rPr>
        <w:t>。</w:t>
      </w:r>
    </w:p>
    <w:p w14:paraId="44B468F4">
      <w:pPr>
        <w:keepNext w:val="0"/>
        <w:keepLines w:val="0"/>
        <w:pageBreakBefore w:val="0"/>
        <w:numPr>
          <w:ilvl w:val="0"/>
          <w:numId w:val="0"/>
        </w:numPr>
        <w:kinsoku/>
        <w:overflowPunct/>
        <w:topLinePunct w:val="0"/>
        <w:autoSpaceDE/>
        <w:autoSpaceDN/>
        <w:bidi w:val="0"/>
        <w:spacing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78" w:name="_Toc8009"/>
      <w:bookmarkStart w:id="79" w:name="_Toc26507"/>
      <w:bookmarkStart w:id="80" w:name="_Toc32179"/>
      <w:bookmarkStart w:id="81" w:name="_Toc30937"/>
      <w:bookmarkStart w:id="82" w:name="_Toc13812"/>
      <w:bookmarkStart w:id="83" w:name="_Toc18866"/>
      <w:bookmarkStart w:id="84" w:name="_Toc4620"/>
      <w:bookmarkStart w:id="85" w:name="_Toc11105"/>
      <w:bookmarkStart w:id="86" w:name="_Toc19071"/>
      <w:bookmarkStart w:id="87" w:name="_Toc26883"/>
      <w:r>
        <w:rPr>
          <w:rFonts w:hint="default" w:ascii="Times New Roman" w:hAnsi="Times New Roman" w:eastAsia="宋体" w:cs="Times New Roman"/>
          <w:b/>
          <w:bCs/>
          <w:color w:val="auto"/>
          <w:sz w:val="24"/>
          <w:szCs w:val="24"/>
          <w:lang w:val="en-US" w:eastAsia="zh-CN"/>
        </w:rPr>
        <w:t>（二）矿山地质环境治理工程</w:t>
      </w:r>
      <w:bookmarkEnd w:id="78"/>
      <w:bookmarkEnd w:id="79"/>
      <w:bookmarkEnd w:id="80"/>
      <w:bookmarkEnd w:id="81"/>
      <w:bookmarkEnd w:id="82"/>
    </w:p>
    <w:p w14:paraId="2BFE50B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202</w:t>
      </w:r>
      <w:r>
        <w:rPr>
          <w:rFonts w:hint="eastAsia" w:ascii="Times New Roman" w:hAnsi="Times New Roman"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val="en-US" w:eastAsia="zh-CN"/>
        </w:rPr>
        <w:t>年度矿山地质环境治理工程对象为前期治理区</w:t>
      </w:r>
      <w:r>
        <w:rPr>
          <w:rFonts w:hint="default" w:ascii="Times New Roman" w:hAnsi="Times New Roman" w:eastAsia="宋体" w:cs="Times New Roman"/>
          <w:color w:val="auto"/>
          <w:sz w:val="24"/>
          <w:szCs w:val="24"/>
          <w:lang w:val="zh-CN" w:eastAsia="zh-CN"/>
        </w:rPr>
        <w:t>下歪脖子井</w:t>
      </w:r>
      <w:r>
        <w:rPr>
          <w:rFonts w:hint="default" w:ascii="Times New Roman" w:hAnsi="Times New Roman" w:eastAsia="宋体" w:cs="Times New Roman"/>
          <w:color w:val="auto"/>
          <w:sz w:val="24"/>
          <w:szCs w:val="24"/>
          <w:lang w:val="en-US" w:eastAsia="zh-CN"/>
        </w:rPr>
        <w:t>采区的对废石堆（2处）、钻机平台（2处）、探槽（23处）</w:t>
      </w:r>
      <w:r>
        <w:rPr>
          <w:rFonts w:hint="default" w:ascii="Times New Roman" w:hAnsi="Times New Roman" w:eastAsia="宋体" w:cs="Times New Roman"/>
          <w:b w:val="0"/>
          <w:bCs w:val="0"/>
          <w:color w:val="auto"/>
          <w:sz w:val="24"/>
          <w:szCs w:val="24"/>
          <w:lang w:val="en-US" w:eastAsia="zh-CN"/>
        </w:rPr>
        <w:t>。治理工程内容为对</w:t>
      </w:r>
      <w:r>
        <w:rPr>
          <w:rFonts w:hint="default" w:ascii="Times New Roman" w:hAnsi="Times New Roman" w:eastAsia="宋体" w:cs="Times New Roman"/>
          <w:color w:val="auto"/>
          <w:sz w:val="24"/>
          <w:szCs w:val="24"/>
          <w:lang w:val="zh-CN" w:eastAsia="zh-CN"/>
        </w:rPr>
        <w:t>下歪脖子井</w:t>
      </w:r>
      <w:r>
        <w:rPr>
          <w:rFonts w:hint="default" w:ascii="Times New Roman" w:hAnsi="Times New Roman" w:eastAsia="宋体" w:cs="Times New Roman"/>
          <w:color w:val="auto"/>
          <w:sz w:val="24"/>
          <w:szCs w:val="24"/>
          <w:lang w:val="en-US" w:eastAsia="zh-CN"/>
        </w:rPr>
        <w:t>采区的对废石堆（2处）、钻机平台（2处）、探槽（23处）</w:t>
      </w:r>
      <w:r>
        <w:rPr>
          <w:rFonts w:hint="default" w:ascii="Times New Roman" w:hAnsi="Times New Roman" w:eastAsia="宋体" w:cs="Times New Roman"/>
          <w:b w:val="0"/>
          <w:bCs w:val="0"/>
          <w:color w:val="auto"/>
          <w:sz w:val="24"/>
          <w:szCs w:val="24"/>
          <w:lang w:val="en-US" w:eastAsia="zh-CN"/>
        </w:rPr>
        <w:t>进行补种补植、管护。</w:t>
      </w:r>
    </w:p>
    <w:p w14:paraId="3970977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由于气候干旱等原因导致</w:t>
      </w:r>
      <w:r>
        <w:rPr>
          <w:rFonts w:hint="eastAsia" w:ascii="Times New Roman" w:hAnsi="Times New Roman" w:eastAsia="宋体" w:cs="Times New Roman"/>
          <w:b w:val="0"/>
          <w:bCs w:val="0"/>
          <w:color w:val="auto"/>
          <w:sz w:val="24"/>
          <w:szCs w:val="24"/>
          <w:lang w:val="en-US" w:eastAsia="zh-CN"/>
        </w:rPr>
        <w:t>前期</w:t>
      </w:r>
      <w:r>
        <w:rPr>
          <w:rFonts w:hint="default" w:ascii="Times New Roman" w:hAnsi="Times New Roman" w:eastAsia="宋体" w:cs="Times New Roman"/>
          <w:b w:val="0"/>
          <w:bCs w:val="0"/>
          <w:color w:val="auto"/>
          <w:sz w:val="24"/>
          <w:szCs w:val="24"/>
          <w:lang w:val="en-US" w:eastAsia="zh-CN"/>
        </w:rPr>
        <w:t>治理单元的植被覆盖度低于设计要求，及防止新的开挖、堆弃等人类活动的破坏与牛羊的啃食损毁，本年度矿山地质环境治理</w:t>
      </w:r>
      <w:r>
        <w:rPr>
          <w:rFonts w:hint="default" w:ascii="Times New Roman" w:hAnsi="Times New Roman" w:eastAsia="宋体" w:cs="Times New Roman"/>
          <w:color w:val="auto"/>
          <w:kern w:val="2"/>
          <w:sz w:val="24"/>
          <w:szCs w:val="24"/>
          <w:lang w:val="en-US" w:eastAsia="zh-CN" w:bidi="ar"/>
        </w:rPr>
        <w:t>工程的重点是对已完成植被恢复的</w:t>
      </w:r>
      <w:r>
        <w:rPr>
          <w:rFonts w:hint="default" w:ascii="Times New Roman" w:hAnsi="Times New Roman" w:eastAsia="宋体" w:cs="Times New Roman"/>
          <w:color w:val="auto"/>
          <w:sz w:val="24"/>
          <w:szCs w:val="24"/>
          <w:lang w:val="en-US" w:eastAsia="zh-CN"/>
        </w:rPr>
        <w:t>废石堆（2处）、钻机平台（2处）、探槽（23处）</w:t>
      </w:r>
      <w:r>
        <w:rPr>
          <w:rFonts w:hint="default" w:ascii="Times New Roman" w:hAnsi="Times New Roman" w:eastAsia="宋体" w:cs="Times New Roman"/>
          <w:b w:val="0"/>
          <w:bCs w:val="0"/>
          <w:color w:val="auto"/>
          <w:sz w:val="24"/>
          <w:szCs w:val="24"/>
          <w:lang w:val="en-US" w:eastAsia="zh-CN"/>
        </w:rPr>
        <w:t>植被进行补种补植、管护，以保证植被恢复的整体效果。</w:t>
      </w:r>
    </w:p>
    <w:p w14:paraId="43190B9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设计对</w:t>
      </w:r>
      <w:r>
        <w:rPr>
          <w:rFonts w:hint="default" w:ascii="Times New Roman" w:hAnsi="Times New Roman" w:eastAsia="宋体" w:cs="Times New Roman"/>
          <w:color w:val="auto"/>
          <w:sz w:val="24"/>
          <w:szCs w:val="24"/>
          <w:lang w:val="en-US" w:eastAsia="zh-CN"/>
        </w:rPr>
        <w:t>废石堆（2处）、钻机平台（2处）、探槽（23处）</w:t>
      </w:r>
      <w:r>
        <w:rPr>
          <w:rFonts w:hint="default" w:ascii="Times New Roman" w:hAnsi="Times New Roman" w:eastAsia="宋体" w:cs="Times New Roman"/>
          <w:bCs/>
          <w:color w:val="auto"/>
          <w:sz w:val="24"/>
          <w:szCs w:val="24"/>
          <w:lang w:eastAsia="zh-CN"/>
        </w:rPr>
        <w:t>复垦</w:t>
      </w:r>
      <w:r>
        <w:rPr>
          <w:rFonts w:hint="default" w:ascii="Times New Roman" w:hAnsi="Times New Roman" w:eastAsia="宋体" w:cs="Times New Roman"/>
          <w:color w:val="auto"/>
          <w:sz w:val="24"/>
          <w:szCs w:val="24"/>
          <w:lang w:eastAsia="zh-CN"/>
        </w:rPr>
        <w:t>为</w:t>
      </w:r>
      <w:r>
        <w:rPr>
          <w:rFonts w:hint="eastAsia" w:ascii="Times New Roman" w:hAnsi="Times New Roman" w:eastAsia="宋体" w:cs="Times New Roman"/>
          <w:color w:val="auto"/>
          <w:sz w:val="24"/>
          <w:szCs w:val="24"/>
          <w:lang w:val="en-US" w:eastAsia="zh-CN"/>
        </w:rPr>
        <w:t>草地</w:t>
      </w:r>
      <w:r>
        <w:rPr>
          <w:rFonts w:hint="default" w:ascii="Times New Roman" w:hAnsi="Times New Roman" w:eastAsia="宋体" w:cs="Times New Roman"/>
          <w:bCs/>
          <w:color w:val="auto"/>
          <w:sz w:val="24"/>
          <w:szCs w:val="24"/>
          <w:lang w:eastAsia="zh-CN"/>
        </w:rPr>
        <w:t>面积</w:t>
      </w:r>
      <w:r>
        <w:rPr>
          <w:rFonts w:hint="eastAsia" w:ascii="Times New Roman" w:hAnsi="Times New Roman" w:eastAsia="宋体" w:cs="Times New Roman"/>
          <w:bCs/>
          <w:color w:val="auto"/>
          <w:sz w:val="24"/>
          <w:szCs w:val="24"/>
          <w:lang w:val="en-US" w:eastAsia="zh-CN"/>
        </w:rPr>
        <w:t>7406</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由于治理工程面积较小，植被成活率较低，本年度补种补植</w:t>
      </w:r>
      <w:r>
        <w:rPr>
          <w:rFonts w:hint="eastAsia" w:ascii="Times New Roman" w:hAnsi="Times New Roman" w:eastAsia="宋体" w:cs="Times New Roman"/>
          <w:color w:val="auto"/>
          <w:sz w:val="24"/>
          <w:szCs w:val="24"/>
          <w:lang w:val="en-US" w:eastAsia="zh-CN"/>
        </w:rPr>
        <w:t>工程量</w:t>
      </w:r>
      <w:r>
        <w:rPr>
          <w:rFonts w:hint="default" w:ascii="Times New Roman" w:hAnsi="Times New Roman" w:eastAsia="宋体" w:cs="Times New Roman"/>
          <w:color w:val="auto"/>
          <w:sz w:val="24"/>
          <w:szCs w:val="24"/>
          <w:lang w:val="en-US" w:eastAsia="zh-CN"/>
        </w:rPr>
        <w:t>将按</w:t>
      </w:r>
      <w:r>
        <w:rPr>
          <w:rFonts w:hint="eastAsia" w:ascii="Times New Roman" w:hAnsi="Times New Roman" w:eastAsia="宋体" w:cs="Times New Roman"/>
          <w:color w:val="auto"/>
          <w:sz w:val="24"/>
          <w:szCs w:val="24"/>
          <w:lang w:val="en-US" w:eastAsia="zh-CN"/>
        </w:rPr>
        <w:t>前期</w:t>
      </w:r>
      <w:r>
        <w:rPr>
          <w:rFonts w:hint="default" w:ascii="Times New Roman" w:hAnsi="Times New Roman" w:eastAsia="宋体" w:cs="Times New Roman"/>
          <w:color w:val="auto"/>
          <w:sz w:val="24"/>
          <w:szCs w:val="24"/>
          <w:lang w:val="en-US" w:eastAsia="zh-CN"/>
        </w:rPr>
        <w:t>治理面积的</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0％进行</w:t>
      </w:r>
      <w:r>
        <w:rPr>
          <w:rFonts w:hint="eastAsia" w:ascii="Times New Roman" w:hAnsi="Times New Roman" w:eastAsia="宋体" w:cs="Times New Roman"/>
          <w:color w:val="auto"/>
          <w:sz w:val="24"/>
          <w:szCs w:val="24"/>
          <w:lang w:val="en-US" w:eastAsia="zh-CN"/>
        </w:rPr>
        <w:t>设计，</w:t>
      </w:r>
      <w:r>
        <w:rPr>
          <w:rFonts w:hint="default" w:ascii="Times New Roman" w:hAnsi="Times New Roman" w:eastAsia="宋体" w:cs="Times New Roman"/>
          <w:color w:val="auto"/>
          <w:sz w:val="24"/>
          <w:szCs w:val="24"/>
          <w:lang w:val="en-US" w:eastAsia="zh-CN"/>
        </w:rPr>
        <w:t>补种补植面积</w:t>
      </w:r>
      <w:r>
        <w:rPr>
          <w:rFonts w:hint="eastAsia" w:ascii="Times New Roman" w:hAnsi="Times New Roman" w:eastAsia="宋体" w:cs="Times New Roman"/>
          <w:bCs/>
          <w:color w:val="auto"/>
          <w:sz w:val="24"/>
          <w:szCs w:val="24"/>
          <w:lang w:val="en-US" w:eastAsia="zh-CN"/>
        </w:rPr>
        <w:t>3703</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eastAsia" w:ascii="Times New Roman" w:hAnsi="Times New Roman" w:eastAsia="宋体" w:cs="Times New Roman"/>
          <w:color w:val="auto"/>
          <w:sz w:val="24"/>
          <w:szCs w:val="24"/>
          <w:lang w:eastAsia="zh-CN"/>
        </w:rPr>
        <w:t>。</w:t>
      </w:r>
    </w:p>
    <w:p w14:paraId="747CFD7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88" w:name="_Toc18394"/>
      <w:bookmarkStart w:id="89" w:name="_Toc23661"/>
      <w:bookmarkStart w:id="90" w:name="_Toc10321"/>
      <w:bookmarkStart w:id="91" w:name="_Toc30328"/>
      <w:bookmarkStart w:id="92" w:name="_Toc16292"/>
      <w:bookmarkStart w:id="93" w:name="_Toc32129"/>
      <w:r>
        <w:rPr>
          <w:rFonts w:hint="default" w:ascii="Times New Roman" w:hAnsi="Times New Roman" w:eastAsia="宋体" w:cs="Times New Roman"/>
          <w:b/>
          <w:bCs/>
          <w:color w:val="auto"/>
          <w:sz w:val="24"/>
          <w:szCs w:val="24"/>
          <w:lang w:val="en-US" w:eastAsia="zh-CN"/>
        </w:rPr>
        <w:t>（三）矿山地质环境监测工程</w:t>
      </w:r>
      <w:bookmarkEnd w:id="88"/>
      <w:bookmarkEnd w:id="89"/>
      <w:bookmarkEnd w:id="90"/>
      <w:bookmarkEnd w:id="91"/>
      <w:bookmarkEnd w:id="92"/>
      <w:bookmarkEnd w:id="93"/>
    </w:p>
    <w:p w14:paraId="450435C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矿山地质环境监测工程包括</w:t>
      </w:r>
      <w:r>
        <w:rPr>
          <w:rFonts w:hint="default" w:ascii="Times New Roman" w:hAnsi="Times New Roman" w:eastAsia="宋体" w:cs="Times New Roman"/>
          <w:color w:val="auto"/>
          <w:sz w:val="24"/>
          <w:szCs w:val="24"/>
        </w:rPr>
        <w:t>对</w:t>
      </w:r>
      <w:r>
        <w:rPr>
          <w:rFonts w:hint="default" w:ascii="Times New Roman" w:hAnsi="Times New Roman" w:eastAsia="宋体" w:cs="Times New Roman"/>
          <w:color w:val="auto"/>
          <w:sz w:val="24"/>
          <w:szCs w:val="24"/>
          <w:lang w:val="en-US" w:eastAsia="zh-CN"/>
        </w:rPr>
        <w:t>拟建</w:t>
      </w:r>
      <w:r>
        <w:rPr>
          <w:rFonts w:hint="default" w:ascii="Times New Roman" w:hAnsi="Times New Roman" w:eastAsia="宋体" w:cs="Times New Roman"/>
          <w:color w:val="auto"/>
          <w:sz w:val="24"/>
          <w:szCs w:val="24"/>
        </w:rPr>
        <w:t>露天采场边坡进行</w:t>
      </w:r>
    </w:p>
    <w:p w14:paraId="54F835F5">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稳定性地质灾害监测，以及对矿区土地资源及地形地貌景观进行监测工程</w:t>
      </w:r>
      <w:r>
        <w:rPr>
          <w:rFonts w:hint="default" w:ascii="Times New Roman" w:hAnsi="Times New Roman" w:eastAsia="宋体" w:cs="Times New Roman"/>
          <w:color w:val="auto"/>
          <w:sz w:val="24"/>
          <w:szCs w:val="24"/>
          <w:lang w:val="en-US" w:eastAsia="zh-CN"/>
        </w:rPr>
        <w:t>两项</w:t>
      </w:r>
      <w:r>
        <w:rPr>
          <w:rFonts w:hint="default" w:ascii="Times New Roman" w:hAnsi="Times New Roman" w:eastAsia="宋体" w:cs="Times New Roman"/>
          <w:color w:val="auto"/>
          <w:sz w:val="24"/>
          <w:szCs w:val="24"/>
        </w:rPr>
        <w:t>。</w:t>
      </w:r>
    </w:p>
    <w:p w14:paraId="7EA941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由于现状赤峰矿业（集团）有限责任公司本年度没有相关的矿山基建建设或生产计划，拟建</w:t>
      </w:r>
      <w:r>
        <w:rPr>
          <w:rFonts w:hint="default" w:ascii="Times New Roman" w:hAnsi="Times New Roman" w:eastAsia="宋体" w:cs="Times New Roman"/>
          <w:color w:val="auto"/>
          <w:sz w:val="24"/>
          <w:szCs w:val="24"/>
        </w:rPr>
        <w:t>露天采场</w:t>
      </w:r>
      <w:r>
        <w:rPr>
          <w:rFonts w:hint="default" w:ascii="Times New Roman" w:hAnsi="Times New Roman" w:eastAsia="宋体" w:cs="Times New Roman"/>
          <w:color w:val="auto"/>
          <w:sz w:val="24"/>
          <w:szCs w:val="24"/>
          <w:lang w:val="en-US" w:eastAsia="zh-CN"/>
        </w:rPr>
        <w:t>不会在202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年度形成，因此，</w:t>
      </w:r>
      <w:r>
        <w:rPr>
          <w:rFonts w:hint="default" w:ascii="Times New Roman" w:hAnsi="Times New Roman" w:eastAsia="宋体" w:cs="Times New Roman"/>
          <w:color w:val="auto"/>
          <w:kern w:val="2"/>
          <w:sz w:val="24"/>
          <w:szCs w:val="24"/>
          <w:lang w:val="en-US" w:eastAsia="zh-CN" w:bidi="ar"/>
        </w:rPr>
        <w:t>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矿山地质环境监测工程主要为矿区土地资源及地形地貌景观监测。</w:t>
      </w:r>
    </w:p>
    <w:p w14:paraId="19EE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1、监测内容</w:t>
      </w:r>
    </w:p>
    <w:p w14:paraId="0B3C0B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为保护矿区生态环境，尽可能的保护矿区及其矿区以外土地免受挖损与占用，对矿区内土地资源、地形地貌景观进行监测。</w:t>
      </w:r>
    </w:p>
    <w:p w14:paraId="77E660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2</w:t>
      </w:r>
      <w:r>
        <w:rPr>
          <w:rFonts w:hint="default" w:ascii="Times New Roman" w:hAnsi="Times New Roman" w:eastAsia="宋体" w:cs="Times New Roman"/>
          <w:color w:val="auto"/>
          <w:sz w:val="24"/>
          <w:szCs w:val="24"/>
          <w:lang w:eastAsia="zh-CN"/>
        </w:rPr>
        <w:t>、监测方法</w:t>
      </w:r>
    </w:p>
    <w:p w14:paraId="1F23668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采用目测及拍照摄像相结合的方式，采用路线法，共设计</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条监测路线，路线长度</w:t>
      </w:r>
      <w:r>
        <w:rPr>
          <w:rFonts w:hint="eastAsia" w:ascii="Times New Roman" w:hAnsi="Times New Roman" w:eastAsia="宋体" w:cs="Times New Roman"/>
          <w:color w:val="auto"/>
          <w:sz w:val="24"/>
          <w:szCs w:val="24"/>
          <w:lang w:val="en-US" w:eastAsia="zh-CN"/>
        </w:rPr>
        <w:t>1.68</w:t>
      </w:r>
      <w:r>
        <w:rPr>
          <w:rFonts w:hint="default" w:ascii="Times New Roman" w:hAnsi="Times New Roman" w:eastAsia="宋体" w:cs="Times New Roman"/>
          <w:color w:val="auto"/>
          <w:sz w:val="24"/>
          <w:szCs w:val="24"/>
          <w:lang w:val="en-US"/>
        </w:rPr>
        <w:t>km</w:t>
      </w:r>
      <w:r>
        <w:rPr>
          <w:rFonts w:hint="default" w:ascii="Times New Roman" w:hAnsi="Times New Roman" w:eastAsia="宋体" w:cs="Times New Roman"/>
          <w:color w:val="auto"/>
          <w:sz w:val="24"/>
          <w:szCs w:val="24"/>
          <w:lang w:eastAsia="zh-CN"/>
        </w:rPr>
        <w:t>，对工程场地的外观表现特征参数进行监测，对各区破坏的土地类型进行实地调查。</w:t>
      </w:r>
    </w:p>
    <w:p w14:paraId="24AC2E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3</w:t>
      </w:r>
      <w:r>
        <w:rPr>
          <w:rFonts w:hint="default" w:ascii="Times New Roman" w:hAnsi="Times New Roman" w:eastAsia="宋体" w:cs="Times New Roman"/>
          <w:color w:val="auto"/>
          <w:sz w:val="24"/>
          <w:szCs w:val="24"/>
          <w:lang w:eastAsia="zh-CN"/>
        </w:rPr>
        <w:t>、监测频率</w:t>
      </w:r>
    </w:p>
    <w:p w14:paraId="45860C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每月目测</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次，每年对场地占用情况进行一次仪器测量并拍照摄像。</w:t>
      </w:r>
    </w:p>
    <w:p w14:paraId="7A194DA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4</w:t>
      </w:r>
      <w:r>
        <w:rPr>
          <w:rFonts w:hint="default" w:ascii="Times New Roman" w:hAnsi="Times New Roman" w:eastAsia="宋体" w:cs="Times New Roman"/>
          <w:color w:val="auto"/>
          <w:sz w:val="24"/>
          <w:szCs w:val="24"/>
          <w:lang w:eastAsia="zh-CN"/>
        </w:rPr>
        <w:t>、监测时限</w:t>
      </w:r>
    </w:p>
    <w:p w14:paraId="545D7FF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矿山生产期间和首期治理期内，自</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年</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月</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日</w:t>
      </w:r>
      <w:r>
        <w:rPr>
          <w:rFonts w:hint="default" w:ascii="Times New Roman" w:hAnsi="Times New Roman" w:eastAsia="宋体" w:cs="Times New Roman"/>
          <w:color w:val="auto"/>
          <w:sz w:val="24"/>
          <w:szCs w:val="24"/>
          <w:lang w:val="en-US"/>
        </w:rPr>
        <w:t>-</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年</w:t>
      </w:r>
      <w:r>
        <w:rPr>
          <w:rFonts w:hint="default" w:ascii="Times New Roman" w:hAnsi="Times New Roman" w:eastAsia="宋体" w:cs="Times New Roman"/>
          <w:color w:val="auto"/>
          <w:sz w:val="24"/>
          <w:szCs w:val="24"/>
          <w:lang w:val="en-US"/>
        </w:rPr>
        <w:t>12</w:t>
      </w:r>
      <w:r>
        <w:rPr>
          <w:rFonts w:hint="default" w:ascii="Times New Roman" w:hAnsi="Times New Roman" w:eastAsia="宋体" w:cs="Times New Roman"/>
          <w:color w:val="auto"/>
          <w:sz w:val="24"/>
          <w:szCs w:val="24"/>
          <w:lang w:eastAsia="zh-CN"/>
        </w:rPr>
        <w:t>月</w:t>
      </w:r>
      <w:r>
        <w:rPr>
          <w:rFonts w:hint="default" w:ascii="Times New Roman" w:hAnsi="Times New Roman" w:eastAsia="宋体" w:cs="Times New Roman"/>
          <w:color w:val="auto"/>
          <w:sz w:val="24"/>
          <w:szCs w:val="24"/>
          <w:lang w:val="en-US"/>
        </w:rPr>
        <w:t>31</w:t>
      </w:r>
      <w:r>
        <w:rPr>
          <w:rFonts w:hint="default" w:ascii="Times New Roman" w:hAnsi="Times New Roman" w:eastAsia="宋体" w:cs="Times New Roman"/>
          <w:color w:val="auto"/>
          <w:sz w:val="24"/>
          <w:szCs w:val="24"/>
          <w:lang w:eastAsia="zh-CN"/>
        </w:rPr>
        <w:t>日。</w:t>
      </w:r>
    </w:p>
    <w:p w14:paraId="197667D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监测记录表见表</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rPr>
        <w:t>-</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p>
    <w:p w14:paraId="0EA4BAE0">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color w:val="auto"/>
          <w:kern w:val="0"/>
          <w:sz w:val="21"/>
          <w:szCs w:val="21"/>
          <w:lang w:val="en-US" w:eastAsia="zh-CN" w:bidi="ar"/>
        </w:rPr>
        <w:t>表5-</w:t>
      </w:r>
      <w:r>
        <w:rPr>
          <w:rFonts w:hint="eastAsia" w:ascii="Times New Roman" w:hAnsi="Times New Roman" w:eastAsia="宋体" w:cs="Times New Roman"/>
          <w:b/>
          <w:color w:val="auto"/>
          <w:kern w:val="0"/>
          <w:sz w:val="21"/>
          <w:szCs w:val="21"/>
          <w:lang w:val="en-US" w:eastAsia="zh-CN" w:bidi="ar"/>
        </w:rPr>
        <w:t>1</w:t>
      </w:r>
      <w:r>
        <w:rPr>
          <w:rFonts w:hint="default" w:ascii="Times New Roman" w:hAnsi="Times New Roman" w:eastAsia="宋体" w:cs="Times New Roman"/>
          <w:b/>
          <w:color w:val="auto"/>
          <w:kern w:val="0"/>
          <w:sz w:val="21"/>
          <w:szCs w:val="21"/>
          <w:lang w:val="en-US" w:eastAsia="zh-CN" w:bidi="ar"/>
        </w:rPr>
        <w:t xml:space="preserve">  地形地貌景观及土地资源监测记录表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863"/>
        <w:gridCol w:w="1270"/>
        <w:gridCol w:w="5235"/>
      </w:tblGrid>
      <w:tr w14:paraId="5912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390E2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监测单元</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6B0F75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p>
        </w:tc>
      </w:tr>
      <w:tr w14:paraId="16D3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CBE7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时间：  年   月   日</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3F32C0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天气：</w:t>
            </w:r>
          </w:p>
        </w:tc>
      </w:tr>
      <w:tr w14:paraId="17F3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DF34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监测内容</w:t>
            </w: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5D73F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损毁土地面积（m</w:t>
            </w:r>
            <w:r>
              <w:rPr>
                <w:rFonts w:hint="default" w:ascii="Times New Roman" w:hAnsi="Times New Roman" w:eastAsia="宋体" w:cs="Times New Roman"/>
                <w:color w:val="auto"/>
                <w:kern w:val="2"/>
                <w:sz w:val="21"/>
                <w:szCs w:val="21"/>
                <w:vertAlign w:val="superscript"/>
                <w:lang w:val="en-US" w:eastAsia="zh-CN" w:bidi="ar"/>
              </w:rPr>
              <w:t>2</w:t>
            </w:r>
            <w:r>
              <w:rPr>
                <w:rFonts w:hint="default" w:ascii="Times New Roman" w:hAnsi="Times New Roman" w:eastAsia="宋体" w:cs="Times New Roman"/>
                <w:color w:val="auto"/>
                <w:kern w:val="2"/>
                <w:sz w:val="21"/>
                <w:szCs w:val="21"/>
                <w:lang w:val="en-US" w:eastAsia="zh-CN" w:bidi="ar"/>
              </w:rPr>
              <w:t>）</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1B3511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13A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E9F6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1BEC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破坏土地利用类型</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F3BA84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6141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2702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D25C6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损毁方式</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D3B7B7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7442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2923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3A4FE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损毁程度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89AF18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6F0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EFB4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63F7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治理难度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671D28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4EF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D6242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监测人员</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1BA77C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D1C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48" w:type="dxa"/>
            <w:gridSpan w:val="4"/>
            <w:tcBorders>
              <w:top w:val="nil"/>
              <w:left w:val="single" w:color="auto" w:sz="4" w:space="0"/>
              <w:bottom w:val="nil"/>
              <w:right w:val="single" w:color="auto" w:sz="4" w:space="0"/>
            </w:tcBorders>
            <w:shd w:val="clear" w:color="auto" w:fill="auto"/>
            <w:vAlign w:val="center"/>
          </w:tcPr>
          <w:p w14:paraId="58B86D11">
            <w:pPr>
              <w:pStyle w:val="1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kern w:val="2"/>
                <w:szCs w:val="21"/>
                <w:lang w:val="en-US"/>
              </w:rPr>
            </w:pPr>
          </w:p>
          <w:p w14:paraId="4079383F">
            <w:pPr>
              <w:pStyle w:val="1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kern w:val="2"/>
                <w:szCs w:val="21"/>
                <w:lang w:val="en-US"/>
              </w:rPr>
            </w:pPr>
          </w:p>
        </w:tc>
      </w:tr>
      <w:tr w14:paraId="3034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FBB1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存在问题</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D7B6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6276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D9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处理意见</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5394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1A3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C35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处理结果</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561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bl>
    <w:p w14:paraId="78E306BC">
      <w:pPr>
        <w:pStyle w:val="2"/>
        <w:rPr>
          <w:rFonts w:hint="eastAsia" w:ascii="宋体" w:hAnsi="宋体" w:eastAsia="宋体" w:cs="宋体"/>
          <w:b/>
          <w:bCs/>
          <w:color w:val="auto"/>
          <w:sz w:val="21"/>
          <w:szCs w:val="21"/>
          <w:lang w:val="en-US" w:eastAsia="zh-CN"/>
        </w:rPr>
      </w:pPr>
    </w:p>
    <w:bookmarkEnd w:id="83"/>
    <w:bookmarkEnd w:id="84"/>
    <w:bookmarkEnd w:id="85"/>
    <w:bookmarkEnd w:id="86"/>
    <w:bookmarkEnd w:id="87"/>
    <w:p w14:paraId="11442592">
      <w:pPr>
        <w:wordWrap/>
        <w:spacing w:line="360" w:lineRule="auto"/>
        <w:ind w:firstLine="560" w:firstLineChars="200"/>
        <w:contextualSpacing/>
        <w:jc w:val="left"/>
        <w:rPr>
          <w:rFonts w:hint="eastAsia" w:ascii="宋体" w:hAnsi="宋体" w:eastAsia="宋体" w:cs="宋体"/>
          <w:color w:val="auto"/>
        </w:rPr>
        <w:sectPr>
          <w:footerReference r:id="rId8" w:type="default"/>
          <w:pgSz w:w="11911" w:h="16838"/>
          <w:pgMar w:top="1701" w:right="1701" w:bottom="1701" w:left="1701" w:header="851" w:footer="992" w:gutter="0"/>
          <w:cols w:space="720" w:num="1"/>
          <w:docGrid w:linePitch="312" w:charSpace="0"/>
        </w:sectPr>
      </w:pPr>
      <w:bookmarkStart w:id="94" w:name="_Toc20803"/>
      <w:bookmarkStart w:id="95" w:name="_Toc4289"/>
      <w:bookmarkStart w:id="96" w:name="_Toc8463"/>
      <w:bookmarkStart w:id="97" w:name="_Toc14867"/>
      <w:bookmarkStart w:id="98" w:name="_Toc13709"/>
      <w:bookmarkStart w:id="99" w:name="_Toc16807"/>
    </w:p>
    <w:p w14:paraId="36E7AF09">
      <w:pPr>
        <w:pStyle w:val="3"/>
        <w:keepNext/>
        <w:keepLines/>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color w:val="auto"/>
          <w:kern w:val="0"/>
          <w:sz w:val="32"/>
          <w:szCs w:val="32"/>
          <w:highlight w:val="none"/>
          <w:lang w:val="zh-CN"/>
        </w:rPr>
      </w:pPr>
      <w:bookmarkStart w:id="100" w:name="_Toc14547"/>
      <w:r>
        <w:rPr>
          <w:rFonts w:hint="eastAsia" w:ascii="宋体" w:hAnsi="宋体" w:eastAsia="宋体" w:cs="宋体"/>
          <w:color w:val="auto"/>
          <w:lang w:eastAsia="zh-CN"/>
        </w:rPr>
        <w:t>六、</w:t>
      </w:r>
      <w:r>
        <w:rPr>
          <w:rFonts w:hint="eastAsia" w:ascii="宋体" w:hAnsi="宋体" w:eastAsia="宋体" w:cs="宋体"/>
          <w:color w:val="auto"/>
        </w:rPr>
        <w:t>经费估算</w:t>
      </w:r>
      <w:bookmarkEnd w:id="94"/>
      <w:bookmarkEnd w:id="95"/>
      <w:bookmarkEnd w:id="96"/>
      <w:bookmarkEnd w:id="97"/>
      <w:bookmarkEnd w:id="98"/>
      <w:bookmarkEnd w:id="99"/>
      <w:bookmarkEnd w:id="100"/>
      <w:bookmarkStart w:id="101" w:name="_Toc252195281"/>
      <w:bookmarkStart w:id="102" w:name="_Toc374801528"/>
      <w:bookmarkStart w:id="103" w:name="_Toc329671793"/>
    </w:p>
    <w:bookmarkEnd w:id="101"/>
    <w:bookmarkEnd w:id="102"/>
    <w:bookmarkEnd w:id="103"/>
    <w:p w14:paraId="3CDEC6F3">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104" w:name="_Toc32428"/>
      <w:bookmarkStart w:id="105" w:name="_Toc32038"/>
      <w:r>
        <w:rPr>
          <w:rFonts w:hint="default" w:ascii="Times New Roman" w:hAnsi="Times New Roman" w:eastAsia="宋体" w:cs="Times New Roman"/>
          <w:b/>
          <w:bCs/>
          <w:color w:val="auto"/>
          <w:sz w:val="24"/>
          <w:szCs w:val="24"/>
          <w:lang w:val="en-US" w:eastAsia="zh-CN"/>
        </w:rPr>
        <w:t>（一）估算说明</w:t>
      </w:r>
      <w:bookmarkEnd w:id="104"/>
      <w:bookmarkEnd w:id="105"/>
    </w:p>
    <w:p w14:paraId="51BF22E3">
      <w:pPr>
        <w:keepNext w:val="0"/>
        <w:keepLines w:val="0"/>
        <w:pageBreakBefore w:val="0"/>
        <w:tabs>
          <w:tab w:val="left" w:pos="720"/>
        </w:tabs>
        <w:kinsoku/>
        <w:wordWrap/>
        <w:overflowPunct/>
        <w:topLinePunct w:val="0"/>
        <w:autoSpaceDE w:val="0"/>
        <w:autoSpaceDN w:val="0"/>
        <w:bidi w:val="0"/>
        <w:adjustRightIn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14:paraId="10EB25BF">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14:paraId="67C6A857">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14:paraId="339AB265">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矿山地质环境保护与</w:t>
      </w:r>
      <w:r>
        <w:rPr>
          <w:rFonts w:hint="default" w:ascii="Times New Roman" w:hAnsi="Times New Roman" w:eastAsia="宋体" w:cs="Times New Roman"/>
          <w:color w:val="auto"/>
          <w:sz w:val="24"/>
          <w:szCs w:val="24"/>
          <w:highlight w:val="none"/>
          <w:lang w:val="en-US" w:eastAsia="zh-CN"/>
        </w:rPr>
        <w:t>土地复垦</w:t>
      </w:r>
      <w:r>
        <w:rPr>
          <w:rFonts w:hint="default" w:ascii="Times New Roman" w:hAnsi="Times New Roman" w:eastAsia="宋体" w:cs="Times New Roman"/>
          <w:color w:val="auto"/>
          <w:sz w:val="24"/>
          <w:szCs w:val="24"/>
          <w:highlight w:val="none"/>
        </w:rPr>
        <w:t>方案</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14:paraId="6A7177EE">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14:paraId="2BFBC1D9">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季度）及</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材料价格市场询价。</w:t>
      </w:r>
    </w:p>
    <w:p w14:paraId="207BA784">
      <w:pPr>
        <w:keepNext w:val="0"/>
        <w:keepLines w:val="0"/>
        <w:pageBreakBefore w:val="0"/>
        <w:tabs>
          <w:tab w:val="left" w:pos="720"/>
        </w:tabs>
        <w:kinsoku/>
        <w:wordWrap/>
        <w:overflowPunct/>
        <w:topLinePunct w:val="0"/>
        <w:autoSpaceDE w:val="0"/>
        <w:autoSpaceDN w:val="0"/>
        <w:bidi w:val="0"/>
        <w:adjustRightIn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费用计算</w:t>
      </w:r>
    </w:p>
    <w:p w14:paraId="68DC22E1">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的投资为静态投资，其投资总额由静态投资和价差预备费组成。静态投资由工程施工费、其他费用、监测管护费、不可预见费组成。价差预备费是在方案编制年至矿山闭坑年期间，由于材料价格变化可能产生治理费用上浮而预留的费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年度治理计划书不涉及</w:t>
      </w:r>
      <w:r>
        <w:rPr>
          <w:rFonts w:hint="default" w:ascii="Times New Roman" w:hAnsi="Times New Roman" w:eastAsia="宋体" w:cs="Times New Roman"/>
          <w:color w:val="auto"/>
          <w:sz w:val="24"/>
          <w:szCs w:val="24"/>
          <w:highlight w:val="none"/>
        </w:rPr>
        <w:t>价差预备费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。具体计费标准如下：</w:t>
      </w:r>
    </w:p>
    <w:p w14:paraId="56B16C1D">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rPr>
        <w:t>工程施工费</w:t>
      </w:r>
    </w:p>
    <w:p w14:paraId="735EF8FB">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工程施工费包括直接费、间接费、利润和税金。</w:t>
      </w:r>
    </w:p>
    <w:p w14:paraId="713B2172">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直接费</w:t>
      </w:r>
    </w:p>
    <w:p w14:paraId="2790B7D1">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直接费指工程施工过程中直接消耗在工程项目上的活劳动和物化劳动。由直接工程费、措施费组成。</w:t>
      </w:r>
    </w:p>
    <w:p w14:paraId="283237E3">
      <w:pPr>
        <w:keepNext w:val="0"/>
        <w:keepLines w:val="0"/>
        <w:pageBreakBefore w:val="0"/>
        <w:numPr>
          <w:ilvl w:val="0"/>
          <w:numId w:val="0"/>
        </w:numPr>
        <w:kinsoku/>
        <w:wordWrap/>
        <w:overflowPunct/>
        <w:topLinePunct w:val="0"/>
        <w:bidi w:val="0"/>
        <w:spacing w:line="360" w:lineRule="auto"/>
        <w:ind w:left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①直接工程费</w:t>
      </w:r>
    </w:p>
    <w:p w14:paraId="524CF8E2">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直接工程费由人工费、材料费、施工机械使用费组成。</w:t>
      </w:r>
    </w:p>
    <w:p w14:paraId="55721539">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人工费=定额劳动量（工日）×人工概算单价（元／工日），人工单价根据《内蒙古自治区矿山地质环境治理工程预算定额标准》的规定计取，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类区，甲类工</w:t>
      </w:r>
      <w:r>
        <w:rPr>
          <w:rFonts w:hint="default" w:ascii="Times New Roman" w:hAnsi="Times New Roman" w:eastAsia="宋体" w:cs="Times New Roman"/>
          <w:color w:val="auto"/>
          <w:sz w:val="24"/>
          <w:szCs w:val="24"/>
          <w:highlight w:val="none"/>
          <w:lang w:val="en-US" w:eastAsia="zh-CN"/>
        </w:rPr>
        <w:t>94.15</w:t>
      </w:r>
      <w:r>
        <w:rPr>
          <w:rFonts w:hint="default" w:ascii="Times New Roman" w:hAnsi="Times New Roman" w:eastAsia="宋体" w:cs="Times New Roman"/>
          <w:color w:val="auto"/>
          <w:sz w:val="24"/>
          <w:szCs w:val="24"/>
          <w:highlight w:val="none"/>
        </w:rPr>
        <w:t>元／工日，乙类工</w:t>
      </w:r>
      <w:r>
        <w:rPr>
          <w:rFonts w:hint="default" w:ascii="Times New Roman" w:hAnsi="Times New Roman" w:eastAsia="宋体" w:cs="Times New Roman"/>
          <w:color w:val="auto"/>
          <w:sz w:val="24"/>
          <w:szCs w:val="24"/>
          <w:highlight w:val="none"/>
          <w:lang w:val="en-US" w:eastAsia="zh-CN"/>
        </w:rPr>
        <w:t>69.11</w:t>
      </w:r>
      <w:r>
        <w:rPr>
          <w:rFonts w:hint="default" w:ascii="Times New Roman" w:hAnsi="Times New Roman" w:eastAsia="宋体" w:cs="Times New Roman"/>
          <w:color w:val="auto"/>
          <w:sz w:val="24"/>
          <w:szCs w:val="24"/>
          <w:highlight w:val="none"/>
        </w:rPr>
        <w:t>元／工日。</w:t>
      </w:r>
    </w:p>
    <w:p w14:paraId="17318847">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材料费=定额材料用量×材料单价，主要材料单价按照《内蒙古自治区矿山地质环境治理工程预算定额标准》编制，超出限价部分单独计算材料价差，主要材料以外的材料价格以赤峰市或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202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季度市场价格计取并以材料到工地实际价格计。</w:t>
      </w:r>
    </w:p>
    <w:p w14:paraId="45E64CF2">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施工机械使用费=定额机械使用量（台班）×施工机械台班费（元／台班）。台班费定额依据《内蒙古自治区矿山地质环境治理工程预算定额标准》编制。</w:t>
      </w:r>
    </w:p>
    <w:p w14:paraId="08254D70">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②措施费</w:t>
      </w:r>
    </w:p>
    <w:p w14:paraId="2B5BB978">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措施费是指为完成工程项目施工，发生于该工程施工前和施工过程中非工程实体项目的费用，包括临时设施费、冬雨季施工增加费、施工辅助费和安全施工措施费，本项目不计夜间施工增加费。措施费按项目直接工程费×措施费费率进行计算。其费率依据《内蒙古自治区矿山地质环境治理工程预算定额标准》计取。</w:t>
      </w:r>
    </w:p>
    <w:p w14:paraId="70E03BA2">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-1  措施费费率表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267"/>
        <w:gridCol w:w="1180"/>
        <w:gridCol w:w="1606"/>
        <w:gridCol w:w="1189"/>
        <w:gridCol w:w="1403"/>
        <w:gridCol w:w="1107"/>
      </w:tblGrid>
      <w:tr w14:paraId="50C2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99A50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1267" w:type="dxa"/>
            <w:tcBorders>
              <w:top w:val="single" w:color="auto" w:sz="4" w:space="0"/>
              <w:left w:val="single" w:color="auto" w:sz="4" w:space="0"/>
              <w:bottom w:val="single" w:color="auto" w:sz="4" w:space="0"/>
              <w:right w:val="single" w:color="auto" w:sz="4" w:space="0"/>
            </w:tcBorders>
            <w:vAlign w:val="center"/>
          </w:tcPr>
          <w:p w14:paraId="603FF7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1180" w:type="dxa"/>
            <w:tcBorders>
              <w:top w:val="single" w:color="auto" w:sz="4" w:space="0"/>
              <w:left w:val="single" w:color="auto" w:sz="4" w:space="0"/>
              <w:bottom w:val="single" w:color="auto" w:sz="4" w:space="0"/>
              <w:right w:val="single" w:color="auto" w:sz="4" w:space="0"/>
            </w:tcBorders>
            <w:vAlign w:val="center"/>
          </w:tcPr>
          <w:p w14:paraId="5D919C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临时设施费率（%）</w:t>
            </w:r>
          </w:p>
        </w:tc>
        <w:tc>
          <w:tcPr>
            <w:tcW w:w="1606" w:type="dxa"/>
            <w:tcBorders>
              <w:top w:val="single" w:color="auto" w:sz="4" w:space="0"/>
              <w:left w:val="single" w:color="auto" w:sz="4" w:space="0"/>
              <w:bottom w:val="single" w:color="auto" w:sz="4" w:space="0"/>
              <w:right w:val="single" w:color="auto" w:sz="4" w:space="0"/>
            </w:tcBorders>
            <w:vAlign w:val="center"/>
          </w:tcPr>
          <w:p w14:paraId="7A84B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冬雨季施工增加费率（%）</w:t>
            </w:r>
          </w:p>
        </w:tc>
        <w:tc>
          <w:tcPr>
            <w:tcW w:w="1189" w:type="dxa"/>
            <w:tcBorders>
              <w:top w:val="single" w:color="auto" w:sz="4" w:space="0"/>
              <w:left w:val="single" w:color="auto" w:sz="4" w:space="0"/>
              <w:bottom w:val="single" w:color="auto" w:sz="4" w:space="0"/>
              <w:right w:val="single" w:color="auto" w:sz="4" w:space="0"/>
            </w:tcBorders>
            <w:vAlign w:val="center"/>
          </w:tcPr>
          <w:p w14:paraId="4927FE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施工辅助</w:t>
            </w:r>
          </w:p>
          <w:p w14:paraId="636E80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c>
          <w:tcPr>
            <w:tcW w:w="1403" w:type="dxa"/>
            <w:tcBorders>
              <w:top w:val="single" w:color="auto" w:sz="4" w:space="0"/>
              <w:left w:val="single" w:color="auto" w:sz="4" w:space="0"/>
              <w:bottom w:val="single" w:color="auto" w:sz="4" w:space="0"/>
              <w:right w:val="single" w:color="auto" w:sz="4" w:space="0"/>
            </w:tcBorders>
            <w:vAlign w:val="center"/>
          </w:tcPr>
          <w:p w14:paraId="1B897D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安全施工措施费率（%）</w:t>
            </w:r>
          </w:p>
        </w:tc>
        <w:tc>
          <w:tcPr>
            <w:tcW w:w="1107" w:type="dxa"/>
            <w:tcBorders>
              <w:top w:val="single" w:color="auto" w:sz="4" w:space="0"/>
              <w:left w:val="single" w:color="auto" w:sz="4" w:space="0"/>
              <w:bottom w:val="single" w:color="auto" w:sz="4" w:space="0"/>
              <w:right w:val="single" w:color="auto" w:sz="4" w:space="0"/>
            </w:tcBorders>
            <w:vAlign w:val="center"/>
          </w:tcPr>
          <w:p w14:paraId="035F20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费率合计（%）</w:t>
            </w:r>
          </w:p>
        </w:tc>
      </w:tr>
      <w:tr w14:paraId="4DD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EE943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1</w:t>
            </w:r>
          </w:p>
        </w:tc>
        <w:tc>
          <w:tcPr>
            <w:tcW w:w="1267" w:type="dxa"/>
            <w:tcBorders>
              <w:top w:val="single" w:color="auto" w:sz="4" w:space="0"/>
              <w:left w:val="single" w:color="auto" w:sz="4" w:space="0"/>
              <w:bottom w:val="single" w:color="auto" w:sz="4" w:space="0"/>
              <w:right w:val="single" w:color="auto" w:sz="4" w:space="0"/>
            </w:tcBorders>
            <w:vAlign w:val="center"/>
          </w:tcPr>
          <w:p w14:paraId="59A7A1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1180" w:type="dxa"/>
            <w:tcBorders>
              <w:top w:val="single" w:color="auto" w:sz="4" w:space="0"/>
              <w:left w:val="single" w:color="auto" w:sz="4" w:space="0"/>
              <w:bottom w:val="single" w:color="auto" w:sz="4" w:space="0"/>
              <w:right w:val="single" w:color="auto" w:sz="4" w:space="0"/>
            </w:tcBorders>
            <w:vAlign w:val="center"/>
          </w:tcPr>
          <w:p w14:paraId="2D279F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450337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56C39C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BA452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1DF6D8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41DF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B8EE4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267" w:type="dxa"/>
            <w:tcBorders>
              <w:top w:val="single" w:color="auto" w:sz="4" w:space="0"/>
              <w:left w:val="single" w:color="auto" w:sz="4" w:space="0"/>
              <w:bottom w:val="single" w:color="auto" w:sz="4" w:space="0"/>
              <w:right w:val="single" w:color="auto" w:sz="4" w:space="0"/>
            </w:tcBorders>
            <w:vAlign w:val="center"/>
          </w:tcPr>
          <w:p w14:paraId="241FB5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1180" w:type="dxa"/>
            <w:tcBorders>
              <w:top w:val="single" w:color="auto" w:sz="4" w:space="0"/>
              <w:left w:val="single" w:color="auto" w:sz="4" w:space="0"/>
              <w:bottom w:val="single" w:color="auto" w:sz="4" w:space="0"/>
              <w:right w:val="single" w:color="auto" w:sz="4" w:space="0"/>
            </w:tcBorders>
            <w:vAlign w:val="center"/>
          </w:tcPr>
          <w:p w14:paraId="171A59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708804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37C6FD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972B7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3BE591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14:paraId="6C84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AB1CD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267" w:type="dxa"/>
            <w:tcBorders>
              <w:top w:val="single" w:color="auto" w:sz="4" w:space="0"/>
              <w:left w:val="single" w:color="auto" w:sz="4" w:space="0"/>
              <w:bottom w:val="single" w:color="auto" w:sz="4" w:space="0"/>
              <w:right w:val="single" w:color="auto" w:sz="4" w:space="0"/>
            </w:tcBorders>
            <w:vAlign w:val="center"/>
          </w:tcPr>
          <w:p w14:paraId="42A1A1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1180" w:type="dxa"/>
            <w:tcBorders>
              <w:top w:val="single" w:color="auto" w:sz="4" w:space="0"/>
              <w:left w:val="single" w:color="auto" w:sz="4" w:space="0"/>
              <w:bottom w:val="single" w:color="auto" w:sz="4" w:space="0"/>
              <w:right w:val="single" w:color="auto" w:sz="4" w:space="0"/>
            </w:tcBorders>
            <w:vAlign w:val="center"/>
          </w:tcPr>
          <w:p w14:paraId="5CBC54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31161B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44DDC0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412A7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3C2E5A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14:paraId="0367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87B73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1267" w:type="dxa"/>
            <w:tcBorders>
              <w:top w:val="single" w:color="auto" w:sz="4" w:space="0"/>
              <w:left w:val="single" w:color="auto" w:sz="4" w:space="0"/>
              <w:bottom w:val="single" w:color="auto" w:sz="4" w:space="0"/>
              <w:right w:val="single" w:color="auto" w:sz="4" w:space="0"/>
            </w:tcBorders>
            <w:vAlign w:val="center"/>
          </w:tcPr>
          <w:p w14:paraId="33CFAE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1180" w:type="dxa"/>
            <w:tcBorders>
              <w:top w:val="single" w:color="auto" w:sz="4" w:space="0"/>
              <w:left w:val="single" w:color="auto" w:sz="4" w:space="0"/>
              <w:bottom w:val="single" w:color="auto" w:sz="4" w:space="0"/>
              <w:right w:val="single" w:color="auto" w:sz="4" w:space="0"/>
            </w:tcBorders>
            <w:vAlign w:val="center"/>
          </w:tcPr>
          <w:p w14:paraId="4A44E3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606" w:type="dxa"/>
            <w:tcBorders>
              <w:top w:val="single" w:color="auto" w:sz="4" w:space="0"/>
              <w:left w:val="single" w:color="auto" w:sz="4" w:space="0"/>
              <w:bottom w:val="single" w:color="auto" w:sz="4" w:space="0"/>
              <w:right w:val="single" w:color="auto" w:sz="4" w:space="0"/>
            </w:tcBorders>
            <w:vAlign w:val="center"/>
          </w:tcPr>
          <w:p w14:paraId="1BFDA0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0759BD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6B1D8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66B070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4.6</w:t>
            </w:r>
          </w:p>
        </w:tc>
      </w:tr>
      <w:tr w14:paraId="2888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113F2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1BF1E4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1180" w:type="dxa"/>
            <w:tcBorders>
              <w:top w:val="single" w:color="auto" w:sz="4" w:space="0"/>
              <w:left w:val="single" w:color="auto" w:sz="4" w:space="0"/>
              <w:bottom w:val="single" w:color="auto" w:sz="4" w:space="0"/>
              <w:right w:val="single" w:color="auto" w:sz="4" w:space="0"/>
            </w:tcBorders>
            <w:vAlign w:val="center"/>
          </w:tcPr>
          <w:p w14:paraId="6A0C99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09F1CA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66D11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18D99C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5BA203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79F0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C7F87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3A731D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1180" w:type="dxa"/>
            <w:tcBorders>
              <w:top w:val="single" w:color="auto" w:sz="4" w:space="0"/>
              <w:left w:val="single" w:color="auto" w:sz="4" w:space="0"/>
              <w:bottom w:val="single" w:color="auto" w:sz="4" w:space="0"/>
              <w:right w:val="single" w:color="auto" w:sz="4" w:space="0"/>
            </w:tcBorders>
            <w:vAlign w:val="center"/>
          </w:tcPr>
          <w:p w14:paraId="3559E1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7E18D9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14660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06936D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241DD8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bl>
    <w:p w14:paraId="7E4FFD58">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间接费</w:t>
      </w:r>
    </w:p>
    <w:p w14:paraId="4F4476BF">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间接费包括企业管理费和规费，依据《内蒙古自治区矿山地质环境治理工程预算定额标准》规定，间接费率按工程类别进行计取，间接费按项目直接费×间接费费率进行计算。</w:t>
      </w:r>
    </w:p>
    <w:p w14:paraId="30DE49E9">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-2  间接费费率表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2315"/>
        <w:gridCol w:w="2332"/>
        <w:gridCol w:w="1850"/>
      </w:tblGrid>
      <w:tr w14:paraId="31C2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CB1BB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2315" w:type="dxa"/>
            <w:tcBorders>
              <w:top w:val="single" w:color="auto" w:sz="4" w:space="0"/>
              <w:left w:val="single" w:color="auto" w:sz="4" w:space="0"/>
              <w:bottom w:val="single" w:color="auto" w:sz="4" w:space="0"/>
              <w:right w:val="single" w:color="auto" w:sz="4" w:space="0"/>
            </w:tcBorders>
            <w:vAlign w:val="center"/>
          </w:tcPr>
          <w:p w14:paraId="17EF27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2332" w:type="dxa"/>
            <w:tcBorders>
              <w:top w:val="single" w:color="auto" w:sz="4" w:space="0"/>
              <w:left w:val="single" w:color="auto" w:sz="4" w:space="0"/>
              <w:bottom w:val="single" w:color="auto" w:sz="4" w:space="0"/>
              <w:right w:val="single" w:color="auto" w:sz="4" w:space="0"/>
            </w:tcBorders>
            <w:vAlign w:val="center"/>
          </w:tcPr>
          <w:p w14:paraId="1FF0EA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计算基础</w:t>
            </w:r>
          </w:p>
        </w:tc>
        <w:tc>
          <w:tcPr>
            <w:tcW w:w="1850" w:type="dxa"/>
            <w:tcBorders>
              <w:top w:val="single" w:color="auto" w:sz="4" w:space="0"/>
              <w:left w:val="single" w:color="auto" w:sz="4" w:space="0"/>
              <w:bottom w:val="single" w:color="auto" w:sz="4" w:space="0"/>
              <w:right w:val="single" w:color="auto" w:sz="4" w:space="0"/>
            </w:tcBorders>
            <w:vAlign w:val="center"/>
          </w:tcPr>
          <w:p w14:paraId="03F35D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r>
      <w:tr w14:paraId="4DFC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02657B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l</w:t>
            </w:r>
          </w:p>
        </w:tc>
        <w:tc>
          <w:tcPr>
            <w:tcW w:w="2315" w:type="dxa"/>
            <w:tcBorders>
              <w:top w:val="single" w:color="auto" w:sz="4" w:space="0"/>
              <w:left w:val="single" w:color="auto" w:sz="4" w:space="0"/>
              <w:bottom w:val="single" w:color="auto" w:sz="4" w:space="0"/>
              <w:right w:val="single" w:color="auto" w:sz="4" w:space="0"/>
            </w:tcBorders>
            <w:vAlign w:val="center"/>
          </w:tcPr>
          <w:p w14:paraId="587D5D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2332" w:type="dxa"/>
            <w:tcBorders>
              <w:top w:val="single" w:color="auto" w:sz="4" w:space="0"/>
              <w:left w:val="single" w:color="auto" w:sz="4" w:space="0"/>
              <w:bottom w:val="single" w:color="auto" w:sz="4" w:space="0"/>
              <w:right w:val="single" w:color="auto" w:sz="4" w:space="0"/>
            </w:tcBorders>
            <w:vAlign w:val="center"/>
          </w:tcPr>
          <w:p w14:paraId="4DECD0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2F2AEF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3CA0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11A747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2315" w:type="dxa"/>
            <w:tcBorders>
              <w:top w:val="single" w:color="auto" w:sz="4" w:space="0"/>
              <w:left w:val="single" w:color="auto" w:sz="4" w:space="0"/>
              <w:bottom w:val="single" w:color="auto" w:sz="4" w:space="0"/>
              <w:right w:val="single" w:color="auto" w:sz="4" w:space="0"/>
            </w:tcBorders>
            <w:vAlign w:val="center"/>
          </w:tcPr>
          <w:p w14:paraId="7132CF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2332" w:type="dxa"/>
            <w:tcBorders>
              <w:top w:val="single" w:color="auto" w:sz="4" w:space="0"/>
              <w:left w:val="single" w:color="auto" w:sz="4" w:space="0"/>
              <w:bottom w:val="single" w:color="auto" w:sz="4" w:space="0"/>
              <w:right w:val="single" w:color="auto" w:sz="4" w:space="0"/>
            </w:tcBorders>
            <w:vAlign w:val="center"/>
          </w:tcPr>
          <w:p w14:paraId="2CE695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35C1DF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218B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DEA11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2315" w:type="dxa"/>
            <w:tcBorders>
              <w:top w:val="single" w:color="auto" w:sz="4" w:space="0"/>
              <w:left w:val="single" w:color="auto" w:sz="4" w:space="0"/>
              <w:bottom w:val="single" w:color="auto" w:sz="4" w:space="0"/>
              <w:right w:val="single" w:color="auto" w:sz="4" w:space="0"/>
            </w:tcBorders>
            <w:vAlign w:val="center"/>
          </w:tcPr>
          <w:p w14:paraId="2EEBA3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2332" w:type="dxa"/>
            <w:tcBorders>
              <w:top w:val="single" w:color="auto" w:sz="4" w:space="0"/>
              <w:left w:val="single" w:color="auto" w:sz="4" w:space="0"/>
              <w:bottom w:val="single" w:color="auto" w:sz="4" w:space="0"/>
              <w:right w:val="single" w:color="auto" w:sz="4" w:space="0"/>
            </w:tcBorders>
            <w:vAlign w:val="center"/>
          </w:tcPr>
          <w:p w14:paraId="432854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4D8E9C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7C87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19BAE9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2315" w:type="dxa"/>
            <w:tcBorders>
              <w:top w:val="single" w:color="auto" w:sz="4" w:space="0"/>
              <w:left w:val="single" w:color="auto" w:sz="4" w:space="0"/>
              <w:bottom w:val="single" w:color="auto" w:sz="4" w:space="0"/>
              <w:right w:val="single" w:color="auto" w:sz="4" w:space="0"/>
            </w:tcBorders>
            <w:vAlign w:val="center"/>
          </w:tcPr>
          <w:p w14:paraId="130269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2332" w:type="dxa"/>
            <w:tcBorders>
              <w:top w:val="single" w:color="auto" w:sz="4" w:space="0"/>
              <w:left w:val="single" w:color="auto" w:sz="4" w:space="0"/>
              <w:bottom w:val="single" w:color="auto" w:sz="4" w:space="0"/>
              <w:right w:val="single" w:color="auto" w:sz="4" w:space="0"/>
            </w:tcBorders>
            <w:vAlign w:val="center"/>
          </w:tcPr>
          <w:p w14:paraId="232258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74EAD9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2DDB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42A850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2315" w:type="dxa"/>
            <w:tcBorders>
              <w:top w:val="single" w:color="auto" w:sz="4" w:space="0"/>
              <w:left w:val="single" w:color="auto" w:sz="4" w:space="0"/>
              <w:bottom w:val="single" w:color="auto" w:sz="4" w:space="0"/>
              <w:right w:val="single" w:color="auto" w:sz="4" w:space="0"/>
            </w:tcBorders>
            <w:vAlign w:val="center"/>
          </w:tcPr>
          <w:p w14:paraId="0D625B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2332" w:type="dxa"/>
            <w:tcBorders>
              <w:top w:val="single" w:color="auto" w:sz="4" w:space="0"/>
              <w:left w:val="single" w:color="auto" w:sz="4" w:space="0"/>
              <w:bottom w:val="single" w:color="auto" w:sz="4" w:space="0"/>
              <w:right w:val="single" w:color="auto" w:sz="4" w:space="0"/>
            </w:tcBorders>
            <w:vAlign w:val="center"/>
          </w:tcPr>
          <w:p w14:paraId="627643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0CF003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0A28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40393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c>
          <w:tcPr>
            <w:tcW w:w="2315" w:type="dxa"/>
            <w:tcBorders>
              <w:top w:val="single" w:color="auto" w:sz="4" w:space="0"/>
              <w:left w:val="single" w:color="auto" w:sz="4" w:space="0"/>
              <w:bottom w:val="single" w:color="auto" w:sz="4" w:space="0"/>
              <w:right w:val="single" w:color="auto" w:sz="4" w:space="0"/>
            </w:tcBorders>
            <w:vAlign w:val="center"/>
          </w:tcPr>
          <w:p w14:paraId="17296D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2332" w:type="dxa"/>
            <w:tcBorders>
              <w:top w:val="single" w:color="auto" w:sz="4" w:space="0"/>
              <w:left w:val="single" w:color="auto" w:sz="4" w:space="0"/>
              <w:bottom w:val="single" w:color="auto" w:sz="4" w:space="0"/>
              <w:right w:val="single" w:color="auto" w:sz="4" w:space="0"/>
            </w:tcBorders>
            <w:vAlign w:val="center"/>
          </w:tcPr>
          <w:p w14:paraId="3D0423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209B7F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bl>
    <w:p w14:paraId="49C1697B">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利润</w:t>
      </w:r>
    </w:p>
    <w:p w14:paraId="055F1EF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依据《内蒙古自治区矿山地质环境治理工程预算定额标准》规定，利润按直接费与间接费之和的3%计取。</w:t>
      </w:r>
    </w:p>
    <w:p w14:paraId="0FD5697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税金</w:t>
      </w:r>
    </w:p>
    <w:p w14:paraId="2CA3F2C5">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依据《内蒙古自治区矿山地质环境治理工程预算定额标准》，税金按直接费、间接费、利润之和的3.28%计取。</w:t>
      </w:r>
    </w:p>
    <w:p w14:paraId="3AEAE5D8">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其他费用</w:t>
      </w:r>
    </w:p>
    <w:p w14:paraId="2F7A56D3">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其他费用包括前期工作费、工程监理费、竣工验收费、项目管理费。</w:t>
      </w:r>
    </w:p>
    <w:p w14:paraId="0584966B">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前期工作费</w:t>
      </w:r>
    </w:p>
    <w:p w14:paraId="107E038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包括项目可研论证费、项目勘测与设计费、项目招标代理费。</w:t>
      </w:r>
    </w:p>
    <w:p w14:paraId="6F0D05B2">
      <w:pPr>
        <w:wordWrap/>
        <w:spacing w:before="120" w:beforeLines="50" w:line="360" w:lineRule="auto"/>
        <w:ind w:firstLine="48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4"/>
          <w:szCs w:val="24"/>
          <w:highlight w:val="none"/>
        </w:rPr>
        <w:t>项目可研论证费以工程施工费作为计费基数，采用分档定额计费方式计算，各区间按内插法确定。</w:t>
      </w:r>
    </w:p>
    <w:p w14:paraId="5137EFA1">
      <w:pPr>
        <w:keepNext w:val="0"/>
        <w:keepLines w:val="0"/>
        <w:pageBreakBefore w:val="0"/>
        <w:widowControl w:val="0"/>
        <w:kinsoku/>
        <w:wordWrap/>
        <w:overflowPunct/>
        <w:topLinePunct w:val="0"/>
        <w:autoSpaceDE/>
        <w:autoSpaceDN/>
        <w:bidi w:val="0"/>
        <w:adjustRightInd w:val="0"/>
        <w:snapToGrid w:val="0"/>
        <w:spacing w:before="120" w:beforeLines="50"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-3  项目可研论证费计费标准</w:t>
      </w:r>
    </w:p>
    <w:tbl>
      <w:tblPr>
        <w:tblStyle w:val="18"/>
        <w:tblW w:w="0" w:type="auto"/>
        <w:jc w:val="center"/>
        <w:tblLayout w:type="fixed"/>
        <w:tblCellMar>
          <w:top w:w="0" w:type="dxa"/>
          <w:left w:w="108" w:type="dxa"/>
          <w:bottom w:w="0" w:type="dxa"/>
          <w:right w:w="108" w:type="dxa"/>
        </w:tblCellMar>
      </w:tblPr>
      <w:tblGrid>
        <w:gridCol w:w="1336"/>
        <w:gridCol w:w="3644"/>
        <w:gridCol w:w="3410"/>
      </w:tblGrid>
      <w:tr w14:paraId="5BBDC8F7">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70964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644" w:type="dxa"/>
            <w:tcBorders>
              <w:top w:val="single" w:color="auto" w:sz="4" w:space="0"/>
              <w:left w:val="single" w:color="auto" w:sz="4" w:space="0"/>
              <w:bottom w:val="single" w:color="auto" w:sz="4" w:space="0"/>
              <w:right w:val="single" w:color="auto" w:sz="4" w:space="0"/>
            </w:tcBorders>
            <w:vAlign w:val="center"/>
          </w:tcPr>
          <w:p w14:paraId="1459C6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410" w:type="dxa"/>
            <w:tcBorders>
              <w:top w:val="single" w:color="auto" w:sz="4" w:space="0"/>
              <w:left w:val="single" w:color="auto" w:sz="4" w:space="0"/>
              <w:bottom w:val="single" w:color="auto" w:sz="4" w:space="0"/>
              <w:right w:val="single" w:color="auto" w:sz="4" w:space="0"/>
            </w:tcBorders>
            <w:vAlign w:val="center"/>
          </w:tcPr>
          <w:p w14:paraId="45D48F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项目可研论证费（万元）</w:t>
            </w:r>
          </w:p>
        </w:tc>
      </w:tr>
      <w:tr w14:paraId="2CD362AE">
        <w:tblPrEx>
          <w:tblCellMar>
            <w:top w:w="0" w:type="dxa"/>
            <w:left w:w="108" w:type="dxa"/>
            <w:bottom w:w="0" w:type="dxa"/>
            <w:right w:w="108" w:type="dxa"/>
          </w:tblCellMar>
        </w:tblPrEx>
        <w:trPr>
          <w:trHeight w:val="312" w:hRule="atLeast"/>
          <w:jc w:val="center"/>
        </w:trPr>
        <w:tc>
          <w:tcPr>
            <w:tcW w:w="1336" w:type="dxa"/>
            <w:tcBorders>
              <w:top w:val="nil"/>
              <w:left w:val="single" w:color="auto" w:sz="4" w:space="0"/>
              <w:bottom w:val="single" w:color="auto" w:sz="4" w:space="0"/>
              <w:right w:val="single" w:color="auto" w:sz="4" w:space="0"/>
            </w:tcBorders>
            <w:vAlign w:val="center"/>
          </w:tcPr>
          <w:p w14:paraId="70F112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644" w:type="dxa"/>
            <w:tcBorders>
              <w:top w:val="nil"/>
              <w:left w:val="nil"/>
              <w:bottom w:val="single" w:color="auto" w:sz="4" w:space="0"/>
              <w:right w:val="single" w:color="auto" w:sz="4" w:space="0"/>
            </w:tcBorders>
            <w:vAlign w:val="center"/>
          </w:tcPr>
          <w:p w14:paraId="06F506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410" w:type="dxa"/>
            <w:tcBorders>
              <w:top w:val="nil"/>
              <w:left w:val="nil"/>
              <w:bottom w:val="single" w:color="auto" w:sz="4" w:space="0"/>
              <w:right w:val="single" w:color="auto" w:sz="4" w:space="0"/>
            </w:tcBorders>
            <w:vAlign w:val="center"/>
          </w:tcPr>
          <w:p w14:paraId="5D9F8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14:paraId="10BC42E3">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750E6F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644" w:type="dxa"/>
            <w:tcBorders>
              <w:top w:val="single" w:color="auto" w:sz="4" w:space="0"/>
              <w:left w:val="nil"/>
              <w:bottom w:val="single" w:color="auto" w:sz="4" w:space="0"/>
              <w:right w:val="single" w:color="auto" w:sz="4" w:space="0"/>
            </w:tcBorders>
            <w:vAlign w:val="center"/>
          </w:tcPr>
          <w:p w14:paraId="4A4817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410" w:type="dxa"/>
            <w:tcBorders>
              <w:top w:val="single" w:color="auto" w:sz="4" w:space="0"/>
              <w:left w:val="nil"/>
              <w:bottom w:val="single" w:color="auto" w:sz="4" w:space="0"/>
              <w:right w:val="single" w:color="auto" w:sz="4" w:space="0"/>
            </w:tcBorders>
            <w:vAlign w:val="center"/>
          </w:tcPr>
          <w:p w14:paraId="128747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0BE98FE1">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1C62E0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644" w:type="dxa"/>
            <w:tcBorders>
              <w:top w:val="single" w:color="auto" w:sz="4" w:space="0"/>
              <w:left w:val="nil"/>
              <w:bottom w:val="single" w:color="auto" w:sz="4" w:space="0"/>
              <w:right w:val="single" w:color="auto" w:sz="4" w:space="0"/>
            </w:tcBorders>
            <w:vAlign w:val="center"/>
          </w:tcPr>
          <w:p w14:paraId="05532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410" w:type="dxa"/>
            <w:tcBorders>
              <w:top w:val="single" w:color="auto" w:sz="4" w:space="0"/>
              <w:left w:val="nil"/>
              <w:bottom w:val="single" w:color="auto" w:sz="4" w:space="0"/>
              <w:right w:val="single" w:color="auto" w:sz="4" w:space="0"/>
            </w:tcBorders>
            <w:vAlign w:val="center"/>
          </w:tcPr>
          <w:p w14:paraId="629B12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r>
      <w:tr w14:paraId="55C6850E">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5FC904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644" w:type="dxa"/>
            <w:tcBorders>
              <w:top w:val="single" w:color="auto" w:sz="4" w:space="0"/>
              <w:left w:val="nil"/>
              <w:bottom w:val="single" w:color="auto" w:sz="4" w:space="0"/>
              <w:right w:val="single" w:color="auto" w:sz="4" w:space="0"/>
            </w:tcBorders>
            <w:vAlign w:val="center"/>
          </w:tcPr>
          <w:p w14:paraId="031DDE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410" w:type="dxa"/>
            <w:tcBorders>
              <w:top w:val="single" w:color="auto" w:sz="4" w:space="0"/>
              <w:left w:val="nil"/>
              <w:bottom w:val="single" w:color="auto" w:sz="4" w:space="0"/>
              <w:right w:val="single" w:color="auto" w:sz="4" w:space="0"/>
            </w:tcBorders>
            <w:vAlign w:val="center"/>
          </w:tcPr>
          <w:p w14:paraId="6FE6F6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r>
      <w:tr w14:paraId="4C4AB738">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359A1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644" w:type="dxa"/>
            <w:tcBorders>
              <w:top w:val="single" w:color="auto" w:sz="4" w:space="0"/>
              <w:left w:val="nil"/>
              <w:bottom w:val="single" w:color="auto" w:sz="4" w:space="0"/>
              <w:right w:val="single" w:color="auto" w:sz="4" w:space="0"/>
            </w:tcBorders>
            <w:vAlign w:val="center"/>
          </w:tcPr>
          <w:p w14:paraId="0C2386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410" w:type="dxa"/>
            <w:tcBorders>
              <w:top w:val="single" w:color="auto" w:sz="4" w:space="0"/>
              <w:left w:val="nil"/>
              <w:bottom w:val="single" w:color="auto" w:sz="4" w:space="0"/>
              <w:right w:val="single" w:color="auto" w:sz="4" w:space="0"/>
            </w:tcBorders>
            <w:vAlign w:val="center"/>
          </w:tcPr>
          <w:p w14:paraId="1C18A8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r>
      <w:tr w14:paraId="66F564FD">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15352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644" w:type="dxa"/>
            <w:tcBorders>
              <w:top w:val="single" w:color="auto" w:sz="4" w:space="0"/>
              <w:left w:val="nil"/>
              <w:bottom w:val="single" w:color="auto" w:sz="4" w:space="0"/>
              <w:right w:val="single" w:color="auto" w:sz="4" w:space="0"/>
            </w:tcBorders>
            <w:vAlign w:val="center"/>
          </w:tcPr>
          <w:p w14:paraId="6FFC7E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410" w:type="dxa"/>
            <w:tcBorders>
              <w:top w:val="single" w:color="auto" w:sz="4" w:space="0"/>
              <w:left w:val="nil"/>
              <w:bottom w:val="single" w:color="auto" w:sz="4" w:space="0"/>
              <w:right w:val="single" w:color="auto" w:sz="4" w:space="0"/>
            </w:tcBorders>
            <w:vAlign w:val="center"/>
          </w:tcPr>
          <w:p w14:paraId="0E5103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r>
    </w:tbl>
    <w:p w14:paraId="0691B2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注：计费基数大于1亿元时，按计费基数的0.25%计取。</w:t>
      </w:r>
    </w:p>
    <w:p w14:paraId="093522E2">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项目勘测与设计费以工程施工费作为计费基数，采用分档定额计费方式计算，各区间按内插法确定。其中勘测费可按不超过工程施工费的1.5%单独计算，剩余部分可计为项目设计与预算编制费。</w:t>
      </w:r>
    </w:p>
    <w:p w14:paraId="48C0D26F">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6-4</w:t>
      </w:r>
      <w:r>
        <w:rPr>
          <w:rFonts w:hint="default" w:ascii="Times New Roman" w:hAnsi="Times New Roman" w:eastAsia="宋体" w:cs="Times New Roman"/>
          <w:b/>
          <w:color w:val="auto"/>
          <w:sz w:val="21"/>
          <w:szCs w:val="21"/>
          <w:highlight w:val="none"/>
        </w:rPr>
        <w:t xml:space="preserve">  项目勘测与设计计费标准</w:t>
      </w:r>
    </w:p>
    <w:tbl>
      <w:tblPr>
        <w:tblStyle w:val="18"/>
        <w:tblW w:w="0" w:type="auto"/>
        <w:jc w:val="center"/>
        <w:tblLayout w:type="fixed"/>
        <w:tblCellMar>
          <w:top w:w="0" w:type="dxa"/>
          <w:left w:w="108" w:type="dxa"/>
          <w:bottom w:w="0" w:type="dxa"/>
          <w:right w:w="108" w:type="dxa"/>
        </w:tblCellMar>
      </w:tblPr>
      <w:tblGrid>
        <w:gridCol w:w="1367"/>
        <w:gridCol w:w="4236"/>
        <w:gridCol w:w="2981"/>
      </w:tblGrid>
      <w:tr w14:paraId="47E92491">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7F2CC2A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236" w:type="dxa"/>
            <w:tcBorders>
              <w:top w:val="single" w:color="auto" w:sz="4" w:space="0"/>
              <w:left w:val="single" w:color="auto" w:sz="4" w:space="0"/>
              <w:bottom w:val="single" w:color="auto" w:sz="4" w:space="0"/>
              <w:right w:val="single" w:color="auto" w:sz="4" w:space="0"/>
            </w:tcBorders>
            <w:vAlign w:val="center"/>
          </w:tcPr>
          <w:p w14:paraId="78B03B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981" w:type="dxa"/>
            <w:tcBorders>
              <w:top w:val="single" w:color="auto" w:sz="4" w:space="0"/>
              <w:left w:val="single" w:color="auto" w:sz="4" w:space="0"/>
              <w:bottom w:val="single" w:color="auto" w:sz="4" w:space="0"/>
              <w:right w:val="single" w:color="auto" w:sz="4" w:space="0"/>
            </w:tcBorders>
            <w:vAlign w:val="center"/>
          </w:tcPr>
          <w:p w14:paraId="50C3610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项目勘测与设计计费（万元）</w:t>
            </w:r>
          </w:p>
        </w:tc>
      </w:tr>
      <w:tr w14:paraId="4C722A10">
        <w:tblPrEx>
          <w:tblCellMar>
            <w:top w:w="0" w:type="dxa"/>
            <w:left w:w="108" w:type="dxa"/>
            <w:bottom w:w="0" w:type="dxa"/>
            <w:right w:w="108" w:type="dxa"/>
          </w:tblCellMar>
        </w:tblPrEx>
        <w:trPr>
          <w:trHeight w:val="312" w:hRule="atLeast"/>
          <w:jc w:val="center"/>
        </w:trPr>
        <w:tc>
          <w:tcPr>
            <w:tcW w:w="1367" w:type="dxa"/>
            <w:tcBorders>
              <w:top w:val="nil"/>
              <w:left w:val="single" w:color="auto" w:sz="4" w:space="0"/>
              <w:bottom w:val="single" w:color="auto" w:sz="4" w:space="0"/>
              <w:right w:val="single" w:color="auto" w:sz="4" w:space="0"/>
            </w:tcBorders>
            <w:vAlign w:val="center"/>
          </w:tcPr>
          <w:p w14:paraId="7645242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236" w:type="dxa"/>
            <w:tcBorders>
              <w:top w:val="nil"/>
              <w:left w:val="nil"/>
              <w:bottom w:val="single" w:color="auto" w:sz="4" w:space="0"/>
              <w:right w:val="single" w:color="auto" w:sz="4" w:space="0"/>
            </w:tcBorders>
            <w:vAlign w:val="center"/>
          </w:tcPr>
          <w:p w14:paraId="38D4AE9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981" w:type="dxa"/>
            <w:tcBorders>
              <w:top w:val="nil"/>
              <w:left w:val="nil"/>
              <w:bottom w:val="single" w:color="auto" w:sz="4" w:space="0"/>
              <w:right w:val="single" w:color="auto" w:sz="4" w:space="0"/>
            </w:tcBorders>
            <w:vAlign w:val="center"/>
          </w:tcPr>
          <w:p w14:paraId="412A504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r>
      <w:tr w14:paraId="2F554C6D">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30AF30F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236" w:type="dxa"/>
            <w:tcBorders>
              <w:top w:val="single" w:color="auto" w:sz="4" w:space="0"/>
              <w:left w:val="nil"/>
              <w:bottom w:val="single" w:color="auto" w:sz="4" w:space="0"/>
              <w:right w:val="single" w:color="auto" w:sz="4" w:space="0"/>
            </w:tcBorders>
            <w:vAlign w:val="center"/>
          </w:tcPr>
          <w:p w14:paraId="134993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981" w:type="dxa"/>
            <w:tcBorders>
              <w:top w:val="single" w:color="auto" w:sz="4" w:space="0"/>
              <w:left w:val="nil"/>
              <w:bottom w:val="single" w:color="auto" w:sz="4" w:space="0"/>
              <w:right w:val="single" w:color="auto" w:sz="4" w:space="0"/>
            </w:tcBorders>
            <w:vAlign w:val="center"/>
          </w:tcPr>
          <w:p w14:paraId="121AB54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r>
      <w:tr w14:paraId="53FB3C15">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5BA88CB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236" w:type="dxa"/>
            <w:tcBorders>
              <w:top w:val="single" w:color="auto" w:sz="4" w:space="0"/>
              <w:left w:val="nil"/>
              <w:bottom w:val="single" w:color="auto" w:sz="4" w:space="0"/>
              <w:right w:val="single" w:color="auto" w:sz="4" w:space="0"/>
            </w:tcBorders>
            <w:vAlign w:val="center"/>
          </w:tcPr>
          <w:p w14:paraId="435BB56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981" w:type="dxa"/>
            <w:tcBorders>
              <w:top w:val="single" w:color="auto" w:sz="4" w:space="0"/>
              <w:left w:val="nil"/>
              <w:bottom w:val="single" w:color="auto" w:sz="4" w:space="0"/>
              <w:right w:val="single" w:color="auto" w:sz="4" w:space="0"/>
            </w:tcBorders>
            <w:vAlign w:val="center"/>
          </w:tcPr>
          <w:p w14:paraId="632F0E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14:paraId="410083B5">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30FA998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236" w:type="dxa"/>
            <w:tcBorders>
              <w:top w:val="single" w:color="auto" w:sz="4" w:space="0"/>
              <w:left w:val="nil"/>
              <w:bottom w:val="single" w:color="auto" w:sz="4" w:space="0"/>
              <w:right w:val="single" w:color="auto" w:sz="4" w:space="0"/>
            </w:tcBorders>
            <w:vAlign w:val="center"/>
          </w:tcPr>
          <w:p w14:paraId="61864EE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981" w:type="dxa"/>
            <w:tcBorders>
              <w:top w:val="single" w:color="auto" w:sz="4" w:space="0"/>
              <w:left w:val="nil"/>
              <w:bottom w:val="single" w:color="auto" w:sz="4" w:space="0"/>
              <w:right w:val="single" w:color="auto" w:sz="4" w:space="0"/>
            </w:tcBorders>
            <w:vAlign w:val="center"/>
          </w:tcPr>
          <w:p w14:paraId="5EA068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w:t>
            </w:r>
          </w:p>
        </w:tc>
      </w:tr>
      <w:tr w14:paraId="7E636F75">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3AB75F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236" w:type="dxa"/>
            <w:tcBorders>
              <w:top w:val="single" w:color="auto" w:sz="4" w:space="0"/>
              <w:left w:val="nil"/>
              <w:bottom w:val="single" w:color="auto" w:sz="4" w:space="0"/>
              <w:right w:val="single" w:color="auto" w:sz="4" w:space="0"/>
            </w:tcBorders>
            <w:vAlign w:val="center"/>
          </w:tcPr>
          <w:p w14:paraId="29D7BAC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981" w:type="dxa"/>
            <w:tcBorders>
              <w:top w:val="single" w:color="auto" w:sz="4" w:space="0"/>
              <w:left w:val="nil"/>
              <w:bottom w:val="single" w:color="auto" w:sz="4" w:space="0"/>
              <w:right w:val="single" w:color="auto" w:sz="4" w:space="0"/>
            </w:tcBorders>
            <w:vAlign w:val="center"/>
          </w:tcPr>
          <w:p w14:paraId="505F292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145</w:t>
            </w:r>
          </w:p>
        </w:tc>
      </w:tr>
      <w:tr w14:paraId="1224A45F">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4E04EB4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236" w:type="dxa"/>
            <w:tcBorders>
              <w:top w:val="single" w:color="auto" w:sz="4" w:space="0"/>
              <w:left w:val="nil"/>
              <w:bottom w:val="single" w:color="auto" w:sz="4" w:space="0"/>
              <w:right w:val="single" w:color="auto" w:sz="4" w:space="0"/>
            </w:tcBorders>
            <w:vAlign w:val="center"/>
          </w:tcPr>
          <w:p w14:paraId="6A47752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981" w:type="dxa"/>
            <w:tcBorders>
              <w:top w:val="single" w:color="auto" w:sz="4" w:space="0"/>
              <w:left w:val="nil"/>
              <w:bottom w:val="single" w:color="auto" w:sz="4" w:space="0"/>
              <w:right w:val="single" w:color="auto" w:sz="4" w:space="0"/>
            </w:tcBorders>
            <w:vAlign w:val="center"/>
          </w:tcPr>
          <w:p w14:paraId="69371E4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270</w:t>
            </w:r>
          </w:p>
        </w:tc>
      </w:tr>
    </w:tbl>
    <w:p w14:paraId="02482E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注：计费基数大于1亿元时，按计费基数的2.70%计取。</w:t>
      </w:r>
    </w:p>
    <w:p w14:paraId="306D0A6A">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项目招标代理费以工程施工费作为计费基数，采用差额定率累进法计算。</w:t>
      </w:r>
    </w:p>
    <w:p w14:paraId="18102CDC">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6-5</w:t>
      </w:r>
      <w:r>
        <w:rPr>
          <w:rFonts w:hint="default" w:ascii="Times New Roman" w:hAnsi="Times New Roman" w:eastAsia="宋体" w:cs="Times New Roman"/>
          <w:b/>
          <w:color w:val="auto"/>
          <w:sz w:val="21"/>
          <w:szCs w:val="21"/>
          <w:highlight w:val="none"/>
        </w:rPr>
        <w:t xml:space="preserve">  项目招标代理费计费标准</w:t>
      </w:r>
    </w:p>
    <w:tbl>
      <w:tblPr>
        <w:tblStyle w:val="18"/>
        <w:tblW w:w="8562" w:type="dxa"/>
        <w:jc w:val="center"/>
        <w:tblLayout w:type="fixed"/>
        <w:tblCellMar>
          <w:top w:w="0" w:type="dxa"/>
          <w:left w:w="108" w:type="dxa"/>
          <w:bottom w:w="0" w:type="dxa"/>
          <w:right w:w="108" w:type="dxa"/>
        </w:tblCellMar>
      </w:tblPr>
      <w:tblGrid>
        <w:gridCol w:w="675"/>
        <w:gridCol w:w="1512"/>
        <w:gridCol w:w="990"/>
        <w:gridCol w:w="1785"/>
        <w:gridCol w:w="3600"/>
      </w:tblGrid>
      <w:tr w14:paraId="1B9C632F">
        <w:tblPrEx>
          <w:tblCellMar>
            <w:top w:w="0" w:type="dxa"/>
            <w:left w:w="108" w:type="dxa"/>
            <w:bottom w:w="0" w:type="dxa"/>
            <w:right w:w="108" w:type="dxa"/>
          </w:tblCellMar>
        </w:tblPrEx>
        <w:trPr>
          <w:trHeight w:val="312" w:hRule="atLeast"/>
          <w:jc w:val="center"/>
        </w:trPr>
        <w:tc>
          <w:tcPr>
            <w:tcW w:w="675" w:type="dxa"/>
            <w:vMerge w:val="restart"/>
            <w:tcBorders>
              <w:top w:val="single" w:color="auto" w:sz="4" w:space="0"/>
              <w:left w:val="single" w:color="auto" w:sz="4" w:space="0"/>
              <w:right w:val="single" w:color="auto" w:sz="4" w:space="0"/>
            </w:tcBorders>
            <w:vAlign w:val="center"/>
          </w:tcPr>
          <w:p w14:paraId="519C83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2" w:type="dxa"/>
            <w:vMerge w:val="restart"/>
            <w:tcBorders>
              <w:top w:val="single" w:color="auto" w:sz="4" w:space="0"/>
              <w:left w:val="single" w:color="auto" w:sz="4" w:space="0"/>
              <w:right w:val="single" w:color="auto" w:sz="4" w:space="0"/>
            </w:tcBorders>
            <w:vAlign w:val="center"/>
          </w:tcPr>
          <w:p w14:paraId="0B8C1F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3FB192F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90" w:type="dxa"/>
            <w:vMerge w:val="restart"/>
            <w:tcBorders>
              <w:top w:val="single" w:color="auto" w:sz="4" w:space="0"/>
              <w:left w:val="single" w:color="auto" w:sz="4" w:space="0"/>
              <w:right w:val="single" w:color="auto" w:sz="4" w:space="0"/>
            </w:tcBorders>
            <w:vAlign w:val="center"/>
          </w:tcPr>
          <w:p w14:paraId="0C1ED7E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5E87B3C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385" w:type="dxa"/>
            <w:gridSpan w:val="2"/>
            <w:tcBorders>
              <w:top w:val="single" w:color="auto" w:sz="4" w:space="0"/>
              <w:left w:val="single" w:color="auto" w:sz="4" w:space="0"/>
              <w:bottom w:val="single" w:color="auto" w:sz="4" w:space="0"/>
              <w:right w:val="single" w:color="auto" w:sz="4" w:space="0"/>
            </w:tcBorders>
            <w:vAlign w:val="center"/>
          </w:tcPr>
          <w:p w14:paraId="3F79474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27CDF9AF">
        <w:tblPrEx>
          <w:tblCellMar>
            <w:top w:w="0" w:type="dxa"/>
            <w:left w:w="108" w:type="dxa"/>
            <w:bottom w:w="0" w:type="dxa"/>
            <w:right w:w="108" w:type="dxa"/>
          </w:tblCellMar>
        </w:tblPrEx>
        <w:trPr>
          <w:trHeight w:val="312" w:hRule="atLeast"/>
          <w:jc w:val="center"/>
        </w:trPr>
        <w:tc>
          <w:tcPr>
            <w:tcW w:w="675" w:type="dxa"/>
            <w:vMerge w:val="continue"/>
            <w:tcBorders>
              <w:left w:val="single" w:color="auto" w:sz="4" w:space="0"/>
              <w:bottom w:val="single" w:color="auto" w:sz="4" w:space="0"/>
              <w:right w:val="single" w:color="auto" w:sz="4" w:space="0"/>
            </w:tcBorders>
            <w:vAlign w:val="center"/>
          </w:tcPr>
          <w:p w14:paraId="221319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2" w:type="dxa"/>
            <w:vMerge w:val="continue"/>
            <w:tcBorders>
              <w:left w:val="single" w:color="auto" w:sz="4" w:space="0"/>
              <w:bottom w:val="single" w:color="auto" w:sz="4" w:space="0"/>
              <w:right w:val="single" w:color="auto" w:sz="4" w:space="0"/>
            </w:tcBorders>
            <w:vAlign w:val="center"/>
          </w:tcPr>
          <w:p w14:paraId="207CB5D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90" w:type="dxa"/>
            <w:vMerge w:val="continue"/>
            <w:tcBorders>
              <w:left w:val="single" w:color="auto" w:sz="4" w:space="0"/>
              <w:bottom w:val="single" w:color="auto" w:sz="4" w:space="0"/>
              <w:right w:val="single" w:color="auto" w:sz="4" w:space="0"/>
            </w:tcBorders>
            <w:vAlign w:val="center"/>
          </w:tcPr>
          <w:p w14:paraId="13F0D6C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22D469E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00" w:type="dxa"/>
            <w:tcBorders>
              <w:top w:val="single" w:color="auto" w:sz="4" w:space="0"/>
              <w:left w:val="single" w:color="auto" w:sz="4" w:space="0"/>
              <w:bottom w:val="single" w:color="auto" w:sz="4" w:space="0"/>
              <w:right w:val="single" w:color="auto" w:sz="4" w:space="0"/>
            </w:tcBorders>
            <w:vAlign w:val="center"/>
          </w:tcPr>
          <w:p w14:paraId="1EBB7E4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项目招标代理费（万元）</w:t>
            </w:r>
          </w:p>
        </w:tc>
      </w:tr>
      <w:tr w14:paraId="6CB8CF16">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078EB3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2" w:type="dxa"/>
            <w:tcBorders>
              <w:top w:val="nil"/>
              <w:left w:val="nil"/>
              <w:bottom w:val="single" w:color="auto" w:sz="4" w:space="0"/>
              <w:right w:val="single" w:color="auto" w:sz="4" w:space="0"/>
            </w:tcBorders>
            <w:vAlign w:val="center"/>
          </w:tcPr>
          <w:p w14:paraId="0293BC2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90" w:type="dxa"/>
            <w:tcBorders>
              <w:top w:val="nil"/>
              <w:left w:val="nil"/>
              <w:bottom w:val="single" w:color="auto" w:sz="4" w:space="0"/>
              <w:right w:val="single" w:color="auto" w:sz="4" w:space="0"/>
            </w:tcBorders>
            <w:vAlign w:val="center"/>
          </w:tcPr>
          <w:p w14:paraId="21EF8E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85" w:type="dxa"/>
            <w:tcBorders>
              <w:top w:val="nil"/>
              <w:left w:val="nil"/>
              <w:bottom w:val="single" w:color="auto" w:sz="4" w:space="0"/>
              <w:right w:val="single" w:color="auto" w:sz="4" w:space="0"/>
            </w:tcBorders>
            <w:vAlign w:val="center"/>
          </w:tcPr>
          <w:p w14:paraId="5A12ED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00" w:type="dxa"/>
            <w:tcBorders>
              <w:top w:val="nil"/>
              <w:left w:val="nil"/>
              <w:bottom w:val="single" w:color="auto" w:sz="4" w:space="0"/>
              <w:right w:val="single" w:color="auto" w:sz="4" w:space="0"/>
            </w:tcBorders>
            <w:vAlign w:val="center"/>
          </w:tcPr>
          <w:p w14:paraId="284627A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500×0.5%=2.5</w:t>
            </w:r>
          </w:p>
        </w:tc>
      </w:tr>
      <w:tr w14:paraId="5EA798D6">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5E90345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2" w:type="dxa"/>
            <w:tcBorders>
              <w:top w:val="nil"/>
              <w:left w:val="nil"/>
              <w:bottom w:val="single" w:color="auto" w:sz="4" w:space="0"/>
              <w:right w:val="single" w:color="auto" w:sz="4" w:space="0"/>
            </w:tcBorders>
            <w:vAlign w:val="center"/>
          </w:tcPr>
          <w:p w14:paraId="665568A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90" w:type="dxa"/>
            <w:tcBorders>
              <w:top w:val="nil"/>
              <w:left w:val="nil"/>
              <w:bottom w:val="single" w:color="auto" w:sz="4" w:space="0"/>
              <w:right w:val="single" w:color="auto" w:sz="4" w:space="0"/>
            </w:tcBorders>
            <w:vAlign w:val="center"/>
          </w:tcPr>
          <w:p w14:paraId="6D336EB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5" w:type="dxa"/>
            <w:tcBorders>
              <w:top w:val="nil"/>
              <w:left w:val="nil"/>
              <w:bottom w:val="single" w:color="auto" w:sz="4" w:space="0"/>
              <w:right w:val="single" w:color="auto" w:sz="4" w:space="0"/>
            </w:tcBorders>
            <w:vAlign w:val="center"/>
          </w:tcPr>
          <w:p w14:paraId="4B5432B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00" w:type="dxa"/>
            <w:tcBorders>
              <w:top w:val="nil"/>
              <w:left w:val="nil"/>
              <w:bottom w:val="single" w:color="auto" w:sz="4" w:space="0"/>
              <w:right w:val="single" w:color="auto" w:sz="4" w:space="0"/>
            </w:tcBorders>
            <w:vAlign w:val="center"/>
          </w:tcPr>
          <w:p w14:paraId="1D5D5E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2.5+（1000-500）×0.4%=4.5</w:t>
            </w:r>
          </w:p>
        </w:tc>
      </w:tr>
      <w:tr w14:paraId="63B9B2BF">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CEB2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14:paraId="095EAE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90" w:type="dxa"/>
            <w:tcBorders>
              <w:top w:val="single" w:color="auto" w:sz="4" w:space="0"/>
              <w:left w:val="nil"/>
              <w:bottom w:val="single" w:color="auto" w:sz="4" w:space="0"/>
              <w:right w:val="single" w:color="auto" w:sz="4" w:space="0"/>
            </w:tcBorders>
            <w:vAlign w:val="center"/>
          </w:tcPr>
          <w:p w14:paraId="19640D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5" w:type="dxa"/>
            <w:tcBorders>
              <w:top w:val="single" w:color="auto" w:sz="4" w:space="0"/>
              <w:left w:val="nil"/>
              <w:bottom w:val="single" w:color="auto" w:sz="4" w:space="0"/>
              <w:right w:val="single" w:color="auto" w:sz="4" w:space="0"/>
            </w:tcBorders>
            <w:vAlign w:val="center"/>
          </w:tcPr>
          <w:p w14:paraId="0FDF9F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00" w:type="dxa"/>
            <w:tcBorders>
              <w:top w:val="single" w:color="auto" w:sz="4" w:space="0"/>
              <w:left w:val="nil"/>
              <w:bottom w:val="single" w:color="auto" w:sz="4" w:space="0"/>
              <w:right w:val="single" w:color="auto" w:sz="4" w:space="0"/>
            </w:tcBorders>
            <w:vAlign w:val="center"/>
          </w:tcPr>
          <w:p w14:paraId="3CADED4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4.5+（3000-1000）×0.3%=10.5</w:t>
            </w:r>
          </w:p>
        </w:tc>
      </w:tr>
      <w:tr w14:paraId="2EE77D3C">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AEB5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14:paraId="23A6443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90" w:type="dxa"/>
            <w:tcBorders>
              <w:top w:val="single" w:color="auto" w:sz="4" w:space="0"/>
              <w:left w:val="nil"/>
              <w:bottom w:val="single" w:color="auto" w:sz="4" w:space="0"/>
              <w:right w:val="single" w:color="auto" w:sz="4" w:space="0"/>
            </w:tcBorders>
            <w:vAlign w:val="center"/>
          </w:tcPr>
          <w:p w14:paraId="6F37B6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w:t>
            </w:r>
          </w:p>
        </w:tc>
        <w:tc>
          <w:tcPr>
            <w:tcW w:w="1785" w:type="dxa"/>
            <w:tcBorders>
              <w:top w:val="single" w:color="auto" w:sz="4" w:space="0"/>
              <w:left w:val="nil"/>
              <w:bottom w:val="single" w:color="auto" w:sz="4" w:space="0"/>
              <w:right w:val="single" w:color="auto" w:sz="4" w:space="0"/>
            </w:tcBorders>
            <w:vAlign w:val="center"/>
          </w:tcPr>
          <w:p w14:paraId="6D1622B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00" w:type="dxa"/>
            <w:tcBorders>
              <w:top w:val="single" w:color="auto" w:sz="4" w:space="0"/>
              <w:left w:val="nil"/>
              <w:bottom w:val="single" w:color="auto" w:sz="4" w:space="0"/>
              <w:right w:val="single" w:color="auto" w:sz="4" w:space="0"/>
            </w:tcBorders>
            <w:vAlign w:val="center"/>
          </w:tcPr>
          <w:p w14:paraId="1E686F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10.5+（5000-3000）×0.2%=13.5</w:t>
            </w:r>
          </w:p>
        </w:tc>
      </w:tr>
      <w:tr w14:paraId="66B6CA32">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409DEB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14:paraId="53F5C4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90" w:type="dxa"/>
            <w:tcBorders>
              <w:top w:val="single" w:color="auto" w:sz="4" w:space="0"/>
              <w:left w:val="nil"/>
              <w:bottom w:val="single" w:color="auto" w:sz="4" w:space="0"/>
              <w:right w:val="single" w:color="auto" w:sz="4" w:space="0"/>
            </w:tcBorders>
            <w:vAlign w:val="center"/>
          </w:tcPr>
          <w:p w14:paraId="3E83B5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785" w:type="dxa"/>
            <w:tcBorders>
              <w:top w:val="single" w:color="auto" w:sz="4" w:space="0"/>
              <w:left w:val="nil"/>
              <w:bottom w:val="single" w:color="auto" w:sz="4" w:space="0"/>
              <w:right w:val="single" w:color="auto" w:sz="4" w:space="0"/>
            </w:tcBorders>
            <w:vAlign w:val="center"/>
          </w:tcPr>
          <w:p w14:paraId="713AE98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00" w:type="dxa"/>
            <w:tcBorders>
              <w:top w:val="single" w:color="auto" w:sz="4" w:space="0"/>
              <w:left w:val="nil"/>
              <w:bottom w:val="single" w:color="auto" w:sz="4" w:space="0"/>
              <w:right w:val="single" w:color="auto" w:sz="4" w:space="0"/>
            </w:tcBorders>
            <w:vAlign w:val="center"/>
          </w:tcPr>
          <w:p w14:paraId="5FCDB7C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13.5+（10000-5000）×0.1%=18.5</w:t>
            </w:r>
          </w:p>
        </w:tc>
      </w:tr>
      <w:tr w14:paraId="1ECD7D27">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6C06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14:paraId="777653A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90" w:type="dxa"/>
            <w:tcBorders>
              <w:top w:val="single" w:color="auto" w:sz="4" w:space="0"/>
              <w:left w:val="nil"/>
              <w:bottom w:val="single" w:color="auto" w:sz="4" w:space="0"/>
              <w:right w:val="single" w:color="auto" w:sz="4" w:space="0"/>
            </w:tcBorders>
            <w:vAlign w:val="center"/>
          </w:tcPr>
          <w:p w14:paraId="39AD6A6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w:t>
            </w:r>
          </w:p>
        </w:tc>
        <w:tc>
          <w:tcPr>
            <w:tcW w:w="1785" w:type="dxa"/>
            <w:tcBorders>
              <w:top w:val="single" w:color="auto" w:sz="4" w:space="0"/>
              <w:left w:val="nil"/>
              <w:bottom w:val="single" w:color="auto" w:sz="4" w:space="0"/>
              <w:right w:val="single" w:color="auto" w:sz="4" w:space="0"/>
            </w:tcBorders>
            <w:vAlign w:val="center"/>
          </w:tcPr>
          <w:p w14:paraId="05FE8E8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00" w:type="dxa"/>
            <w:tcBorders>
              <w:top w:val="single" w:color="auto" w:sz="4" w:space="0"/>
              <w:left w:val="nil"/>
              <w:bottom w:val="single" w:color="auto" w:sz="4" w:space="0"/>
              <w:right w:val="single" w:color="auto" w:sz="4" w:space="0"/>
            </w:tcBorders>
            <w:vAlign w:val="center"/>
          </w:tcPr>
          <w:p w14:paraId="27D75E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18.5+（15000-10000）×0.05%=21</w:t>
            </w:r>
          </w:p>
        </w:tc>
      </w:tr>
    </w:tbl>
    <w:p w14:paraId="2D463D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注：计费基数小于100万元时，按计费基数的1.0%计取。</w:t>
      </w:r>
    </w:p>
    <w:p w14:paraId="293FA5FD">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工程监理费</w:t>
      </w:r>
    </w:p>
    <w:p w14:paraId="6DF06264">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以工程施工费作为计费基数，采用分档定额计算方式计算，各区间按内插法确定。</w:t>
      </w:r>
    </w:p>
    <w:p w14:paraId="38C6CB1D">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6-6</w:t>
      </w:r>
      <w:r>
        <w:rPr>
          <w:rFonts w:hint="default" w:ascii="Times New Roman" w:hAnsi="Times New Roman" w:eastAsia="宋体" w:cs="Times New Roman"/>
          <w:b/>
          <w:color w:val="auto"/>
          <w:sz w:val="21"/>
          <w:szCs w:val="21"/>
          <w:highlight w:val="none"/>
        </w:rPr>
        <w:t xml:space="preserve"> 工程监理费计费标准</w:t>
      </w:r>
    </w:p>
    <w:tbl>
      <w:tblPr>
        <w:tblStyle w:val="18"/>
        <w:tblW w:w="0" w:type="auto"/>
        <w:jc w:val="center"/>
        <w:tblLayout w:type="fixed"/>
        <w:tblCellMar>
          <w:top w:w="0" w:type="dxa"/>
          <w:left w:w="108" w:type="dxa"/>
          <w:bottom w:w="0" w:type="dxa"/>
          <w:right w:w="108" w:type="dxa"/>
        </w:tblCellMar>
      </w:tblPr>
      <w:tblGrid>
        <w:gridCol w:w="1358"/>
        <w:gridCol w:w="4522"/>
        <w:gridCol w:w="2648"/>
      </w:tblGrid>
      <w:tr w14:paraId="5C9A4F66">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2D746B6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14:paraId="5020543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648" w:type="dxa"/>
            <w:tcBorders>
              <w:top w:val="single" w:color="auto" w:sz="4" w:space="0"/>
              <w:left w:val="single" w:color="auto" w:sz="4" w:space="0"/>
              <w:bottom w:val="single" w:color="auto" w:sz="4" w:space="0"/>
              <w:right w:val="single" w:color="auto" w:sz="4" w:space="0"/>
            </w:tcBorders>
            <w:vAlign w:val="center"/>
          </w:tcPr>
          <w:p w14:paraId="144DE17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工程监理费（万元）</w:t>
            </w:r>
          </w:p>
        </w:tc>
      </w:tr>
      <w:tr w14:paraId="0CDCEE0E">
        <w:tblPrEx>
          <w:tblCellMar>
            <w:top w:w="0" w:type="dxa"/>
            <w:left w:w="108" w:type="dxa"/>
            <w:bottom w:w="0" w:type="dxa"/>
            <w:right w:w="108" w:type="dxa"/>
          </w:tblCellMar>
        </w:tblPrEx>
        <w:trPr>
          <w:trHeight w:val="312" w:hRule="atLeast"/>
          <w:jc w:val="center"/>
        </w:trPr>
        <w:tc>
          <w:tcPr>
            <w:tcW w:w="1358" w:type="dxa"/>
            <w:tcBorders>
              <w:top w:val="nil"/>
              <w:left w:val="single" w:color="auto" w:sz="4" w:space="0"/>
              <w:bottom w:val="single" w:color="auto" w:sz="4" w:space="0"/>
              <w:right w:val="single" w:color="auto" w:sz="4" w:space="0"/>
            </w:tcBorders>
            <w:vAlign w:val="center"/>
          </w:tcPr>
          <w:p w14:paraId="2981168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522" w:type="dxa"/>
            <w:tcBorders>
              <w:top w:val="nil"/>
              <w:left w:val="nil"/>
              <w:bottom w:val="single" w:color="auto" w:sz="4" w:space="0"/>
              <w:right w:val="single" w:color="auto" w:sz="4" w:space="0"/>
            </w:tcBorders>
            <w:vAlign w:val="center"/>
          </w:tcPr>
          <w:p w14:paraId="3052E7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648" w:type="dxa"/>
            <w:tcBorders>
              <w:top w:val="nil"/>
              <w:left w:val="nil"/>
              <w:bottom w:val="single" w:color="auto" w:sz="4" w:space="0"/>
              <w:right w:val="single" w:color="auto" w:sz="4" w:space="0"/>
            </w:tcBorders>
            <w:vAlign w:val="center"/>
          </w:tcPr>
          <w:p w14:paraId="3F18F9D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5992131D">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425E8B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522" w:type="dxa"/>
            <w:tcBorders>
              <w:top w:val="single" w:color="auto" w:sz="4" w:space="0"/>
              <w:left w:val="nil"/>
              <w:bottom w:val="single" w:color="auto" w:sz="4" w:space="0"/>
              <w:right w:val="single" w:color="auto" w:sz="4" w:space="0"/>
            </w:tcBorders>
            <w:vAlign w:val="center"/>
          </w:tcPr>
          <w:p w14:paraId="2B29DF8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48" w:type="dxa"/>
            <w:tcBorders>
              <w:top w:val="single" w:color="auto" w:sz="4" w:space="0"/>
              <w:left w:val="nil"/>
              <w:bottom w:val="single" w:color="auto" w:sz="4" w:space="0"/>
              <w:right w:val="single" w:color="auto" w:sz="4" w:space="0"/>
            </w:tcBorders>
            <w:vAlign w:val="center"/>
          </w:tcPr>
          <w:p w14:paraId="07FE674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r w14:paraId="5608E38A">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26ABBE7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522" w:type="dxa"/>
            <w:tcBorders>
              <w:top w:val="single" w:color="auto" w:sz="4" w:space="0"/>
              <w:left w:val="nil"/>
              <w:bottom w:val="single" w:color="auto" w:sz="4" w:space="0"/>
              <w:right w:val="single" w:color="auto" w:sz="4" w:space="0"/>
            </w:tcBorders>
            <w:vAlign w:val="center"/>
          </w:tcPr>
          <w:p w14:paraId="21E8AA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648" w:type="dxa"/>
            <w:tcBorders>
              <w:top w:val="single" w:color="auto" w:sz="4" w:space="0"/>
              <w:left w:val="nil"/>
              <w:bottom w:val="single" w:color="auto" w:sz="4" w:space="0"/>
              <w:right w:val="single" w:color="auto" w:sz="4" w:space="0"/>
            </w:tcBorders>
            <w:vAlign w:val="center"/>
          </w:tcPr>
          <w:p w14:paraId="3C25B44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r>
      <w:tr w14:paraId="3A4E28BE">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2DEE699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522" w:type="dxa"/>
            <w:tcBorders>
              <w:top w:val="single" w:color="auto" w:sz="4" w:space="0"/>
              <w:left w:val="nil"/>
              <w:bottom w:val="single" w:color="auto" w:sz="4" w:space="0"/>
              <w:right w:val="single" w:color="auto" w:sz="4" w:space="0"/>
            </w:tcBorders>
            <w:vAlign w:val="center"/>
          </w:tcPr>
          <w:p w14:paraId="4563F44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648" w:type="dxa"/>
            <w:tcBorders>
              <w:top w:val="single" w:color="auto" w:sz="4" w:space="0"/>
              <w:left w:val="nil"/>
              <w:bottom w:val="single" w:color="auto" w:sz="4" w:space="0"/>
              <w:right w:val="single" w:color="auto" w:sz="4" w:space="0"/>
            </w:tcBorders>
            <w:vAlign w:val="center"/>
          </w:tcPr>
          <w:p w14:paraId="4EDA821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r>
      <w:tr w14:paraId="77A1B7AD">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55567D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522" w:type="dxa"/>
            <w:tcBorders>
              <w:top w:val="single" w:color="auto" w:sz="4" w:space="0"/>
              <w:left w:val="nil"/>
              <w:bottom w:val="single" w:color="auto" w:sz="4" w:space="0"/>
              <w:right w:val="single" w:color="auto" w:sz="4" w:space="0"/>
            </w:tcBorders>
            <w:vAlign w:val="center"/>
          </w:tcPr>
          <w:p w14:paraId="448BD2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648" w:type="dxa"/>
            <w:tcBorders>
              <w:top w:val="single" w:color="auto" w:sz="4" w:space="0"/>
              <w:left w:val="nil"/>
              <w:bottom w:val="single" w:color="auto" w:sz="4" w:space="0"/>
              <w:right w:val="single" w:color="auto" w:sz="4" w:space="0"/>
            </w:tcBorders>
            <w:vAlign w:val="center"/>
          </w:tcPr>
          <w:p w14:paraId="7E0B95B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14:paraId="1F06D675">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61D64A9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522" w:type="dxa"/>
            <w:tcBorders>
              <w:top w:val="single" w:color="auto" w:sz="4" w:space="0"/>
              <w:left w:val="nil"/>
              <w:bottom w:val="single" w:color="auto" w:sz="4" w:space="0"/>
              <w:right w:val="single" w:color="auto" w:sz="4" w:space="0"/>
            </w:tcBorders>
            <w:vAlign w:val="center"/>
          </w:tcPr>
          <w:p w14:paraId="5AF0D93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48" w:type="dxa"/>
            <w:tcBorders>
              <w:top w:val="single" w:color="auto" w:sz="4" w:space="0"/>
              <w:left w:val="nil"/>
              <w:bottom w:val="single" w:color="auto" w:sz="4" w:space="0"/>
              <w:right w:val="single" w:color="auto" w:sz="4" w:space="0"/>
            </w:tcBorders>
            <w:vAlign w:val="center"/>
          </w:tcPr>
          <w:p w14:paraId="04709C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w:t>
            </w:r>
          </w:p>
        </w:tc>
      </w:tr>
    </w:tbl>
    <w:p w14:paraId="6D042E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注：计费基数大于1亿元时，按计费基数的1.20%计取。</w:t>
      </w:r>
    </w:p>
    <w:p w14:paraId="33F30320">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竣工验收费</w:t>
      </w:r>
    </w:p>
    <w:p w14:paraId="5629E897">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竣工验收费包括工程验收费、项目决算编制与审计费，工程验收费以工程施工费作为计费基数，采用差额定率累进法计算。</w:t>
      </w:r>
    </w:p>
    <w:p w14:paraId="6C675CCB">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6-7</w:t>
      </w:r>
      <w:r>
        <w:rPr>
          <w:rFonts w:hint="default" w:ascii="Times New Roman" w:hAnsi="Times New Roman" w:eastAsia="宋体" w:cs="Times New Roman"/>
          <w:b/>
          <w:color w:val="auto"/>
          <w:sz w:val="21"/>
          <w:szCs w:val="21"/>
          <w:highlight w:val="none"/>
        </w:rPr>
        <w:t xml:space="preserve"> 工程验收费计费标准</w:t>
      </w:r>
    </w:p>
    <w:tbl>
      <w:tblPr>
        <w:tblStyle w:val="18"/>
        <w:tblW w:w="0" w:type="auto"/>
        <w:jc w:val="center"/>
        <w:tblLayout w:type="fixed"/>
        <w:tblCellMar>
          <w:top w:w="0" w:type="dxa"/>
          <w:left w:w="108" w:type="dxa"/>
          <w:bottom w:w="0" w:type="dxa"/>
          <w:right w:w="108" w:type="dxa"/>
        </w:tblCellMar>
      </w:tblPr>
      <w:tblGrid>
        <w:gridCol w:w="673"/>
        <w:gridCol w:w="1837"/>
        <w:gridCol w:w="1272"/>
        <w:gridCol w:w="1713"/>
        <w:gridCol w:w="3233"/>
      </w:tblGrid>
      <w:tr w14:paraId="7CEC8AEA">
        <w:tblPrEx>
          <w:tblCellMar>
            <w:top w:w="0" w:type="dxa"/>
            <w:left w:w="108" w:type="dxa"/>
            <w:bottom w:w="0" w:type="dxa"/>
            <w:right w:w="108" w:type="dxa"/>
          </w:tblCellMar>
        </w:tblPrEx>
        <w:trPr>
          <w:trHeight w:val="312" w:hRule="atLeast"/>
          <w:jc w:val="center"/>
        </w:trPr>
        <w:tc>
          <w:tcPr>
            <w:tcW w:w="673" w:type="dxa"/>
            <w:vMerge w:val="restart"/>
            <w:tcBorders>
              <w:top w:val="single" w:color="auto" w:sz="4" w:space="0"/>
              <w:left w:val="single" w:color="auto" w:sz="4" w:space="0"/>
              <w:right w:val="single" w:color="auto" w:sz="4" w:space="0"/>
            </w:tcBorders>
            <w:vAlign w:val="center"/>
          </w:tcPr>
          <w:p w14:paraId="64C51D8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837" w:type="dxa"/>
            <w:vMerge w:val="restart"/>
            <w:tcBorders>
              <w:top w:val="single" w:color="auto" w:sz="4" w:space="0"/>
              <w:left w:val="single" w:color="auto" w:sz="4" w:space="0"/>
              <w:right w:val="single" w:color="auto" w:sz="4" w:space="0"/>
            </w:tcBorders>
            <w:vAlign w:val="center"/>
          </w:tcPr>
          <w:p w14:paraId="66ACF74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1272" w:type="dxa"/>
            <w:vMerge w:val="restart"/>
            <w:tcBorders>
              <w:top w:val="single" w:color="auto" w:sz="4" w:space="0"/>
              <w:left w:val="single" w:color="auto" w:sz="4" w:space="0"/>
              <w:right w:val="single" w:color="auto" w:sz="4" w:space="0"/>
            </w:tcBorders>
            <w:vAlign w:val="center"/>
          </w:tcPr>
          <w:p w14:paraId="382E564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c>
          <w:tcPr>
            <w:tcW w:w="4946" w:type="dxa"/>
            <w:gridSpan w:val="2"/>
            <w:tcBorders>
              <w:top w:val="single" w:color="auto" w:sz="4" w:space="0"/>
              <w:left w:val="single" w:color="auto" w:sz="4" w:space="0"/>
              <w:bottom w:val="single" w:color="auto" w:sz="4" w:space="0"/>
              <w:right w:val="single" w:color="auto" w:sz="4" w:space="0"/>
            </w:tcBorders>
            <w:vAlign w:val="center"/>
          </w:tcPr>
          <w:p w14:paraId="6761D00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6D2D9C01">
        <w:tblPrEx>
          <w:tblCellMar>
            <w:top w:w="0" w:type="dxa"/>
            <w:left w:w="108" w:type="dxa"/>
            <w:bottom w:w="0" w:type="dxa"/>
            <w:right w:w="108" w:type="dxa"/>
          </w:tblCellMar>
        </w:tblPrEx>
        <w:trPr>
          <w:trHeight w:val="312" w:hRule="atLeast"/>
          <w:jc w:val="center"/>
        </w:trPr>
        <w:tc>
          <w:tcPr>
            <w:tcW w:w="673" w:type="dxa"/>
            <w:vMerge w:val="continue"/>
            <w:tcBorders>
              <w:left w:val="single" w:color="auto" w:sz="4" w:space="0"/>
              <w:bottom w:val="single" w:color="auto" w:sz="4" w:space="0"/>
              <w:right w:val="single" w:color="auto" w:sz="4" w:space="0"/>
            </w:tcBorders>
            <w:vAlign w:val="center"/>
          </w:tcPr>
          <w:p w14:paraId="6709CFB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37" w:type="dxa"/>
            <w:vMerge w:val="continue"/>
            <w:tcBorders>
              <w:left w:val="single" w:color="auto" w:sz="4" w:space="0"/>
              <w:bottom w:val="single" w:color="auto" w:sz="4" w:space="0"/>
              <w:right w:val="single" w:color="auto" w:sz="4" w:space="0"/>
            </w:tcBorders>
            <w:vAlign w:val="center"/>
          </w:tcPr>
          <w:p w14:paraId="157002B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272" w:type="dxa"/>
            <w:vMerge w:val="continue"/>
            <w:tcBorders>
              <w:left w:val="single" w:color="auto" w:sz="4" w:space="0"/>
              <w:bottom w:val="single" w:color="auto" w:sz="4" w:space="0"/>
              <w:right w:val="single" w:color="auto" w:sz="4" w:space="0"/>
            </w:tcBorders>
            <w:vAlign w:val="center"/>
          </w:tcPr>
          <w:p w14:paraId="23E48E9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2A9FA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233" w:type="dxa"/>
            <w:tcBorders>
              <w:top w:val="single" w:color="auto" w:sz="4" w:space="0"/>
              <w:left w:val="single" w:color="auto" w:sz="4" w:space="0"/>
              <w:bottom w:val="single" w:color="auto" w:sz="4" w:space="0"/>
              <w:right w:val="single" w:color="auto" w:sz="4" w:space="0"/>
            </w:tcBorders>
            <w:vAlign w:val="center"/>
          </w:tcPr>
          <w:p w14:paraId="3AA9037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工程验收费（万元）</w:t>
            </w:r>
          </w:p>
        </w:tc>
      </w:tr>
      <w:tr w14:paraId="6A63682A">
        <w:tblPrEx>
          <w:tblCellMar>
            <w:top w:w="0" w:type="dxa"/>
            <w:left w:w="108" w:type="dxa"/>
            <w:bottom w:w="0" w:type="dxa"/>
            <w:right w:w="108" w:type="dxa"/>
          </w:tblCellMar>
        </w:tblPrEx>
        <w:trPr>
          <w:trHeight w:val="312" w:hRule="atLeast"/>
          <w:jc w:val="center"/>
        </w:trPr>
        <w:tc>
          <w:tcPr>
            <w:tcW w:w="673" w:type="dxa"/>
            <w:tcBorders>
              <w:top w:val="nil"/>
              <w:left w:val="single" w:color="auto" w:sz="4" w:space="0"/>
              <w:bottom w:val="single" w:color="auto" w:sz="4" w:space="0"/>
              <w:right w:val="single" w:color="auto" w:sz="4" w:space="0"/>
            </w:tcBorders>
            <w:vAlign w:val="center"/>
          </w:tcPr>
          <w:p w14:paraId="25E9331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837" w:type="dxa"/>
            <w:tcBorders>
              <w:top w:val="nil"/>
              <w:left w:val="nil"/>
              <w:bottom w:val="single" w:color="auto" w:sz="4" w:space="0"/>
              <w:right w:val="single" w:color="auto" w:sz="4" w:space="0"/>
            </w:tcBorders>
            <w:vAlign w:val="center"/>
          </w:tcPr>
          <w:p w14:paraId="7DC50B5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1272" w:type="dxa"/>
            <w:tcBorders>
              <w:top w:val="nil"/>
              <w:left w:val="nil"/>
              <w:bottom w:val="single" w:color="auto" w:sz="4" w:space="0"/>
              <w:right w:val="single" w:color="auto" w:sz="4" w:space="0"/>
            </w:tcBorders>
            <w:vAlign w:val="center"/>
          </w:tcPr>
          <w:p w14:paraId="08E538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13" w:type="dxa"/>
            <w:tcBorders>
              <w:top w:val="nil"/>
              <w:left w:val="nil"/>
              <w:bottom w:val="single" w:color="auto" w:sz="4" w:space="0"/>
              <w:right w:val="single" w:color="auto" w:sz="4" w:space="0"/>
            </w:tcBorders>
            <w:vAlign w:val="center"/>
          </w:tcPr>
          <w:p w14:paraId="181CC9C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33" w:type="dxa"/>
            <w:tcBorders>
              <w:top w:val="nil"/>
              <w:left w:val="nil"/>
              <w:bottom w:val="single" w:color="auto" w:sz="4" w:space="0"/>
              <w:right w:val="single" w:color="auto" w:sz="4" w:space="0"/>
            </w:tcBorders>
            <w:vAlign w:val="center"/>
          </w:tcPr>
          <w:p w14:paraId="7481613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180×1.7%=3.06</w:t>
            </w:r>
          </w:p>
        </w:tc>
      </w:tr>
      <w:tr w14:paraId="5703929E">
        <w:tblPrEx>
          <w:tblCellMar>
            <w:top w:w="0" w:type="dxa"/>
            <w:left w:w="108" w:type="dxa"/>
            <w:bottom w:w="0" w:type="dxa"/>
            <w:right w:w="108" w:type="dxa"/>
          </w:tblCellMar>
        </w:tblPrEx>
        <w:trPr>
          <w:trHeight w:val="312" w:hRule="atLeast"/>
          <w:jc w:val="center"/>
        </w:trPr>
        <w:tc>
          <w:tcPr>
            <w:tcW w:w="673" w:type="dxa"/>
            <w:tcBorders>
              <w:top w:val="nil"/>
              <w:left w:val="single" w:color="auto" w:sz="4" w:space="0"/>
              <w:bottom w:val="single" w:color="auto" w:sz="4" w:space="0"/>
              <w:right w:val="single" w:color="auto" w:sz="4" w:space="0"/>
            </w:tcBorders>
            <w:vAlign w:val="center"/>
          </w:tcPr>
          <w:p w14:paraId="79176DE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837" w:type="dxa"/>
            <w:tcBorders>
              <w:top w:val="nil"/>
              <w:left w:val="nil"/>
              <w:bottom w:val="single" w:color="auto" w:sz="4" w:space="0"/>
              <w:right w:val="single" w:color="auto" w:sz="4" w:space="0"/>
            </w:tcBorders>
            <w:vAlign w:val="center"/>
          </w:tcPr>
          <w:p w14:paraId="22B27D9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180-500</w:t>
            </w:r>
          </w:p>
        </w:tc>
        <w:tc>
          <w:tcPr>
            <w:tcW w:w="1272" w:type="dxa"/>
            <w:tcBorders>
              <w:top w:val="nil"/>
              <w:left w:val="nil"/>
              <w:bottom w:val="single" w:color="auto" w:sz="4" w:space="0"/>
              <w:right w:val="single" w:color="auto" w:sz="4" w:space="0"/>
            </w:tcBorders>
            <w:vAlign w:val="center"/>
          </w:tcPr>
          <w:p w14:paraId="58DD88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13" w:type="dxa"/>
            <w:tcBorders>
              <w:top w:val="nil"/>
              <w:left w:val="nil"/>
              <w:bottom w:val="single" w:color="auto" w:sz="4" w:space="0"/>
              <w:right w:val="single" w:color="auto" w:sz="4" w:space="0"/>
            </w:tcBorders>
            <w:vAlign w:val="center"/>
          </w:tcPr>
          <w:p w14:paraId="6F8017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33" w:type="dxa"/>
            <w:tcBorders>
              <w:top w:val="nil"/>
              <w:left w:val="nil"/>
              <w:bottom w:val="single" w:color="auto" w:sz="4" w:space="0"/>
              <w:right w:val="single" w:color="auto" w:sz="4" w:space="0"/>
            </w:tcBorders>
            <w:vAlign w:val="center"/>
          </w:tcPr>
          <w:p w14:paraId="5656B0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3.06+（500-180）×1.2%=6.9</w:t>
            </w:r>
          </w:p>
        </w:tc>
      </w:tr>
      <w:tr w14:paraId="7865A443">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2A70D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837" w:type="dxa"/>
            <w:tcBorders>
              <w:top w:val="single" w:color="auto" w:sz="4" w:space="0"/>
              <w:left w:val="nil"/>
              <w:bottom w:val="single" w:color="auto" w:sz="4" w:space="0"/>
              <w:right w:val="single" w:color="auto" w:sz="4" w:space="0"/>
            </w:tcBorders>
            <w:vAlign w:val="center"/>
          </w:tcPr>
          <w:p w14:paraId="3B48DD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272" w:type="dxa"/>
            <w:tcBorders>
              <w:top w:val="single" w:color="auto" w:sz="4" w:space="0"/>
              <w:left w:val="nil"/>
              <w:bottom w:val="single" w:color="auto" w:sz="4" w:space="0"/>
              <w:right w:val="single" w:color="auto" w:sz="4" w:space="0"/>
            </w:tcBorders>
            <w:vAlign w:val="center"/>
          </w:tcPr>
          <w:p w14:paraId="01781F3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713" w:type="dxa"/>
            <w:tcBorders>
              <w:top w:val="single" w:color="auto" w:sz="4" w:space="0"/>
              <w:left w:val="nil"/>
              <w:bottom w:val="single" w:color="auto" w:sz="4" w:space="0"/>
              <w:right w:val="single" w:color="auto" w:sz="4" w:space="0"/>
            </w:tcBorders>
            <w:vAlign w:val="center"/>
          </w:tcPr>
          <w:p w14:paraId="7B765CA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33" w:type="dxa"/>
            <w:tcBorders>
              <w:top w:val="single" w:color="auto" w:sz="4" w:space="0"/>
              <w:left w:val="nil"/>
              <w:bottom w:val="single" w:color="auto" w:sz="4" w:space="0"/>
              <w:right w:val="single" w:color="auto" w:sz="4" w:space="0"/>
            </w:tcBorders>
            <w:vAlign w:val="center"/>
          </w:tcPr>
          <w:p w14:paraId="337055A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6.9+（1000-500）×1.1%=12.4</w:t>
            </w:r>
          </w:p>
        </w:tc>
      </w:tr>
      <w:tr w14:paraId="64296038">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4DA38B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837" w:type="dxa"/>
            <w:tcBorders>
              <w:top w:val="single" w:color="auto" w:sz="4" w:space="0"/>
              <w:left w:val="nil"/>
              <w:bottom w:val="single" w:color="auto" w:sz="4" w:space="0"/>
              <w:right w:val="single" w:color="auto" w:sz="4" w:space="0"/>
            </w:tcBorders>
            <w:vAlign w:val="center"/>
          </w:tcPr>
          <w:p w14:paraId="3B4EC9A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272" w:type="dxa"/>
            <w:tcBorders>
              <w:top w:val="single" w:color="auto" w:sz="4" w:space="0"/>
              <w:left w:val="nil"/>
              <w:bottom w:val="single" w:color="auto" w:sz="4" w:space="0"/>
              <w:right w:val="single" w:color="auto" w:sz="4" w:space="0"/>
            </w:tcBorders>
            <w:vAlign w:val="center"/>
          </w:tcPr>
          <w:p w14:paraId="0D36D06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13" w:type="dxa"/>
            <w:tcBorders>
              <w:top w:val="single" w:color="auto" w:sz="4" w:space="0"/>
              <w:left w:val="nil"/>
              <w:bottom w:val="single" w:color="auto" w:sz="4" w:space="0"/>
              <w:right w:val="single" w:color="auto" w:sz="4" w:space="0"/>
            </w:tcBorders>
            <w:vAlign w:val="center"/>
          </w:tcPr>
          <w:p w14:paraId="1D2194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33" w:type="dxa"/>
            <w:tcBorders>
              <w:top w:val="single" w:color="auto" w:sz="4" w:space="0"/>
              <w:left w:val="nil"/>
              <w:bottom w:val="single" w:color="auto" w:sz="4" w:space="0"/>
              <w:right w:val="single" w:color="auto" w:sz="4" w:space="0"/>
            </w:tcBorders>
            <w:vAlign w:val="center"/>
          </w:tcPr>
          <w:p w14:paraId="7CF3A9E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12.4+（3000-1000）×1.0%=32.4</w:t>
            </w:r>
          </w:p>
        </w:tc>
      </w:tr>
      <w:tr w14:paraId="2D2A6892">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D428F8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837" w:type="dxa"/>
            <w:tcBorders>
              <w:top w:val="single" w:color="auto" w:sz="4" w:space="0"/>
              <w:left w:val="nil"/>
              <w:bottom w:val="single" w:color="auto" w:sz="4" w:space="0"/>
              <w:right w:val="single" w:color="auto" w:sz="4" w:space="0"/>
            </w:tcBorders>
            <w:vAlign w:val="center"/>
          </w:tcPr>
          <w:p w14:paraId="1EA8E52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272" w:type="dxa"/>
            <w:tcBorders>
              <w:top w:val="single" w:color="auto" w:sz="4" w:space="0"/>
              <w:left w:val="nil"/>
              <w:bottom w:val="single" w:color="auto" w:sz="4" w:space="0"/>
              <w:right w:val="single" w:color="auto" w:sz="4" w:space="0"/>
            </w:tcBorders>
            <w:vAlign w:val="center"/>
          </w:tcPr>
          <w:p w14:paraId="34D7B25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13" w:type="dxa"/>
            <w:tcBorders>
              <w:top w:val="single" w:color="auto" w:sz="4" w:space="0"/>
              <w:left w:val="nil"/>
              <w:bottom w:val="single" w:color="auto" w:sz="4" w:space="0"/>
              <w:right w:val="single" w:color="auto" w:sz="4" w:space="0"/>
            </w:tcBorders>
            <w:vAlign w:val="center"/>
          </w:tcPr>
          <w:p w14:paraId="5C9E910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33" w:type="dxa"/>
            <w:tcBorders>
              <w:top w:val="single" w:color="auto" w:sz="4" w:space="0"/>
              <w:left w:val="nil"/>
              <w:bottom w:val="single" w:color="auto" w:sz="4" w:space="0"/>
              <w:right w:val="single" w:color="auto" w:sz="4" w:space="0"/>
            </w:tcBorders>
            <w:vAlign w:val="center"/>
          </w:tcPr>
          <w:p w14:paraId="25D885C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32.4+（5000-3000）×0.9%=50.4</w:t>
            </w:r>
          </w:p>
        </w:tc>
      </w:tr>
      <w:tr w14:paraId="16570D33">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0E8503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837" w:type="dxa"/>
            <w:tcBorders>
              <w:top w:val="single" w:color="auto" w:sz="4" w:space="0"/>
              <w:left w:val="nil"/>
              <w:bottom w:val="single" w:color="auto" w:sz="4" w:space="0"/>
              <w:right w:val="single" w:color="auto" w:sz="4" w:space="0"/>
            </w:tcBorders>
            <w:vAlign w:val="center"/>
          </w:tcPr>
          <w:p w14:paraId="6F647BE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272" w:type="dxa"/>
            <w:tcBorders>
              <w:top w:val="single" w:color="auto" w:sz="4" w:space="0"/>
              <w:left w:val="nil"/>
              <w:bottom w:val="single" w:color="auto" w:sz="4" w:space="0"/>
              <w:right w:val="single" w:color="auto" w:sz="4" w:space="0"/>
            </w:tcBorders>
            <w:vAlign w:val="center"/>
          </w:tcPr>
          <w:p w14:paraId="6094CBD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13" w:type="dxa"/>
            <w:tcBorders>
              <w:top w:val="single" w:color="auto" w:sz="4" w:space="0"/>
              <w:left w:val="nil"/>
              <w:bottom w:val="single" w:color="auto" w:sz="4" w:space="0"/>
              <w:right w:val="single" w:color="auto" w:sz="4" w:space="0"/>
            </w:tcBorders>
            <w:vAlign w:val="center"/>
          </w:tcPr>
          <w:p w14:paraId="00256C9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33" w:type="dxa"/>
            <w:tcBorders>
              <w:top w:val="single" w:color="auto" w:sz="4" w:space="0"/>
              <w:left w:val="nil"/>
              <w:bottom w:val="single" w:color="auto" w:sz="4" w:space="0"/>
              <w:right w:val="single" w:color="auto" w:sz="4" w:space="0"/>
            </w:tcBorders>
            <w:vAlign w:val="center"/>
          </w:tcPr>
          <w:p w14:paraId="1EE3CD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50.4+（10000-5000）×0.8%=90.4</w:t>
            </w:r>
          </w:p>
        </w:tc>
      </w:tr>
      <w:tr w14:paraId="504D0826">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8E164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837" w:type="dxa"/>
            <w:tcBorders>
              <w:top w:val="single" w:color="auto" w:sz="4" w:space="0"/>
              <w:left w:val="nil"/>
              <w:bottom w:val="single" w:color="auto" w:sz="4" w:space="0"/>
              <w:right w:val="single" w:color="auto" w:sz="4" w:space="0"/>
            </w:tcBorders>
            <w:vAlign w:val="center"/>
          </w:tcPr>
          <w:p w14:paraId="5E3AAB1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272" w:type="dxa"/>
            <w:tcBorders>
              <w:top w:val="single" w:color="auto" w:sz="4" w:space="0"/>
              <w:left w:val="nil"/>
              <w:bottom w:val="single" w:color="auto" w:sz="4" w:space="0"/>
              <w:right w:val="single" w:color="auto" w:sz="4" w:space="0"/>
            </w:tcBorders>
            <w:vAlign w:val="center"/>
          </w:tcPr>
          <w:p w14:paraId="7796385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13" w:type="dxa"/>
            <w:tcBorders>
              <w:top w:val="single" w:color="auto" w:sz="4" w:space="0"/>
              <w:left w:val="nil"/>
              <w:bottom w:val="single" w:color="auto" w:sz="4" w:space="0"/>
              <w:right w:val="single" w:color="auto" w:sz="4" w:space="0"/>
            </w:tcBorders>
            <w:vAlign w:val="center"/>
          </w:tcPr>
          <w:p w14:paraId="6D77B2F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233" w:type="dxa"/>
            <w:tcBorders>
              <w:top w:val="single" w:color="auto" w:sz="4" w:space="0"/>
              <w:left w:val="nil"/>
              <w:bottom w:val="single" w:color="auto" w:sz="4" w:space="0"/>
              <w:right w:val="single" w:color="auto" w:sz="4" w:space="0"/>
            </w:tcBorders>
            <w:vAlign w:val="center"/>
          </w:tcPr>
          <w:p w14:paraId="6989A1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90.4+（15000-10000）×0.7%=125.4</w:t>
            </w:r>
          </w:p>
        </w:tc>
      </w:tr>
    </w:tbl>
    <w:p w14:paraId="234E580D">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default" w:ascii="Times New Roman" w:hAnsi="Times New Roman" w:eastAsia="宋体" w:cs="Times New Roman"/>
          <w:color w:val="auto"/>
          <w:sz w:val="24"/>
          <w:szCs w:val="24"/>
          <w:highlight w:val="none"/>
        </w:rPr>
      </w:pPr>
    </w:p>
    <w:p w14:paraId="0221325F">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项目决算编制与审计费以工程施工费作为计费基数，采用差额定率累进法计算。</w:t>
      </w:r>
    </w:p>
    <w:p w14:paraId="19FC2BEC">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p>
    <w:p w14:paraId="4834FB12">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6-8</w:t>
      </w:r>
      <w:r>
        <w:rPr>
          <w:rFonts w:hint="default" w:ascii="Times New Roman" w:hAnsi="Times New Roman" w:eastAsia="宋体" w:cs="Times New Roman"/>
          <w:b/>
          <w:color w:val="auto"/>
          <w:sz w:val="21"/>
          <w:szCs w:val="21"/>
          <w:highlight w:val="none"/>
        </w:rPr>
        <w:t xml:space="preserve">  项目决算编制与审计费标准</w:t>
      </w:r>
    </w:p>
    <w:tbl>
      <w:tblPr>
        <w:tblStyle w:val="18"/>
        <w:tblW w:w="8755" w:type="dxa"/>
        <w:jc w:val="center"/>
        <w:tblLayout w:type="fixed"/>
        <w:tblCellMar>
          <w:top w:w="0" w:type="dxa"/>
          <w:left w:w="108" w:type="dxa"/>
          <w:bottom w:w="0" w:type="dxa"/>
          <w:right w:w="108" w:type="dxa"/>
        </w:tblCellMar>
      </w:tblPr>
      <w:tblGrid>
        <w:gridCol w:w="675"/>
        <w:gridCol w:w="1511"/>
        <w:gridCol w:w="960"/>
        <w:gridCol w:w="1875"/>
        <w:gridCol w:w="3734"/>
      </w:tblGrid>
      <w:tr w14:paraId="40244A67">
        <w:tblPrEx>
          <w:tblCellMar>
            <w:top w:w="0" w:type="dxa"/>
            <w:left w:w="108" w:type="dxa"/>
            <w:bottom w:w="0" w:type="dxa"/>
            <w:right w:w="108" w:type="dxa"/>
          </w:tblCellMar>
        </w:tblPrEx>
        <w:trPr>
          <w:trHeight w:val="312" w:hRule="atLeast"/>
          <w:jc w:val="center"/>
        </w:trPr>
        <w:tc>
          <w:tcPr>
            <w:tcW w:w="675" w:type="dxa"/>
            <w:vMerge w:val="restart"/>
            <w:tcBorders>
              <w:top w:val="single" w:color="auto" w:sz="4" w:space="0"/>
              <w:left w:val="single" w:color="auto" w:sz="4" w:space="0"/>
              <w:right w:val="single" w:color="auto" w:sz="4" w:space="0"/>
            </w:tcBorders>
            <w:vAlign w:val="center"/>
          </w:tcPr>
          <w:p w14:paraId="445493B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1" w:type="dxa"/>
            <w:vMerge w:val="restart"/>
            <w:tcBorders>
              <w:top w:val="single" w:color="auto" w:sz="4" w:space="0"/>
              <w:left w:val="single" w:color="auto" w:sz="4" w:space="0"/>
              <w:right w:val="single" w:color="auto" w:sz="4" w:space="0"/>
            </w:tcBorders>
            <w:vAlign w:val="center"/>
          </w:tcPr>
          <w:p w14:paraId="032B7E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48C1991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60" w:type="dxa"/>
            <w:vMerge w:val="restart"/>
            <w:tcBorders>
              <w:top w:val="single" w:color="auto" w:sz="4" w:space="0"/>
              <w:left w:val="single" w:color="auto" w:sz="4" w:space="0"/>
              <w:right w:val="single" w:color="auto" w:sz="4" w:space="0"/>
            </w:tcBorders>
            <w:vAlign w:val="center"/>
          </w:tcPr>
          <w:p w14:paraId="122124B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3C575BC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609" w:type="dxa"/>
            <w:gridSpan w:val="2"/>
            <w:tcBorders>
              <w:top w:val="single" w:color="auto" w:sz="4" w:space="0"/>
              <w:left w:val="single" w:color="auto" w:sz="4" w:space="0"/>
              <w:bottom w:val="single" w:color="auto" w:sz="4" w:space="0"/>
              <w:right w:val="single" w:color="auto" w:sz="4" w:space="0"/>
            </w:tcBorders>
            <w:vAlign w:val="center"/>
          </w:tcPr>
          <w:p w14:paraId="7E0AF41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3E7177B6">
        <w:tblPrEx>
          <w:tblCellMar>
            <w:top w:w="0" w:type="dxa"/>
            <w:left w:w="108" w:type="dxa"/>
            <w:bottom w:w="0" w:type="dxa"/>
            <w:right w:w="108" w:type="dxa"/>
          </w:tblCellMar>
        </w:tblPrEx>
        <w:trPr>
          <w:trHeight w:val="312" w:hRule="atLeast"/>
          <w:jc w:val="center"/>
        </w:trPr>
        <w:tc>
          <w:tcPr>
            <w:tcW w:w="675" w:type="dxa"/>
            <w:vMerge w:val="continue"/>
            <w:tcBorders>
              <w:left w:val="single" w:color="auto" w:sz="4" w:space="0"/>
              <w:bottom w:val="single" w:color="auto" w:sz="4" w:space="0"/>
              <w:right w:val="single" w:color="auto" w:sz="4" w:space="0"/>
            </w:tcBorders>
            <w:vAlign w:val="center"/>
          </w:tcPr>
          <w:p w14:paraId="6BA5B5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1" w:type="dxa"/>
            <w:vMerge w:val="continue"/>
            <w:tcBorders>
              <w:left w:val="single" w:color="auto" w:sz="4" w:space="0"/>
              <w:bottom w:val="single" w:color="auto" w:sz="4" w:space="0"/>
              <w:right w:val="single" w:color="auto" w:sz="4" w:space="0"/>
            </w:tcBorders>
            <w:vAlign w:val="center"/>
          </w:tcPr>
          <w:p w14:paraId="67D4670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60" w:type="dxa"/>
            <w:vMerge w:val="continue"/>
            <w:tcBorders>
              <w:left w:val="single" w:color="auto" w:sz="4" w:space="0"/>
              <w:bottom w:val="single" w:color="auto" w:sz="4" w:space="0"/>
              <w:right w:val="single" w:color="auto" w:sz="4" w:space="0"/>
            </w:tcBorders>
            <w:vAlign w:val="center"/>
          </w:tcPr>
          <w:p w14:paraId="2F3866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44730C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734" w:type="dxa"/>
            <w:tcBorders>
              <w:top w:val="single" w:color="auto" w:sz="4" w:space="0"/>
              <w:left w:val="single" w:color="auto" w:sz="4" w:space="0"/>
              <w:bottom w:val="single" w:color="auto" w:sz="4" w:space="0"/>
              <w:right w:val="single" w:color="auto" w:sz="4" w:space="0"/>
            </w:tcBorders>
            <w:vAlign w:val="center"/>
          </w:tcPr>
          <w:p w14:paraId="73B3ED9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项目决算编制与审计费（万元）</w:t>
            </w:r>
          </w:p>
        </w:tc>
      </w:tr>
      <w:tr w14:paraId="33484C9D">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337A836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1" w:type="dxa"/>
            <w:tcBorders>
              <w:top w:val="nil"/>
              <w:left w:val="nil"/>
              <w:bottom w:val="single" w:color="auto" w:sz="4" w:space="0"/>
              <w:right w:val="single" w:color="auto" w:sz="4" w:space="0"/>
            </w:tcBorders>
            <w:vAlign w:val="center"/>
          </w:tcPr>
          <w:p w14:paraId="6882B5B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60" w:type="dxa"/>
            <w:tcBorders>
              <w:top w:val="nil"/>
              <w:left w:val="nil"/>
              <w:bottom w:val="single" w:color="auto" w:sz="4" w:space="0"/>
              <w:right w:val="single" w:color="auto" w:sz="4" w:space="0"/>
            </w:tcBorders>
            <w:vAlign w:val="center"/>
          </w:tcPr>
          <w:p w14:paraId="0348814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75" w:type="dxa"/>
            <w:tcBorders>
              <w:top w:val="nil"/>
              <w:left w:val="nil"/>
              <w:bottom w:val="single" w:color="auto" w:sz="4" w:space="0"/>
              <w:right w:val="single" w:color="auto" w:sz="4" w:space="0"/>
            </w:tcBorders>
            <w:vAlign w:val="center"/>
          </w:tcPr>
          <w:p w14:paraId="25B525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734" w:type="dxa"/>
            <w:tcBorders>
              <w:top w:val="nil"/>
              <w:left w:val="nil"/>
              <w:bottom w:val="single" w:color="auto" w:sz="4" w:space="0"/>
              <w:right w:val="single" w:color="auto" w:sz="4" w:space="0"/>
            </w:tcBorders>
            <w:vAlign w:val="center"/>
          </w:tcPr>
          <w:p w14:paraId="7745CC9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500×1.0%=5</w:t>
            </w:r>
          </w:p>
        </w:tc>
      </w:tr>
      <w:tr w14:paraId="5281F11A">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23C41B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1" w:type="dxa"/>
            <w:tcBorders>
              <w:top w:val="nil"/>
              <w:left w:val="nil"/>
              <w:bottom w:val="single" w:color="auto" w:sz="4" w:space="0"/>
              <w:right w:val="single" w:color="auto" w:sz="4" w:space="0"/>
            </w:tcBorders>
            <w:vAlign w:val="center"/>
          </w:tcPr>
          <w:p w14:paraId="4D2AB44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60" w:type="dxa"/>
            <w:tcBorders>
              <w:top w:val="nil"/>
              <w:left w:val="nil"/>
              <w:bottom w:val="single" w:color="auto" w:sz="4" w:space="0"/>
              <w:right w:val="single" w:color="auto" w:sz="4" w:space="0"/>
            </w:tcBorders>
            <w:vAlign w:val="center"/>
          </w:tcPr>
          <w:p w14:paraId="2994F01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875" w:type="dxa"/>
            <w:tcBorders>
              <w:top w:val="nil"/>
              <w:left w:val="nil"/>
              <w:bottom w:val="single" w:color="auto" w:sz="4" w:space="0"/>
              <w:right w:val="single" w:color="auto" w:sz="4" w:space="0"/>
            </w:tcBorders>
            <w:vAlign w:val="center"/>
          </w:tcPr>
          <w:p w14:paraId="6A10CE4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734" w:type="dxa"/>
            <w:tcBorders>
              <w:top w:val="nil"/>
              <w:left w:val="nil"/>
              <w:bottom w:val="single" w:color="auto" w:sz="4" w:space="0"/>
              <w:right w:val="single" w:color="auto" w:sz="4" w:space="0"/>
            </w:tcBorders>
            <w:vAlign w:val="center"/>
          </w:tcPr>
          <w:p w14:paraId="0DA3C42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5+（1000-500）×0.9%=9.5</w:t>
            </w:r>
          </w:p>
        </w:tc>
      </w:tr>
      <w:tr w14:paraId="5F791D49">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1AFF4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1" w:type="dxa"/>
            <w:tcBorders>
              <w:top w:val="single" w:color="auto" w:sz="4" w:space="0"/>
              <w:left w:val="nil"/>
              <w:bottom w:val="single" w:color="auto" w:sz="4" w:space="0"/>
              <w:right w:val="single" w:color="auto" w:sz="4" w:space="0"/>
            </w:tcBorders>
            <w:vAlign w:val="center"/>
          </w:tcPr>
          <w:p w14:paraId="4F58A5C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60" w:type="dxa"/>
            <w:tcBorders>
              <w:top w:val="single" w:color="auto" w:sz="4" w:space="0"/>
              <w:left w:val="nil"/>
              <w:bottom w:val="single" w:color="auto" w:sz="4" w:space="0"/>
              <w:right w:val="single" w:color="auto" w:sz="4" w:space="0"/>
            </w:tcBorders>
            <w:vAlign w:val="center"/>
          </w:tcPr>
          <w:p w14:paraId="756876D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875" w:type="dxa"/>
            <w:tcBorders>
              <w:top w:val="single" w:color="auto" w:sz="4" w:space="0"/>
              <w:left w:val="nil"/>
              <w:bottom w:val="single" w:color="auto" w:sz="4" w:space="0"/>
              <w:right w:val="single" w:color="auto" w:sz="4" w:space="0"/>
            </w:tcBorders>
            <w:vAlign w:val="center"/>
          </w:tcPr>
          <w:p w14:paraId="2182AA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734" w:type="dxa"/>
            <w:tcBorders>
              <w:top w:val="single" w:color="auto" w:sz="4" w:space="0"/>
              <w:left w:val="nil"/>
              <w:bottom w:val="single" w:color="auto" w:sz="4" w:space="0"/>
              <w:right w:val="single" w:color="auto" w:sz="4" w:space="0"/>
            </w:tcBorders>
            <w:vAlign w:val="center"/>
          </w:tcPr>
          <w:p w14:paraId="2C21CDA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9.5+（3000-1000）×0.8%=25.5</w:t>
            </w:r>
          </w:p>
        </w:tc>
      </w:tr>
      <w:tr w14:paraId="13169AF8">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76E48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1" w:type="dxa"/>
            <w:tcBorders>
              <w:top w:val="single" w:color="auto" w:sz="4" w:space="0"/>
              <w:left w:val="nil"/>
              <w:bottom w:val="single" w:color="auto" w:sz="4" w:space="0"/>
              <w:right w:val="single" w:color="auto" w:sz="4" w:space="0"/>
            </w:tcBorders>
            <w:vAlign w:val="center"/>
          </w:tcPr>
          <w:p w14:paraId="48C0D1B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60" w:type="dxa"/>
            <w:tcBorders>
              <w:top w:val="single" w:color="auto" w:sz="4" w:space="0"/>
              <w:left w:val="nil"/>
              <w:bottom w:val="single" w:color="auto" w:sz="4" w:space="0"/>
              <w:right w:val="single" w:color="auto" w:sz="4" w:space="0"/>
            </w:tcBorders>
            <w:vAlign w:val="center"/>
          </w:tcPr>
          <w:p w14:paraId="2971EA4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875" w:type="dxa"/>
            <w:tcBorders>
              <w:top w:val="single" w:color="auto" w:sz="4" w:space="0"/>
              <w:left w:val="nil"/>
              <w:bottom w:val="single" w:color="auto" w:sz="4" w:space="0"/>
              <w:right w:val="single" w:color="auto" w:sz="4" w:space="0"/>
            </w:tcBorders>
            <w:vAlign w:val="center"/>
          </w:tcPr>
          <w:p w14:paraId="2280900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734" w:type="dxa"/>
            <w:tcBorders>
              <w:top w:val="single" w:color="auto" w:sz="4" w:space="0"/>
              <w:left w:val="nil"/>
              <w:bottom w:val="single" w:color="auto" w:sz="4" w:space="0"/>
              <w:right w:val="single" w:color="auto" w:sz="4" w:space="0"/>
            </w:tcBorders>
            <w:vAlign w:val="center"/>
          </w:tcPr>
          <w:p w14:paraId="58748CE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25.5+（5000-3000）×0.7%=39.5</w:t>
            </w:r>
          </w:p>
        </w:tc>
      </w:tr>
      <w:tr w14:paraId="2D595B70">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FC23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1" w:type="dxa"/>
            <w:tcBorders>
              <w:top w:val="single" w:color="auto" w:sz="4" w:space="0"/>
              <w:left w:val="nil"/>
              <w:bottom w:val="single" w:color="auto" w:sz="4" w:space="0"/>
              <w:right w:val="single" w:color="auto" w:sz="4" w:space="0"/>
            </w:tcBorders>
            <w:vAlign w:val="center"/>
          </w:tcPr>
          <w:p w14:paraId="243D2CB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60" w:type="dxa"/>
            <w:tcBorders>
              <w:top w:val="single" w:color="auto" w:sz="4" w:space="0"/>
              <w:left w:val="nil"/>
              <w:bottom w:val="single" w:color="auto" w:sz="4" w:space="0"/>
              <w:right w:val="single" w:color="auto" w:sz="4" w:space="0"/>
            </w:tcBorders>
            <w:vAlign w:val="center"/>
          </w:tcPr>
          <w:p w14:paraId="64F18F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0.6</w:t>
            </w:r>
          </w:p>
        </w:tc>
        <w:tc>
          <w:tcPr>
            <w:tcW w:w="1875" w:type="dxa"/>
            <w:tcBorders>
              <w:top w:val="single" w:color="auto" w:sz="4" w:space="0"/>
              <w:left w:val="nil"/>
              <w:bottom w:val="single" w:color="auto" w:sz="4" w:space="0"/>
              <w:right w:val="single" w:color="auto" w:sz="4" w:space="0"/>
            </w:tcBorders>
            <w:vAlign w:val="center"/>
          </w:tcPr>
          <w:p w14:paraId="632DCD4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734" w:type="dxa"/>
            <w:tcBorders>
              <w:top w:val="single" w:color="auto" w:sz="4" w:space="0"/>
              <w:left w:val="nil"/>
              <w:bottom w:val="single" w:color="auto" w:sz="4" w:space="0"/>
              <w:right w:val="single" w:color="auto" w:sz="4" w:space="0"/>
            </w:tcBorders>
            <w:vAlign w:val="center"/>
          </w:tcPr>
          <w:p w14:paraId="20D106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39.5+（10000-5000）×0.6%=69.5</w:t>
            </w:r>
          </w:p>
        </w:tc>
      </w:tr>
      <w:tr w14:paraId="612E3DA3">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46690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1" w:type="dxa"/>
            <w:tcBorders>
              <w:top w:val="single" w:color="auto" w:sz="4" w:space="0"/>
              <w:left w:val="nil"/>
              <w:bottom w:val="single" w:color="auto" w:sz="4" w:space="0"/>
              <w:right w:val="single" w:color="auto" w:sz="4" w:space="0"/>
            </w:tcBorders>
            <w:vAlign w:val="center"/>
          </w:tcPr>
          <w:p w14:paraId="2C847D1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60" w:type="dxa"/>
            <w:tcBorders>
              <w:top w:val="single" w:color="auto" w:sz="4" w:space="0"/>
              <w:left w:val="nil"/>
              <w:bottom w:val="single" w:color="auto" w:sz="4" w:space="0"/>
              <w:right w:val="single" w:color="auto" w:sz="4" w:space="0"/>
            </w:tcBorders>
            <w:vAlign w:val="center"/>
          </w:tcPr>
          <w:p w14:paraId="3EB646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75" w:type="dxa"/>
            <w:tcBorders>
              <w:top w:val="single" w:color="auto" w:sz="4" w:space="0"/>
              <w:left w:val="nil"/>
              <w:bottom w:val="single" w:color="auto" w:sz="4" w:space="0"/>
              <w:right w:val="single" w:color="auto" w:sz="4" w:space="0"/>
            </w:tcBorders>
            <w:vAlign w:val="center"/>
          </w:tcPr>
          <w:p w14:paraId="047E2D3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734" w:type="dxa"/>
            <w:tcBorders>
              <w:top w:val="single" w:color="auto" w:sz="4" w:space="0"/>
              <w:left w:val="nil"/>
              <w:bottom w:val="single" w:color="auto" w:sz="4" w:space="0"/>
              <w:right w:val="single" w:color="auto" w:sz="4" w:space="0"/>
            </w:tcBorders>
            <w:vAlign w:val="center"/>
          </w:tcPr>
          <w:p w14:paraId="3F8E8A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69.5+（15000-10000）×0.5%=94.5</w:t>
            </w:r>
          </w:p>
        </w:tc>
      </w:tr>
    </w:tbl>
    <w:p w14:paraId="717FDB5C">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p>
    <w:p w14:paraId="572E747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项目管理费</w:t>
      </w:r>
    </w:p>
    <w:p w14:paraId="7A88F436">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以工程施工费、前期工作费、工程监理费和竣工验收费之和作为计费基数，采用差额定率累进法计算。</w:t>
      </w:r>
    </w:p>
    <w:p w14:paraId="4ED932C4">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6-9</w:t>
      </w:r>
      <w:r>
        <w:rPr>
          <w:rFonts w:hint="default" w:ascii="Times New Roman" w:hAnsi="Times New Roman" w:eastAsia="宋体" w:cs="Times New Roman"/>
          <w:b/>
          <w:color w:val="auto"/>
          <w:sz w:val="21"/>
          <w:szCs w:val="21"/>
          <w:highlight w:val="none"/>
        </w:rPr>
        <w:t xml:space="preserve">  项目管理费计费标准</w:t>
      </w:r>
    </w:p>
    <w:tbl>
      <w:tblPr>
        <w:tblStyle w:val="18"/>
        <w:tblW w:w="8755" w:type="dxa"/>
        <w:jc w:val="center"/>
        <w:tblLayout w:type="fixed"/>
        <w:tblCellMar>
          <w:top w:w="0" w:type="dxa"/>
          <w:left w:w="108" w:type="dxa"/>
          <w:bottom w:w="0" w:type="dxa"/>
          <w:right w:w="108" w:type="dxa"/>
        </w:tblCellMar>
      </w:tblPr>
      <w:tblGrid>
        <w:gridCol w:w="675"/>
        <w:gridCol w:w="1376"/>
        <w:gridCol w:w="1170"/>
        <w:gridCol w:w="1860"/>
        <w:gridCol w:w="3674"/>
      </w:tblGrid>
      <w:tr w14:paraId="292A7573">
        <w:tblPrEx>
          <w:tblCellMar>
            <w:top w:w="0" w:type="dxa"/>
            <w:left w:w="108" w:type="dxa"/>
            <w:bottom w:w="0" w:type="dxa"/>
            <w:right w:w="108" w:type="dxa"/>
          </w:tblCellMar>
        </w:tblPrEx>
        <w:trPr>
          <w:trHeight w:val="312" w:hRule="atLeast"/>
          <w:jc w:val="center"/>
        </w:trPr>
        <w:tc>
          <w:tcPr>
            <w:tcW w:w="675" w:type="dxa"/>
            <w:vMerge w:val="restart"/>
            <w:tcBorders>
              <w:top w:val="single" w:color="auto" w:sz="4" w:space="0"/>
              <w:left w:val="single" w:color="auto" w:sz="4" w:space="0"/>
              <w:right w:val="single" w:color="auto" w:sz="4" w:space="0"/>
            </w:tcBorders>
            <w:vAlign w:val="center"/>
          </w:tcPr>
          <w:p w14:paraId="65DD001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376" w:type="dxa"/>
            <w:vMerge w:val="restart"/>
            <w:tcBorders>
              <w:top w:val="single" w:color="auto" w:sz="4" w:space="0"/>
              <w:left w:val="single" w:color="auto" w:sz="4" w:space="0"/>
              <w:right w:val="single" w:color="auto" w:sz="4" w:space="0"/>
            </w:tcBorders>
            <w:vAlign w:val="center"/>
          </w:tcPr>
          <w:p w14:paraId="242CFB3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1145C30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1170" w:type="dxa"/>
            <w:vMerge w:val="restart"/>
            <w:tcBorders>
              <w:top w:val="single" w:color="auto" w:sz="4" w:space="0"/>
              <w:left w:val="single" w:color="auto" w:sz="4" w:space="0"/>
              <w:right w:val="single" w:color="auto" w:sz="4" w:space="0"/>
            </w:tcBorders>
            <w:vAlign w:val="center"/>
          </w:tcPr>
          <w:p w14:paraId="7B10E4E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73C79D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534" w:type="dxa"/>
            <w:gridSpan w:val="2"/>
            <w:tcBorders>
              <w:top w:val="single" w:color="auto" w:sz="4" w:space="0"/>
              <w:left w:val="single" w:color="auto" w:sz="4" w:space="0"/>
              <w:bottom w:val="single" w:color="auto" w:sz="4" w:space="0"/>
              <w:right w:val="single" w:color="auto" w:sz="4" w:space="0"/>
            </w:tcBorders>
            <w:vAlign w:val="center"/>
          </w:tcPr>
          <w:p w14:paraId="2304E0F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511DB3BB">
        <w:tblPrEx>
          <w:tblCellMar>
            <w:top w:w="0" w:type="dxa"/>
            <w:left w:w="108" w:type="dxa"/>
            <w:bottom w:w="0" w:type="dxa"/>
            <w:right w:w="108" w:type="dxa"/>
          </w:tblCellMar>
        </w:tblPrEx>
        <w:trPr>
          <w:trHeight w:val="312" w:hRule="atLeast"/>
          <w:jc w:val="center"/>
        </w:trPr>
        <w:tc>
          <w:tcPr>
            <w:tcW w:w="675" w:type="dxa"/>
            <w:vMerge w:val="continue"/>
            <w:tcBorders>
              <w:left w:val="single" w:color="auto" w:sz="4" w:space="0"/>
              <w:bottom w:val="single" w:color="auto" w:sz="4" w:space="0"/>
              <w:right w:val="single" w:color="auto" w:sz="4" w:space="0"/>
            </w:tcBorders>
            <w:vAlign w:val="center"/>
          </w:tcPr>
          <w:p w14:paraId="429219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376" w:type="dxa"/>
            <w:vMerge w:val="continue"/>
            <w:tcBorders>
              <w:left w:val="single" w:color="auto" w:sz="4" w:space="0"/>
              <w:bottom w:val="single" w:color="auto" w:sz="4" w:space="0"/>
              <w:right w:val="single" w:color="auto" w:sz="4" w:space="0"/>
            </w:tcBorders>
            <w:vAlign w:val="center"/>
          </w:tcPr>
          <w:p w14:paraId="7FB940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170" w:type="dxa"/>
            <w:vMerge w:val="continue"/>
            <w:tcBorders>
              <w:left w:val="single" w:color="auto" w:sz="4" w:space="0"/>
              <w:bottom w:val="single" w:color="auto" w:sz="4" w:space="0"/>
              <w:right w:val="single" w:color="auto" w:sz="4" w:space="0"/>
            </w:tcBorders>
            <w:vAlign w:val="center"/>
          </w:tcPr>
          <w:p w14:paraId="46C50A8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100232E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74" w:type="dxa"/>
            <w:tcBorders>
              <w:top w:val="single" w:color="auto" w:sz="4" w:space="0"/>
              <w:left w:val="single" w:color="auto" w:sz="4" w:space="0"/>
              <w:bottom w:val="single" w:color="auto" w:sz="4" w:space="0"/>
              <w:right w:val="single" w:color="auto" w:sz="4" w:space="0"/>
            </w:tcBorders>
            <w:vAlign w:val="center"/>
          </w:tcPr>
          <w:p w14:paraId="577C8F5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项目管理费（万元）</w:t>
            </w:r>
          </w:p>
        </w:tc>
      </w:tr>
      <w:tr w14:paraId="343E001F">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4763F66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76" w:type="dxa"/>
            <w:tcBorders>
              <w:top w:val="nil"/>
              <w:left w:val="nil"/>
              <w:bottom w:val="single" w:color="auto" w:sz="4" w:space="0"/>
              <w:right w:val="single" w:color="auto" w:sz="4" w:space="0"/>
            </w:tcBorders>
            <w:vAlign w:val="center"/>
          </w:tcPr>
          <w:p w14:paraId="495C81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170" w:type="dxa"/>
            <w:tcBorders>
              <w:top w:val="nil"/>
              <w:left w:val="nil"/>
              <w:bottom w:val="single" w:color="auto" w:sz="4" w:space="0"/>
              <w:right w:val="single" w:color="auto" w:sz="4" w:space="0"/>
            </w:tcBorders>
            <w:vAlign w:val="center"/>
          </w:tcPr>
          <w:p w14:paraId="03A8B60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860" w:type="dxa"/>
            <w:tcBorders>
              <w:top w:val="nil"/>
              <w:left w:val="nil"/>
              <w:bottom w:val="single" w:color="auto" w:sz="4" w:space="0"/>
              <w:right w:val="single" w:color="auto" w:sz="4" w:space="0"/>
            </w:tcBorders>
            <w:vAlign w:val="center"/>
          </w:tcPr>
          <w:p w14:paraId="5A7FF82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74" w:type="dxa"/>
            <w:tcBorders>
              <w:top w:val="nil"/>
              <w:left w:val="nil"/>
              <w:bottom w:val="single" w:color="auto" w:sz="4" w:space="0"/>
              <w:right w:val="single" w:color="auto" w:sz="4" w:space="0"/>
            </w:tcBorders>
            <w:vAlign w:val="center"/>
          </w:tcPr>
          <w:p w14:paraId="52D2F38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500×1.5%=7.5</w:t>
            </w:r>
          </w:p>
        </w:tc>
      </w:tr>
      <w:tr w14:paraId="4CE2B2A8">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760E5EB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76" w:type="dxa"/>
            <w:tcBorders>
              <w:top w:val="nil"/>
              <w:left w:val="nil"/>
              <w:bottom w:val="single" w:color="auto" w:sz="4" w:space="0"/>
              <w:right w:val="single" w:color="auto" w:sz="4" w:space="0"/>
            </w:tcBorders>
            <w:vAlign w:val="center"/>
          </w:tcPr>
          <w:p w14:paraId="5E004AF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170" w:type="dxa"/>
            <w:tcBorders>
              <w:top w:val="nil"/>
              <w:left w:val="nil"/>
              <w:bottom w:val="single" w:color="auto" w:sz="4" w:space="0"/>
              <w:right w:val="single" w:color="auto" w:sz="4" w:space="0"/>
            </w:tcBorders>
            <w:vAlign w:val="center"/>
          </w:tcPr>
          <w:p w14:paraId="13429E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60" w:type="dxa"/>
            <w:tcBorders>
              <w:top w:val="nil"/>
              <w:left w:val="nil"/>
              <w:bottom w:val="single" w:color="auto" w:sz="4" w:space="0"/>
              <w:right w:val="single" w:color="auto" w:sz="4" w:space="0"/>
            </w:tcBorders>
            <w:vAlign w:val="center"/>
          </w:tcPr>
          <w:p w14:paraId="521A5D5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74" w:type="dxa"/>
            <w:tcBorders>
              <w:top w:val="nil"/>
              <w:left w:val="nil"/>
              <w:bottom w:val="single" w:color="auto" w:sz="4" w:space="0"/>
              <w:right w:val="single" w:color="auto" w:sz="4" w:space="0"/>
            </w:tcBorders>
            <w:vAlign w:val="center"/>
          </w:tcPr>
          <w:p w14:paraId="26A85DE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7.5+（1000-500）×1.0%=12.5</w:t>
            </w:r>
          </w:p>
        </w:tc>
      </w:tr>
      <w:tr w14:paraId="21D88EB8">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42ACB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76" w:type="dxa"/>
            <w:tcBorders>
              <w:top w:val="single" w:color="auto" w:sz="4" w:space="0"/>
              <w:left w:val="nil"/>
              <w:bottom w:val="single" w:color="auto" w:sz="4" w:space="0"/>
              <w:right w:val="single" w:color="auto" w:sz="4" w:space="0"/>
            </w:tcBorders>
            <w:vAlign w:val="center"/>
          </w:tcPr>
          <w:p w14:paraId="4800BC6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170" w:type="dxa"/>
            <w:tcBorders>
              <w:top w:val="single" w:color="auto" w:sz="4" w:space="0"/>
              <w:left w:val="nil"/>
              <w:bottom w:val="single" w:color="auto" w:sz="4" w:space="0"/>
              <w:right w:val="single" w:color="auto" w:sz="4" w:space="0"/>
            </w:tcBorders>
            <w:vAlign w:val="center"/>
          </w:tcPr>
          <w:p w14:paraId="55FB425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60" w:type="dxa"/>
            <w:tcBorders>
              <w:top w:val="single" w:color="auto" w:sz="4" w:space="0"/>
              <w:left w:val="nil"/>
              <w:bottom w:val="single" w:color="auto" w:sz="4" w:space="0"/>
              <w:right w:val="single" w:color="auto" w:sz="4" w:space="0"/>
            </w:tcBorders>
            <w:vAlign w:val="center"/>
          </w:tcPr>
          <w:p w14:paraId="15F632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74" w:type="dxa"/>
            <w:tcBorders>
              <w:top w:val="single" w:color="auto" w:sz="4" w:space="0"/>
              <w:left w:val="nil"/>
              <w:bottom w:val="single" w:color="auto" w:sz="4" w:space="0"/>
              <w:right w:val="single" w:color="auto" w:sz="4" w:space="0"/>
            </w:tcBorders>
            <w:vAlign w:val="center"/>
          </w:tcPr>
          <w:p w14:paraId="779C41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12.5+（3000-1000）×0.5%=22.5</w:t>
            </w:r>
          </w:p>
        </w:tc>
      </w:tr>
      <w:tr w14:paraId="3D7A3E7D">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A4D1A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76" w:type="dxa"/>
            <w:tcBorders>
              <w:top w:val="single" w:color="auto" w:sz="4" w:space="0"/>
              <w:left w:val="nil"/>
              <w:bottom w:val="single" w:color="auto" w:sz="4" w:space="0"/>
              <w:right w:val="single" w:color="auto" w:sz="4" w:space="0"/>
            </w:tcBorders>
            <w:vAlign w:val="center"/>
          </w:tcPr>
          <w:p w14:paraId="6193427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170" w:type="dxa"/>
            <w:tcBorders>
              <w:top w:val="single" w:color="auto" w:sz="4" w:space="0"/>
              <w:left w:val="nil"/>
              <w:bottom w:val="single" w:color="auto" w:sz="4" w:space="0"/>
              <w:right w:val="single" w:color="auto" w:sz="4" w:space="0"/>
            </w:tcBorders>
            <w:vAlign w:val="center"/>
          </w:tcPr>
          <w:p w14:paraId="1B707D8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860" w:type="dxa"/>
            <w:tcBorders>
              <w:top w:val="single" w:color="auto" w:sz="4" w:space="0"/>
              <w:left w:val="nil"/>
              <w:bottom w:val="single" w:color="auto" w:sz="4" w:space="0"/>
              <w:right w:val="single" w:color="auto" w:sz="4" w:space="0"/>
            </w:tcBorders>
            <w:vAlign w:val="center"/>
          </w:tcPr>
          <w:p w14:paraId="3A6884B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74" w:type="dxa"/>
            <w:tcBorders>
              <w:top w:val="single" w:color="auto" w:sz="4" w:space="0"/>
              <w:left w:val="nil"/>
              <w:bottom w:val="single" w:color="auto" w:sz="4" w:space="0"/>
              <w:right w:val="single" w:color="auto" w:sz="4" w:space="0"/>
            </w:tcBorders>
            <w:vAlign w:val="center"/>
          </w:tcPr>
          <w:p w14:paraId="4DE4833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22.5+（5000-3000）×0.3%=28.5</w:t>
            </w:r>
          </w:p>
        </w:tc>
      </w:tr>
      <w:tr w14:paraId="7596AEA4">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FF684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76" w:type="dxa"/>
            <w:tcBorders>
              <w:top w:val="single" w:color="auto" w:sz="4" w:space="0"/>
              <w:left w:val="nil"/>
              <w:bottom w:val="single" w:color="auto" w:sz="4" w:space="0"/>
              <w:right w:val="single" w:color="auto" w:sz="4" w:space="0"/>
            </w:tcBorders>
            <w:vAlign w:val="center"/>
          </w:tcPr>
          <w:p w14:paraId="3C4E09A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170" w:type="dxa"/>
            <w:tcBorders>
              <w:top w:val="single" w:color="auto" w:sz="4" w:space="0"/>
              <w:left w:val="nil"/>
              <w:bottom w:val="single" w:color="auto" w:sz="4" w:space="0"/>
              <w:right w:val="single" w:color="auto" w:sz="4" w:space="0"/>
            </w:tcBorders>
            <w:vAlign w:val="center"/>
          </w:tcPr>
          <w:p w14:paraId="2BE8F91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860" w:type="dxa"/>
            <w:tcBorders>
              <w:top w:val="single" w:color="auto" w:sz="4" w:space="0"/>
              <w:left w:val="nil"/>
              <w:bottom w:val="single" w:color="auto" w:sz="4" w:space="0"/>
              <w:right w:val="single" w:color="auto" w:sz="4" w:space="0"/>
            </w:tcBorders>
            <w:vAlign w:val="center"/>
          </w:tcPr>
          <w:p w14:paraId="4C9A832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74" w:type="dxa"/>
            <w:tcBorders>
              <w:top w:val="single" w:color="auto" w:sz="4" w:space="0"/>
              <w:left w:val="nil"/>
              <w:bottom w:val="single" w:color="auto" w:sz="4" w:space="0"/>
              <w:right w:val="single" w:color="auto" w:sz="4" w:space="0"/>
            </w:tcBorders>
            <w:vAlign w:val="center"/>
          </w:tcPr>
          <w:p w14:paraId="5F65509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28.5+（10000-5000）×0.1%=33.5</w:t>
            </w:r>
          </w:p>
        </w:tc>
      </w:tr>
      <w:tr w14:paraId="097969FC">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A20E7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76" w:type="dxa"/>
            <w:tcBorders>
              <w:top w:val="single" w:color="auto" w:sz="4" w:space="0"/>
              <w:left w:val="nil"/>
              <w:bottom w:val="single" w:color="auto" w:sz="4" w:space="0"/>
              <w:right w:val="single" w:color="auto" w:sz="4" w:space="0"/>
            </w:tcBorders>
            <w:vAlign w:val="center"/>
          </w:tcPr>
          <w:p w14:paraId="6B0F618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170" w:type="dxa"/>
            <w:tcBorders>
              <w:top w:val="single" w:color="auto" w:sz="4" w:space="0"/>
              <w:left w:val="nil"/>
              <w:bottom w:val="single" w:color="auto" w:sz="4" w:space="0"/>
              <w:right w:val="single" w:color="auto" w:sz="4" w:space="0"/>
            </w:tcBorders>
            <w:vAlign w:val="center"/>
          </w:tcPr>
          <w:p w14:paraId="2E204E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0.08</w:t>
            </w:r>
          </w:p>
        </w:tc>
        <w:tc>
          <w:tcPr>
            <w:tcW w:w="1860" w:type="dxa"/>
            <w:tcBorders>
              <w:top w:val="single" w:color="auto" w:sz="4" w:space="0"/>
              <w:left w:val="nil"/>
              <w:bottom w:val="single" w:color="auto" w:sz="4" w:space="0"/>
              <w:right w:val="single" w:color="auto" w:sz="4" w:space="0"/>
            </w:tcBorders>
            <w:vAlign w:val="center"/>
          </w:tcPr>
          <w:p w14:paraId="0176784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74" w:type="dxa"/>
            <w:tcBorders>
              <w:top w:val="single" w:color="auto" w:sz="4" w:space="0"/>
              <w:left w:val="nil"/>
              <w:bottom w:val="single" w:color="auto" w:sz="4" w:space="0"/>
              <w:right w:val="single" w:color="auto" w:sz="4" w:space="0"/>
            </w:tcBorders>
            <w:vAlign w:val="center"/>
          </w:tcPr>
          <w:p w14:paraId="34C1E8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33.5+（15000-10000）×0.08%=37.5</w:t>
            </w:r>
          </w:p>
        </w:tc>
      </w:tr>
    </w:tbl>
    <w:p w14:paraId="17A4A84F">
      <w:pPr>
        <w:keepNext w:val="0"/>
        <w:keepLines w:val="0"/>
        <w:pageBreakBefore w:val="0"/>
        <w:widowControl w:val="0"/>
        <w:kinsoku/>
        <w:wordWrap/>
        <w:overflowPunct/>
        <w:topLinePunct w:val="0"/>
        <w:autoSpaceDE/>
        <w:autoSpaceDN/>
        <w:bidi w:val="0"/>
        <w:adjustRightInd w:val="0"/>
        <w:snapToGrid w:val="0"/>
        <w:spacing w:line="240" w:lineRule="exact"/>
        <w:ind w:firstLine="482" w:firstLineChars="200"/>
        <w:jc w:val="left"/>
        <w:textAlignment w:val="auto"/>
        <w:rPr>
          <w:rFonts w:hint="default" w:ascii="Times New Roman" w:hAnsi="Times New Roman" w:eastAsia="宋体" w:cs="Times New Roman"/>
          <w:b/>
          <w:color w:val="auto"/>
          <w:sz w:val="24"/>
          <w:szCs w:val="24"/>
          <w:highlight w:val="none"/>
        </w:rPr>
      </w:pPr>
    </w:p>
    <w:p w14:paraId="144B8CFB">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不可预见费</w:t>
      </w:r>
    </w:p>
    <w:p w14:paraId="16C0E3A9">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不可预见费以工程施工费、其他费用之和作为计费基数，费率取3%。</w:t>
      </w:r>
    </w:p>
    <w:p w14:paraId="0831751E">
      <w:pPr>
        <w:tabs>
          <w:tab w:val="left" w:pos="7235"/>
        </w:tabs>
        <w:wordWrap/>
        <w:spacing w:line="240" w:lineRule="auto"/>
        <w:ind w:right="-605" w:rightChars="-216"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6-10</w:t>
      </w:r>
      <w:r>
        <w:rPr>
          <w:rFonts w:hint="default" w:ascii="Times New Roman" w:hAnsi="Times New Roman" w:eastAsia="宋体" w:cs="Times New Roman"/>
          <w:b/>
          <w:color w:val="auto"/>
          <w:sz w:val="21"/>
          <w:szCs w:val="21"/>
          <w:highlight w:val="none"/>
        </w:rPr>
        <w:t xml:space="preserve">  不可预见费计算表</w:t>
      </w:r>
    </w:p>
    <w:tbl>
      <w:tblPr>
        <w:tblStyle w:val="18"/>
        <w:tblW w:w="0" w:type="auto"/>
        <w:jc w:val="center"/>
        <w:tblLayout w:type="fixed"/>
        <w:tblCellMar>
          <w:top w:w="0" w:type="dxa"/>
          <w:left w:w="108" w:type="dxa"/>
          <w:bottom w:w="0" w:type="dxa"/>
          <w:right w:w="108" w:type="dxa"/>
        </w:tblCellMar>
      </w:tblPr>
      <w:tblGrid>
        <w:gridCol w:w="826"/>
        <w:gridCol w:w="2181"/>
        <w:gridCol w:w="4110"/>
        <w:gridCol w:w="1411"/>
      </w:tblGrid>
      <w:tr w14:paraId="4A7A415F">
        <w:tblPrEx>
          <w:tblCellMar>
            <w:top w:w="0" w:type="dxa"/>
            <w:left w:w="108" w:type="dxa"/>
            <w:bottom w:w="0" w:type="dxa"/>
            <w:right w:w="108" w:type="dxa"/>
          </w:tblCellMar>
        </w:tblPrEx>
        <w:trPr>
          <w:trHeight w:val="31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34EE7E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1" w:type="dxa"/>
            <w:tcBorders>
              <w:top w:val="single" w:color="auto" w:sz="4" w:space="0"/>
              <w:left w:val="single" w:color="auto" w:sz="4" w:space="0"/>
              <w:bottom w:val="single" w:color="auto" w:sz="4" w:space="0"/>
              <w:right w:val="single" w:color="auto" w:sz="4" w:space="0"/>
            </w:tcBorders>
            <w:vAlign w:val="center"/>
          </w:tcPr>
          <w:p w14:paraId="5B19AA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费用名称</w:t>
            </w:r>
          </w:p>
        </w:tc>
        <w:tc>
          <w:tcPr>
            <w:tcW w:w="4110" w:type="dxa"/>
            <w:tcBorders>
              <w:top w:val="single" w:color="auto" w:sz="4" w:space="0"/>
              <w:left w:val="single" w:color="auto" w:sz="4" w:space="0"/>
              <w:bottom w:val="single" w:color="auto" w:sz="4" w:space="0"/>
              <w:right w:val="single" w:color="auto" w:sz="4" w:space="0"/>
            </w:tcBorders>
            <w:vAlign w:val="center"/>
          </w:tcPr>
          <w:p w14:paraId="6DD0CBE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1411" w:type="dxa"/>
            <w:tcBorders>
              <w:top w:val="single" w:color="auto" w:sz="4" w:space="0"/>
              <w:left w:val="single" w:color="auto" w:sz="4" w:space="0"/>
              <w:bottom w:val="single" w:color="auto" w:sz="4" w:space="0"/>
              <w:right w:val="single" w:color="auto" w:sz="4" w:space="0"/>
            </w:tcBorders>
            <w:vAlign w:val="center"/>
          </w:tcPr>
          <w:p w14:paraId="095EC2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r>
      <w:tr w14:paraId="43F73FAA">
        <w:tblPrEx>
          <w:tblCellMar>
            <w:top w:w="0" w:type="dxa"/>
            <w:left w:w="108" w:type="dxa"/>
            <w:bottom w:w="0" w:type="dxa"/>
            <w:right w:w="108" w:type="dxa"/>
          </w:tblCellMar>
        </w:tblPrEx>
        <w:trPr>
          <w:trHeight w:val="312" w:hRule="atLeast"/>
          <w:jc w:val="center"/>
        </w:trPr>
        <w:tc>
          <w:tcPr>
            <w:tcW w:w="826" w:type="dxa"/>
            <w:tcBorders>
              <w:top w:val="nil"/>
              <w:left w:val="single" w:color="auto" w:sz="4" w:space="0"/>
              <w:bottom w:val="single" w:color="auto" w:sz="4" w:space="0"/>
              <w:right w:val="single" w:color="auto" w:sz="4" w:space="0"/>
            </w:tcBorders>
            <w:vAlign w:val="center"/>
          </w:tcPr>
          <w:p w14:paraId="496901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1" w:type="dxa"/>
            <w:tcBorders>
              <w:top w:val="nil"/>
              <w:left w:val="nil"/>
              <w:bottom w:val="single" w:color="auto" w:sz="4" w:space="0"/>
              <w:right w:val="single" w:color="auto" w:sz="4" w:space="0"/>
            </w:tcBorders>
            <w:vAlign w:val="center"/>
          </w:tcPr>
          <w:p w14:paraId="5FA4C3A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不可预见费</w:t>
            </w:r>
          </w:p>
        </w:tc>
        <w:tc>
          <w:tcPr>
            <w:tcW w:w="4110" w:type="dxa"/>
            <w:tcBorders>
              <w:top w:val="nil"/>
              <w:left w:val="nil"/>
              <w:bottom w:val="single" w:color="auto" w:sz="4" w:space="0"/>
              <w:right w:val="single" w:color="auto" w:sz="4" w:space="0"/>
            </w:tcBorders>
            <w:vAlign w:val="center"/>
          </w:tcPr>
          <w:p w14:paraId="7DA54CE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工程施工费+其他费用</w:t>
            </w:r>
          </w:p>
        </w:tc>
        <w:tc>
          <w:tcPr>
            <w:tcW w:w="1411" w:type="dxa"/>
            <w:tcBorders>
              <w:top w:val="nil"/>
              <w:left w:val="nil"/>
              <w:bottom w:val="single" w:color="auto" w:sz="4" w:space="0"/>
              <w:right w:val="single" w:color="auto" w:sz="4" w:space="0"/>
            </w:tcBorders>
            <w:vAlign w:val="center"/>
          </w:tcPr>
          <w:p w14:paraId="6F07C3A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bl>
    <w:p w14:paraId="2567F8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监测管护费</w:t>
      </w:r>
    </w:p>
    <w:p w14:paraId="1D620963">
      <w:pPr>
        <w:keepNext w:val="0"/>
        <w:keepLines w:val="0"/>
        <w:widowControl w:val="0"/>
        <w:suppressLineNumbers w:val="0"/>
        <w:spacing w:before="0" w:beforeAutospacing="0" w:after="0" w:afterAutospacing="0" w:line="374" w:lineRule="auto"/>
        <w:ind w:left="0" w:right="0"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监测管护费=监测费+管护费</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宋体"/>
          <w:color w:val="auto"/>
          <w:kern w:val="2"/>
          <w:sz w:val="24"/>
          <w:szCs w:val="24"/>
          <w:lang w:val="en-US" w:eastAsia="zh-CN" w:bidi="ar"/>
        </w:rPr>
        <w:t>对监测管护费总价进行限定，原则上不超过工程施工费的</w:t>
      </w:r>
      <w:r>
        <w:rPr>
          <w:rFonts w:hint="default" w:ascii="Times New Roman" w:hAnsi="Times New Roman" w:eastAsia="宋体" w:cs="Times New Roman"/>
          <w:color w:val="auto"/>
          <w:kern w:val="2"/>
          <w:sz w:val="24"/>
          <w:szCs w:val="24"/>
          <w:lang w:val="en-US" w:eastAsia="zh-CN" w:bidi="ar"/>
        </w:rPr>
        <w:t>10%</w:t>
      </w:r>
      <w:r>
        <w:rPr>
          <w:rFonts w:hint="eastAsia" w:ascii="Times New Roman" w:hAnsi="Times New Roman" w:eastAsia="宋体" w:cs="宋体"/>
          <w:color w:val="auto"/>
          <w:kern w:val="2"/>
          <w:sz w:val="24"/>
          <w:szCs w:val="24"/>
          <w:lang w:val="en-US" w:eastAsia="zh-CN" w:bidi="ar"/>
        </w:rPr>
        <w:t>。</w:t>
      </w:r>
    </w:p>
    <w:p w14:paraId="11FF6077">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监测费</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pacing w:val="-4"/>
          <w:sz w:val="24"/>
          <w:szCs w:val="24"/>
          <w:highlight w:val="none"/>
        </w:rPr>
        <w:t>。</w:t>
      </w:r>
    </w:p>
    <w:p w14:paraId="36D55AE6">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管护费</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z w:val="24"/>
          <w:szCs w:val="24"/>
          <w:highlight w:val="none"/>
        </w:rPr>
        <w:t>。</w:t>
      </w:r>
    </w:p>
    <w:p w14:paraId="62CC46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rPr>
      </w:pPr>
      <w:r>
        <w:rPr>
          <w:rFonts w:hint="eastAsia" w:cs="Times New Roman"/>
          <w:b w:val="0"/>
          <w:bCs/>
          <w:color w:val="auto"/>
          <w:sz w:val="24"/>
          <w:szCs w:val="24"/>
          <w:highlight w:val="none"/>
          <w:lang w:val="en-US" w:eastAsia="zh-CN"/>
        </w:rPr>
        <w:t>（5）</w:t>
      </w:r>
      <w:r>
        <w:rPr>
          <w:rFonts w:hint="eastAsia" w:ascii="Times New Roman" w:hAnsi="Times New Roman" w:eastAsia="宋体" w:cs="Times New Roman"/>
          <w:b w:val="0"/>
          <w:bCs/>
          <w:color w:val="auto"/>
          <w:sz w:val="24"/>
          <w:szCs w:val="24"/>
          <w:highlight w:val="none"/>
          <w:lang w:val="en-US" w:eastAsia="zh-CN"/>
        </w:rPr>
        <w:t>价差预备费</w:t>
      </w:r>
    </w:p>
    <w:p w14:paraId="1C7260E5">
      <w:pPr>
        <w:keepNext w:val="0"/>
        <w:keepLines w:val="0"/>
        <w:widowControl w:val="0"/>
        <w:suppressLineNumbers w:val="0"/>
        <w:spacing w:before="0" w:beforeAutospacing="0" w:after="0" w:afterAutospacing="0"/>
        <w:ind w:left="0" w:right="0" w:firstLine="480" w:firstLineChars="200"/>
        <w:jc w:val="left"/>
        <w:rPr>
          <w:color w:val="auto"/>
          <w:sz w:val="24"/>
          <w:szCs w:val="24"/>
          <w:vertAlign w:val="sub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bscript"/>
          <w:lang w:val="en-US" w:eastAsia="zh-CN" w:bidi="ar"/>
        </w:rPr>
        <w:t>n</w:t>
      </w:r>
    </w:p>
    <w:p w14:paraId="2B473D52">
      <w:pPr>
        <w:keepNext w:val="0"/>
        <w:keepLines w:val="0"/>
        <w:widowControl w:val="0"/>
        <w:suppressLineNumbers w:val="0"/>
        <w:spacing w:before="0" w:beforeAutospacing="0" w:after="0" w:afterAutospacing="0"/>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计算公式：</w:t>
      </w:r>
      <w:r>
        <w:rPr>
          <w:rFonts w:hint="default" w:ascii="Times New Roman" w:hAnsi="Times New Roman" w:eastAsia="宋体" w:cs="Times New Roman"/>
          <w:color w:val="auto"/>
          <w:kern w:val="2"/>
          <w:sz w:val="24"/>
          <w:szCs w:val="24"/>
          <w:lang w:val="en-US" w:eastAsia="zh-CN" w:bidi="ar"/>
        </w:rPr>
        <w:t>PF=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m</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0.5</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t-1</w:t>
      </w:r>
      <w:r>
        <w:rPr>
          <w:rFonts w:hint="default" w:ascii="Times New Roman" w:hAnsi="Times New Roman" w:eastAsia="宋体" w:cs="Times New Roman"/>
          <w:color w:val="auto"/>
          <w:kern w:val="2"/>
          <w:sz w:val="24"/>
          <w:szCs w:val="24"/>
          <w:lang w:val="en-US" w:eastAsia="zh-CN" w:bidi="ar"/>
        </w:rPr>
        <w:t>-1]</w:t>
      </w:r>
    </w:p>
    <w:p w14:paraId="6FD067CC">
      <w:pPr>
        <w:keepNext w:val="0"/>
        <w:keepLines w:val="0"/>
        <w:widowControl w:val="0"/>
        <w:suppressLineNumbers w:val="0"/>
        <w:spacing w:before="0" w:beforeAutospacing="0" w:after="0" w:afterAutospacing="0"/>
        <w:ind w:left="84" w:leftChars="30" w:right="0" w:firstLine="480" w:firstLineChars="200"/>
        <w:jc w:val="left"/>
        <w:rPr>
          <w:color w:val="auto"/>
          <w:sz w:val="24"/>
          <w:szCs w:val="24"/>
          <w:vertAlign w:val="super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perscript"/>
          <w:lang w:val="en-US" w:eastAsia="zh-CN" w:bidi="ar"/>
        </w:rPr>
        <w:t>t=1</w:t>
      </w:r>
    </w:p>
    <w:p w14:paraId="1D2BEBD7">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式中：</w:t>
      </w:r>
      <w:r>
        <w:rPr>
          <w:rFonts w:hint="default" w:ascii="Times New Roman" w:hAnsi="Times New Roman" w:eastAsia="宋体" w:cs="Times New Roman"/>
          <w:color w:val="auto"/>
          <w:kern w:val="2"/>
          <w:sz w:val="24"/>
          <w:szCs w:val="24"/>
          <w:lang w:val="en-US" w:eastAsia="zh-CN" w:bidi="ar"/>
        </w:rPr>
        <w:t>PF—</w:t>
      </w:r>
      <w:r>
        <w:rPr>
          <w:rFonts w:hint="eastAsia" w:ascii="Times New Roman" w:hAnsi="Times New Roman" w:eastAsia="宋体" w:cs="宋体"/>
          <w:color w:val="auto"/>
          <w:kern w:val="2"/>
          <w:sz w:val="24"/>
          <w:szCs w:val="24"/>
          <w:lang w:val="en-US" w:eastAsia="zh-CN" w:bidi="ar"/>
        </w:rPr>
        <w:t>价差预备费</w:t>
      </w:r>
    </w:p>
    <w:p w14:paraId="57B02ADB">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n—</w:t>
      </w:r>
      <w:r>
        <w:rPr>
          <w:rFonts w:hint="eastAsia" w:ascii="Times New Roman" w:hAnsi="Times New Roman" w:eastAsia="宋体" w:cs="宋体"/>
          <w:color w:val="auto"/>
          <w:kern w:val="2"/>
          <w:sz w:val="24"/>
          <w:szCs w:val="24"/>
          <w:lang w:val="en-US" w:eastAsia="zh-CN" w:bidi="ar"/>
        </w:rPr>
        <w:t>建设期年份数</w:t>
      </w:r>
    </w:p>
    <w:p w14:paraId="1C315898">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建设期中第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年的投资计划额，即第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年的静态投资计划额</w:t>
      </w:r>
    </w:p>
    <w:p w14:paraId="3286DD4D">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f—</w:t>
      </w:r>
      <w:r>
        <w:rPr>
          <w:rFonts w:hint="eastAsia" w:ascii="Times New Roman" w:hAnsi="Times New Roman" w:eastAsia="宋体" w:cs="宋体"/>
          <w:color w:val="auto"/>
          <w:kern w:val="2"/>
          <w:sz w:val="24"/>
          <w:szCs w:val="24"/>
          <w:lang w:val="en-US" w:eastAsia="zh-CN" w:bidi="ar"/>
        </w:rPr>
        <w:t>年涨价率（按</w:t>
      </w:r>
      <w:r>
        <w:rPr>
          <w:rFonts w:hint="default" w:ascii="Times New Roman" w:hAnsi="Times New Roman" w:eastAsia="宋体" w:cs="Times New Roman"/>
          <w:color w:val="auto"/>
          <w:kern w:val="2"/>
          <w:sz w:val="24"/>
          <w:szCs w:val="24"/>
          <w:lang w:val="en-US" w:eastAsia="zh-CN" w:bidi="ar"/>
        </w:rPr>
        <w:t>6%</w:t>
      </w:r>
      <w:r>
        <w:rPr>
          <w:rFonts w:hint="eastAsia" w:ascii="Times New Roman" w:hAnsi="Times New Roman" w:eastAsia="宋体" w:cs="宋体"/>
          <w:color w:val="auto"/>
          <w:kern w:val="2"/>
          <w:sz w:val="24"/>
          <w:szCs w:val="24"/>
          <w:lang w:val="en-US" w:eastAsia="zh-CN" w:bidi="ar"/>
        </w:rPr>
        <w:t>计）</w:t>
      </w:r>
    </w:p>
    <w:p w14:paraId="66F26185">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bCs/>
          <w:color w:val="auto"/>
          <w:sz w:val="28"/>
          <w:szCs w:val="28"/>
          <w:lang w:val="zh-CN" w:eastAsia="zh-CN"/>
        </w:rPr>
      </w:pPr>
      <w:r>
        <w:rPr>
          <w:rFonts w:hint="default" w:ascii="Times New Roman" w:hAnsi="Times New Roman" w:eastAsia="宋体" w:cs="Times New Roman"/>
          <w:color w:val="auto"/>
          <w:kern w:val="2"/>
          <w:sz w:val="24"/>
          <w:szCs w:val="24"/>
          <w:lang w:val="en-US" w:eastAsia="zh-CN" w:bidi="ar"/>
        </w:rPr>
        <w:t xml:space="preserve">       m—</w:t>
      </w:r>
      <w:r>
        <w:rPr>
          <w:rFonts w:hint="eastAsia" w:ascii="Times New Roman" w:hAnsi="Times New Roman" w:eastAsia="宋体" w:cs="宋体"/>
          <w:color w:val="auto"/>
          <w:kern w:val="2"/>
          <w:sz w:val="24"/>
          <w:szCs w:val="24"/>
          <w:lang w:val="en-US" w:eastAsia="zh-CN" w:bidi="ar"/>
        </w:rPr>
        <w:t>建设前期年限（从</w:t>
      </w:r>
      <w:r>
        <w:rPr>
          <w:rFonts w:hint="eastAsia" w:cs="宋体"/>
          <w:color w:val="auto"/>
          <w:kern w:val="2"/>
          <w:sz w:val="24"/>
          <w:szCs w:val="24"/>
          <w:lang w:val="en-US" w:eastAsia="zh-CN" w:bidi="ar"/>
        </w:rPr>
        <w:t>方案</w:t>
      </w:r>
      <w:r>
        <w:rPr>
          <w:rFonts w:hint="eastAsia" w:ascii="Times New Roman" w:hAnsi="Times New Roman" w:eastAsia="宋体" w:cs="宋体"/>
          <w:color w:val="auto"/>
          <w:kern w:val="2"/>
          <w:sz w:val="24"/>
          <w:szCs w:val="24"/>
          <w:lang w:val="en-US" w:eastAsia="zh-CN" w:bidi="ar"/>
        </w:rPr>
        <w:t>编制估算至开工建设，本项目建设前期年限已计入总规划年限）</w:t>
      </w:r>
      <w:r>
        <w:rPr>
          <w:rFonts w:hint="eastAsia" w:cs="宋体"/>
          <w:color w:val="auto"/>
          <w:kern w:val="2"/>
          <w:sz w:val="24"/>
          <w:szCs w:val="24"/>
          <w:lang w:val="en-US" w:eastAsia="zh-CN" w:bidi="ar"/>
        </w:rPr>
        <w:t>。</w:t>
      </w:r>
      <w:bookmarkStart w:id="106" w:name="_Toc4382"/>
      <w:bookmarkStart w:id="107" w:name="_Toc18269"/>
    </w:p>
    <w:p w14:paraId="7E7C169C">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ind w:firstLine="482" w:firstLineChars="200"/>
        <w:jc w:val="both"/>
        <w:textAlignment w:val="auto"/>
        <w:outlineLvl w:val="1"/>
        <w:rPr>
          <w:rFonts w:hint="default" w:ascii="Times New Roman" w:hAnsi="Times New Roman" w:eastAsia="宋体" w:cs="Times New Roman"/>
          <w:b/>
          <w:bCs/>
          <w:color w:val="auto"/>
          <w:sz w:val="28"/>
          <w:szCs w:val="28"/>
          <w:lang w:val="zh-CN" w:eastAsia="zh-CN"/>
        </w:rPr>
      </w:pPr>
      <w:bookmarkStart w:id="108" w:name="_Toc14175"/>
      <w:r>
        <w:rPr>
          <w:rFonts w:hint="default" w:ascii="Times New Roman" w:hAnsi="Times New Roman" w:eastAsia="宋体" w:cs="Times New Roman"/>
          <w:b/>
          <w:bCs/>
          <w:color w:val="auto"/>
          <w:sz w:val="24"/>
          <w:szCs w:val="24"/>
          <w:lang w:val="zh-CN" w:eastAsia="zh-CN"/>
        </w:rPr>
        <w:t>（二）主要工程量</w:t>
      </w:r>
      <w:bookmarkEnd w:id="106"/>
      <w:bookmarkEnd w:id="107"/>
      <w:bookmarkEnd w:id="108"/>
    </w:p>
    <w:p w14:paraId="7F9519D8">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 xml:space="preserve">6-11 </w:t>
      </w:r>
      <w:r>
        <w:rPr>
          <w:rFonts w:hint="default" w:ascii="Times New Roman" w:hAnsi="Times New Roman" w:eastAsia="宋体" w:cs="Times New Roman"/>
          <w:b/>
          <w:color w:val="auto"/>
          <w:sz w:val="21"/>
          <w:szCs w:val="21"/>
          <w:highlight w:val="none"/>
        </w:rPr>
        <w:t xml:space="preserve"> 治理工程量汇总表</w:t>
      </w:r>
    </w:p>
    <w:tbl>
      <w:tblPr>
        <w:tblStyle w:val="18"/>
        <w:tblW w:w="8554" w:type="dxa"/>
        <w:jc w:val="center"/>
        <w:shd w:val="clear" w:color="auto" w:fill="auto"/>
        <w:tblLayout w:type="autofit"/>
        <w:tblCellMar>
          <w:top w:w="0" w:type="dxa"/>
          <w:left w:w="108" w:type="dxa"/>
          <w:bottom w:w="0" w:type="dxa"/>
          <w:right w:w="108" w:type="dxa"/>
        </w:tblCellMar>
      </w:tblPr>
      <w:tblGrid>
        <w:gridCol w:w="1548"/>
        <w:gridCol w:w="2809"/>
        <w:gridCol w:w="1785"/>
        <w:gridCol w:w="2412"/>
      </w:tblGrid>
      <w:tr w14:paraId="1B2181E8">
        <w:tblPrEx>
          <w:shd w:val="clear" w:color="auto" w:fill="auto"/>
          <w:tblCellMar>
            <w:top w:w="0" w:type="dxa"/>
            <w:left w:w="108" w:type="dxa"/>
            <w:bottom w:w="0" w:type="dxa"/>
            <w:right w:w="108" w:type="dxa"/>
          </w:tblCellMar>
        </w:tblPrEx>
        <w:trPr>
          <w:trHeight w:val="340"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6D9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1862">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0257">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计量单位</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AE79">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工程量</w:t>
            </w:r>
          </w:p>
        </w:tc>
      </w:tr>
      <w:tr w14:paraId="610B867D">
        <w:tblPrEx>
          <w:tblCellMar>
            <w:top w:w="0" w:type="dxa"/>
            <w:left w:w="108" w:type="dxa"/>
            <w:bottom w:w="0" w:type="dxa"/>
            <w:right w:w="108" w:type="dxa"/>
          </w:tblCellMar>
        </w:tblPrEx>
        <w:trPr>
          <w:trHeight w:val="340"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4F3D">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B206">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植被工程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138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255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6131B178">
        <w:tblPrEx>
          <w:tblCellMar>
            <w:top w:w="0" w:type="dxa"/>
            <w:left w:w="108" w:type="dxa"/>
            <w:bottom w:w="0" w:type="dxa"/>
            <w:right w:w="108" w:type="dxa"/>
          </w:tblCellMar>
        </w:tblPrEx>
        <w:trPr>
          <w:trHeight w:val="340"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3D32">
            <w:pPr>
              <w:keepNext w:val="0"/>
              <w:keepLines w:val="0"/>
              <w:widowControl/>
              <w:suppressLineNumbers w:val="0"/>
              <w:wordWrap/>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6BD0">
            <w:pPr>
              <w:keepNext w:val="0"/>
              <w:keepLines w:val="0"/>
              <w:widowControl/>
              <w:suppressLineNumbers w:val="0"/>
              <w:wordWrap/>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种草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060B">
            <w:pPr>
              <w:keepNext w:val="0"/>
              <w:keepLines w:val="0"/>
              <w:widowControl/>
              <w:suppressLineNumbers w:val="0"/>
              <w:wordWrap/>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D4E">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3703</w:t>
            </w:r>
          </w:p>
        </w:tc>
      </w:tr>
      <w:tr w14:paraId="2D6B6358">
        <w:tblPrEx>
          <w:tblCellMar>
            <w:top w:w="0" w:type="dxa"/>
            <w:left w:w="108" w:type="dxa"/>
            <w:bottom w:w="0" w:type="dxa"/>
            <w:right w:w="108" w:type="dxa"/>
          </w:tblCellMar>
        </w:tblPrEx>
        <w:trPr>
          <w:trHeight w:val="340"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F1B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二</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3797">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default" w:ascii="Times New Roman" w:hAnsi="Times New Roman" w:eastAsia="宋体" w:cs="Times New Roman"/>
                <w:b/>
                <w:bCs/>
                <w:i w:val="0"/>
                <w:iCs w:val="0"/>
                <w:color w:val="auto"/>
                <w:kern w:val="0"/>
                <w:sz w:val="21"/>
                <w:szCs w:val="21"/>
                <w:highlight w:val="none"/>
                <w:u w:val="none"/>
                <w:lang w:val="en-US" w:eastAsia="zh-CN" w:bidi="ar"/>
              </w:rPr>
              <w:t>监测管护工程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50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A8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65258E07">
        <w:tblPrEx>
          <w:tblCellMar>
            <w:top w:w="0" w:type="dxa"/>
            <w:left w:w="108" w:type="dxa"/>
            <w:bottom w:w="0" w:type="dxa"/>
            <w:right w:w="108" w:type="dxa"/>
          </w:tblCellMar>
        </w:tblPrEx>
        <w:trPr>
          <w:trHeight w:val="340"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85C3">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1F0">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地形地貌景观监测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732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173D">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12</w:t>
            </w:r>
          </w:p>
        </w:tc>
      </w:tr>
      <w:tr w14:paraId="0C68B6F9">
        <w:tblPrEx>
          <w:tblCellMar>
            <w:top w:w="0" w:type="dxa"/>
            <w:left w:w="108" w:type="dxa"/>
            <w:bottom w:w="0" w:type="dxa"/>
            <w:right w:w="108" w:type="dxa"/>
          </w:tblCellMar>
        </w:tblPrEx>
        <w:trPr>
          <w:trHeight w:val="340"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371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96F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植被管护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3930">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938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r>
    </w:tbl>
    <w:p w14:paraId="2FC2CCD4">
      <w:pPr>
        <w:keepNext w:val="0"/>
        <w:keepLines w:val="0"/>
        <w:pageBreakBefore w:val="0"/>
        <w:widowControl/>
        <w:numPr>
          <w:ilvl w:val="0"/>
          <w:numId w:val="0"/>
        </w:numPr>
        <w:kinsoku/>
        <w:wordWrap/>
        <w:overflowPunct/>
        <w:topLinePunct w:val="0"/>
        <w:autoSpaceDE/>
        <w:autoSpaceDN/>
        <w:bidi w:val="0"/>
        <w:adjustRightInd w:val="0"/>
        <w:snapToGrid w:val="0"/>
        <w:spacing w:before="0" w:beforeLines="50" w:line="360" w:lineRule="auto"/>
        <w:ind w:firstLine="482" w:firstLineChars="200"/>
        <w:jc w:val="left"/>
        <w:textAlignment w:val="auto"/>
        <w:outlineLvl w:val="1"/>
        <w:rPr>
          <w:rFonts w:hint="default" w:ascii="Times New Roman" w:hAnsi="Times New Roman" w:eastAsia="宋体" w:cs="Times New Roman"/>
          <w:b/>
          <w:bCs/>
          <w:color w:val="auto"/>
          <w:sz w:val="28"/>
          <w:szCs w:val="28"/>
          <w:lang w:val="zh-CN" w:eastAsia="zh-CN"/>
        </w:rPr>
      </w:pPr>
      <w:bookmarkStart w:id="109" w:name="_Toc31577"/>
      <w:bookmarkStart w:id="110" w:name="_Toc14103"/>
      <w:bookmarkStart w:id="111" w:name="_Toc22909"/>
      <w:r>
        <w:rPr>
          <w:rFonts w:hint="default" w:ascii="Times New Roman" w:hAnsi="Times New Roman" w:eastAsia="宋体" w:cs="Times New Roman"/>
          <w:b/>
          <w:bCs/>
          <w:color w:val="auto"/>
          <w:sz w:val="24"/>
          <w:szCs w:val="24"/>
          <w:lang w:val="zh-CN" w:eastAsia="zh-CN"/>
        </w:rPr>
        <w:t>（三）估算结果</w:t>
      </w:r>
      <w:bookmarkEnd w:id="109"/>
      <w:bookmarkEnd w:id="110"/>
      <w:bookmarkEnd w:id="111"/>
    </w:p>
    <w:p w14:paraId="495654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4"/>
          <w:szCs w:val="24"/>
          <w:lang w:val="en-US" w:eastAsia="zh-CN" w:bidi="ar"/>
        </w:rPr>
        <w:t>经估算，202</w:t>
      </w:r>
      <w:r>
        <w:rPr>
          <w:rFonts w:hint="eastAsia" w:ascii="Times New Roman" w:hAnsi="Times New Roman" w:eastAsia="宋体"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年度矿山地质环境治理费用为5.90万元。经费估算总额和各单项工程经费估算结果见表6-12至表6-</w:t>
      </w:r>
      <w:r>
        <w:rPr>
          <w:rFonts w:hint="eastAsia" w:ascii="Times New Roman" w:hAnsi="Times New Roman" w:eastAsia="宋体" w:cs="Times New Roman"/>
          <w:color w:val="auto"/>
          <w:kern w:val="0"/>
          <w:sz w:val="24"/>
          <w:szCs w:val="24"/>
          <w:lang w:val="en-US" w:eastAsia="zh-CN" w:bidi="ar"/>
        </w:rPr>
        <w:t>14</w:t>
      </w:r>
      <w:r>
        <w:rPr>
          <w:rFonts w:hint="default" w:ascii="Times New Roman" w:hAnsi="Times New Roman" w:eastAsia="宋体" w:cs="Times New Roman"/>
          <w:color w:val="auto"/>
          <w:kern w:val="0"/>
          <w:sz w:val="24"/>
          <w:szCs w:val="24"/>
          <w:lang w:val="en-US" w:eastAsia="zh-CN" w:bidi="ar"/>
        </w:rPr>
        <w:t>。</w:t>
      </w:r>
    </w:p>
    <w:p w14:paraId="137BF27D">
      <w:pPr>
        <w:keepNext w:val="0"/>
        <w:keepLines w:val="0"/>
        <w:pageBreakBefore w:val="0"/>
        <w:widowControl/>
        <w:kinsoku/>
        <w:wordWrap/>
        <w:overflowPunct/>
        <w:topLinePunct w:val="0"/>
        <w:autoSpaceDE/>
        <w:autoSpaceDN/>
        <w:bidi w:val="0"/>
        <w:adjustRightInd w:val="0"/>
        <w:snapToGrid w:val="0"/>
        <w:spacing w:line="360" w:lineRule="auto"/>
        <w:ind w:firstLine="0" w:firstLineChars="0"/>
        <w:contextualSpacing/>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6-1</w:t>
      </w:r>
      <w:r>
        <w:rPr>
          <w:rFonts w:hint="eastAsia" w:ascii="Times New Roman" w:hAnsi="Times New Roman"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 xml:space="preserve">  矿山地质环境治理及土地复垦工程经费预算总表</w:t>
      </w:r>
    </w:p>
    <w:tbl>
      <w:tblPr>
        <w:tblStyle w:val="18"/>
        <w:tblW w:w="46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2175"/>
        <w:gridCol w:w="1917"/>
        <w:gridCol w:w="2928"/>
      </w:tblGrid>
      <w:tr w14:paraId="71FB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169C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52B7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工程或费用名称</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446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预算金额（万元）</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323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各费用占总费用的比例（%）</w:t>
            </w:r>
          </w:p>
        </w:tc>
      </w:tr>
      <w:tr w14:paraId="4568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8D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FBD7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B0F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7D2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r>
      <w:tr w14:paraId="6927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609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771F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工程施工费</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7E6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3.70</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7EB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62.71 </w:t>
            </w:r>
          </w:p>
        </w:tc>
      </w:tr>
      <w:tr w14:paraId="141D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6C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B989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其他费用</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3E4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2BF5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0.00 </w:t>
            </w:r>
          </w:p>
        </w:tc>
      </w:tr>
      <w:tr w14:paraId="72AE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CD9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64CE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不可预见费</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824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1E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0.00 </w:t>
            </w:r>
          </w:p>
        </w:tc>
      </w:tr>
      <w:tr w14:paraId="28FC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6F3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DE03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监测管护费</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60E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2.20</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305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37.29 </w:t>
            </w:r>
          </w:p>
        </w:tc>
      </w:tr>
      <w:tr w14:paraId="292F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FBA0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总  计</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9A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5.90</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BF2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100.00 </w:t>
            </w:r>
          </w:p>
        </w:tc>
      </w:tr>
    </w:tbl>
    <w:p w14:paraId="05B62215">
      <w:pPr>
        <w:keepNext w:val="0"/>
        <w:keepLines w:val="0"/>
        <w:pageBreakBefore w:val="0"/>
        <w:widowControl w:val="0"/>
        <w:kinsoku/>
        <w:wordWrap/>
        <w:overflowPunct/>
        <w:topLinePunct w:val="0"/>
        <w:autoSpaceDE/>
        <w:autoSpaceDN/>
        <w:bidi w:val="0"/>
        <w:adjustRightInd w:val="0"/>
        <w:snapToGrid w:val="0"/>
        <w:spacing w:before="164" w:beforeLines="50" w:after="0" w:line="360" w:lineRule="auto"/>
        <w:ind w:left="0" w:leftChars="0" w:firstLine="0" w:firstLineChars="0"/>
        <w:jc w:val="center"/>
        <w:textAlignment w:val="auto"/>
        <w:rPr>
          <w:rFonts w:hint="default" w:ascii="Times New Roman" w:hAnsi="Times New Roman" w:eastAsia="宋体" w:cs="Times New Roman"/>
          <w:b/>
          <w:bCs w:val="0"/>
          <w:color w:val="auto"/>
          <w:kern w:val="0"/>
          <w:sz w:val="21"/>
          <w:szCs w:val="21"/>
          <w:lang w:val="en-US" w:eastAsia="zh-CN" w:bidi="ar"/>
        </w:rPr>
      </w:pPr>
      <w:r>
        <w:rPr>
          <w:rFonts w:hint="default" w:ascii="Times New Roman" w:hAnsi="Times New Roman" w:eastAsia="宋体" w:cs="Times New Roman"/>
          <w:b/>
          <w:bCs w:val="0"/>
          <w:color w:val="auto"/>
          <w:kern w:val="0"/>
          <w:sz w:val="21"/>
          <w:szCs w:val="21"/>
          <w:lang w:val="en-US" w:eastAsia="zh-CN" w:bidi="ar"/>
        </w:rPr>
        <w:t>表6-</w:t>
      </w:r>
      <w:r>
        <w:rPr>
          <w:rFonts w:hint="eastAsia" w:ascii="Times New Roman" w:hAnsi="Times New Roman" w:cs="Times New Roman"/>
          <w:b/>
          <w:bCs w:val="0"/>
          <w:color w:val="auto"/>
          <w:kern w:val="0"/>
          <w:sz w:val="21"/>
          <w:szCs w:val="21"/>
          <w:lang w:val="en-US" w:eastAsia="zh-CN" w:bidi="ar"/>
        </w:rPr>
        <w:t>1</w:t>
      </w:r>
      <w:r>
        <w:rPr>
          <w:rFonts w:hint="eastAsia" w:cs="Times New Roman"/>
          <w:b/>
          <w:bCs w:val="0"/>
          <w:color w:val="auto"/>
          <w:kern w:val="0"/>
          <w:sz w:val="21"/>
          <w:szCs w:val="21"/>
          <w:lang w:val="en-US" w:eastAsia="zh-CN" w:bidi="ar"/>
        </w:rPr>
        <w:t>3</w:t>
      </w:r>
      <w:r>
        <w:rPr>
          <w:rFonts w:hint="default" w:ascii="Times New Roman" w:hAnsi="Times New Roman" w:eastAsia="宋体" w:cs="Times New Roman"/>
          <w:b/>
          <w:bCs w:val="0"/>
          <w:color w:val="auto"/>
          <w:kern w:val="0"/>
          <w:sz w:val="21"/>
          <w:szCs w:val="21"/>
          <w:lang w:val="en-US" w:eastAsia="zh-CN" w:bidi="ar"/>
        </w:rPr>
        <w:t xml:space="preserve">   工程施工费预算表</w:t>
      </w:r>
    </w:p>
    <w:tbl>
      <w:tblPr>
        <w:tblStyle w:val="18"/>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97"/>
        <w:gridCol w:w="1380"/>
        <w:gridCol w:w="960"/>
        <w:gridCol w:w="1005"/>
        <w:gridCol w:w="1635"/>
        <w:gridCol w:w="1350"/>
      </w:tblGrid>
      <w:tr w14:paraId="0BC5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8" w:type="dxa"/>
            <w:vMerge w:val="restart"/>
            <w:noWrap w:val="0"/>
            <w:vAlign w:val="center"/>
          </w:tcPr>
          <w:p w14:paraId="17167C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097" w:type="dxa"/>
            <w:noWrap w:val="0"/>
            <w:vAlign w:val="center"/>
          </w:tcPr>
          <w:p w14:paraId="06C785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定额编号</w:t>
            </w:r>
          </w:p>
        </w:tc>
        <w:tc>
          <w:tcPr>
            <w:tcW w:w="1380" w:type="dxa"/>
            <w:noWrap w:val="0"/>
            <w:vAlign w:val="center"/>
          </w:tcPr>
          <w:p w14:paraId="59A1A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单项名称</w:t>
            </w:r>
          </w:p>
        </w:tc>
        <w:tc>
          <w:tcPr>
            <w:tcW w:w="960" w:type="dxa"/>
            <w:noWrap w:val="0"/>
            <w:vAlign w:val="center"/>
          </w:tcPr>
          <w:p w14:paraId="267ECD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005" w:type="dxa"/>
            <w:noWrap w:val="0"/>
            <w:vAlign w:val="center"/>
          </w:tcPr>
          <w:p w14:paraId="3713E4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工程量</w:t>
            </w:r>
          </w:p>
        </w:tc>
        <w:tc>
          <w:tcPr>
            <w:tcW w:w="1635" w:type="dxa"/>
            <w:noWrap w:val="0"/>
            <w:vAlign w:val="center"/>
          </w:tcPr>
          <w:p w14:paraId="4FF7CB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综合单价（元）</w:t>
            </w:r>
          </w:p>
        </w:tc>
        <w:tc>
          <w:tcPr>
            <w:tcW w:w="1350" w:type="dxa"/>
            <w:noWrap w:val="0"/>
            <w:vAlign w:val="center"/>
          </w:tcPr>
          <w:p w14:paraId="41AF01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r>
              <w:rPr>
                <w:rFonts w:hint="default" w:ascii="Times New Roman" w:hAnsi="Times New Roman" w:eastAsia="宋体" w:cs="Times New Roman"/>
                <w:color w:val="auto"/>
                <w:sz w:val="21"/>
                <w:szCs w:val="21"/>
                <w:lang w:val="en-US" w:eastAsia="zh-CN"/>
              </w:rPr>
              <w:t>万</w:t>
            </w:r>
            <w:r>
              <w:rPr>
                <w:rFonts w:hint="default" w:ascii="Times New Roman" w:hAnsi="Times New Roman" w:eastAsia="宋体" w:cs="Times New Roman"/>
                <w:color w:val="auto"/>
                <w:sz w:val="21"/>
                <w:szCs w:val="21"/>
              </w:rPr>
              <w:t>元）</w:t>
            </w:r>
          </w:p>
        </w:tc>
      </w:tr>
      <w:tr w14:paraId="454B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8" w:type="dxa"/>
            <w:vMerge w:val="continue"/>
            <w:noWrap w:val="0"/>
            <w:vAlign w:val="center"/>
          </w:tcPr>
          <w:p w14:paraId="70695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97" w:type="dxa"/>
            <w:noWrap w:val="0"/>
            <w:vAlign w:val="center"/>
          </w:tcPr>
          <w:p w14:paraId="3D6DB7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380" w:type="dxa"/>
            <w:noWrap w:val="0"/>
            <w:vAlign w:val="center"/>
          </w:tcPr>
          <w:p w14:paraId="6542D5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960" w:type="dxa"/>
            <w:noWrap w:val="0"/>
            <w:vAlign w:val="center"/>
          </w:tcPr>
          <w:p w14:paraId="7B0905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005" w:type="dxa"/>
            <w:noWrap w:val="0"/>
            <w:vAlign w:val="center"/>
          </w:tcPr>
          <w:p w14:paraId="12D5F7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635" w:type="dxa"/>
            <w:noWrap w:val="0"/>
            <w:vAlign w:val="center"/>
          </w:tcPr>
          <w:p w14:paraId="579D43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350" w:type="dxa"/>
            <w:noWrap w:val="0"/>
            <w:vAlign w:val="center"/>
          </w:tcPr>
          <w:p w14:paraId="2210C0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r>
      <w:tr w14:paraId="7617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8" w:type="dxa"/>
            <w:noWrap w:val="0"/>
            <w:vAlign w:val="center"/>
          </w:tcPr>
          <w:p w14:paraId="5D7C0D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w:t>
            </w:r>
          </w:p>
        </w:tc>
        <w:tc>
          <w:tcPr>
            <w:tcW w:w="1097" w:type="dxa"/>
            <w:noWrap w:val="0"/>
            <w:vAlign w:val="center"/>
          </w:tcPr>
          <w:p w14:paraId="1188CB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80" w:type="dxa"/>
            <w:noWrap w:val="0"/>
            <w:vAlign w:val="center"/>
          </w:tcPr>
          <w:p w14:paraId="54D996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植被工程</w:t>
            </w:r>
          </w:p>
        </w:tc>
        <w:tc>
          <w:tcPr>
            <w:tcW w:w="960" w:type="dxa"/>
            <w:noWrap w:val="0"/>
            <w:vAlign w:val="center"/>
          </w:tcPr>
          <w:p w14:paraId="05BDA7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05" w:type="dxa"/>
            <w:noWrap w:val="0"/>
            <w:vAlign w:val="center"/>
          </w:tcPr>
          <w:p w14:paraId="73EA76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635" w:type="dxa"/>
            <w:noWrap w:val="0"/>
            <w:vAlign w:val="center"/>
          </w:tcPr>
          <w:p w14:paraId="6C38EF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50" w:type="dxa"/>
            <w:noWrap w:val="0"/>
            <w:vAlign w:val="center"/>
          </w:tcPr>
          <w:p w14:paraId="5BBA0A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r>
      <w:tr w14:paraId="08FC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8" w:type="dxa"/>
            <w:noWrap w:val="0"/>
            <w:vAlign w:val="center"/>
          </w:tcPr>
          <w:p w14:paraId="45FC51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97" w:type="dxa"/>
            <w:noWrap w:val="0"/>
            <w:vAlign w:val="center"/>
          </w:tcPr>
          <w:p w14:paraId="734127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市场询价</w:t>
            </w:r>
          </w:p>
        </w:tc>
        <w:tc>
          <w:tcPr>
            <w:tcW w:w="1380" w:type="dxa"/>
            <w:noWrap w:val="0"/>
            <w:vAlign w:val="center"/>
          </w:tcPr>
          <w:p w14:paraId="35558B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撒播种草</w:t>
            </w:r>
          </w:p>
        </w:tc>
        <w:tc>
          <w:tcPr>
            <w:tcW w:w="960" w:type="dxa"/>
            <w:noWrap w:val="0"/>
            <w:vAlign w:val="center"/>
          </w:tcPr>
          <w:p w14:paraId="62629F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005" w:type="dxa"/>
            <w:noWrap w:val="0"/>
            <w:vAlign w:val="center"/>
          </w:tcPr>
          <w:p w14:paraId="484DB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sz w:val="21"/>
                <w:szCs w:val="21"/>
                <w:highlight w:val="none"/>
                <w:u w:val="none"/>
                <w:lang w:val="en-US" w:eastAsia="zh-CN"/>
              </w:rPr>
              <w:t>3703</w:t>
            </w:r>
          </w:p>
        </w:tc>
        <w:tc>
          <w:tcPr>
            <w:tcW w:w="1635" w:type="dxa"/>
            <w:noWrap w:val="0"/>
            <w:vAlign w:val="center"/>
          </w:tcPr>
          <w:p w14:paraId="732EEF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.00</w:t>
            </w:r>
          </w:p>
        </w:tc>
        <w:tc>
          <w:tcPr>
            <w:tcW w:w="1350" w:type="dxa"/>
            <w:noWrap w:val="0"/>
            <w:vAlign w:val="center"/>
          </w:tcPr>
          <w:p w14:paraId="36594D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3.70</w:t>
            </w:r>
          </w:p>
        </w:tc>
      </w:tr>
      <w:tr w14:paraId="41AD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65" w:type="dxa"/>
            <w:gridSpan w:val="6"/>
            <w:noWrap w:val="0"/>
            <w:vAlign w:val="center"/>
          </w:tcPr>
          <w:p w14:paraId="66EFAB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总计</w:t>
            </w:r>
          </w:p>
        </w:tc>
        <w:tc>
          <w:tcPr>
            <w:tcW w:w="1350" w:type="dxa"/>
            <w:noWrap w:val="0"/>
            <w:vAlign w:val="center"/>
          </w:tcPr>
          <w:p w14:paraId="66A2C8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bCs/>
                <w:color w:val="auto"/>
                <w:sz w:val="21"/>
                <w:szCs w:val="21"/>
                <w:lang w:val="en-US" w:eastAsia="zh-CN"/>
              </w:rPr>
              <w:t>3.70</w:t>
            </w:r>
          </w:p>
        </w:tc>
      </w:tr>
    </w:tbl>
    <w:p w14:paraId="42E7D192">
      <w:pPr>
        <w:keepNext w:val="0"/>
        <w:keepLines w:val="0"/>
        <w:pageBreakBefore w:val="0"/>
        <w:widowControl/>
        <w:tabs>
          <w:tab w:val="left" w:pos="7235"/>
        </w:tabs>
        <w:kinsoku/>
        <w:wordWrap/>
        <w:overflowPunct/>
        <w:topLinePunct w:val="0"/>
        <w:autoSpaceDE/>
        <w:autoSpaceDN/>
        <w:bidi w:val="0"/>
        <w:adjustRightInd w:val="0"/>
        <w:snapToGrid w:val="0"/>
        <w:spacing w:before="164" w:beforeLines="50"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表6</w:t>
      </w:r>
      <w:r>
        <w:rPr>
          <w:rFonts w:hint="default" w:ascii="Times New Roman" w:hAnsi="Times New Roman" w:eastAsia="宋体" w:cs="Times New Roman"/>
          <w:b/>
          <w:color w:val="auto"/>
          <w:sz w:val="21"/>
          <w:szCs w:val="21"/>
          <w:highlight w:val="none"/>
          <w:lang w:val="en-US" w:eastAsia="zh-CN"/>
        </w:rPr>
        <w:t>-1</w:t>
      </w:r>
      <w:r>
        <w:rPr>
          <w:rFonts w:hint="eastAsia" w:cs="Times New Roman"/>
          <w:b/>
          <w:color w:val="auto"/>
          <w:sz w:val="21"/>
          <w:szCs w:val="21"/>
          <w:highlight w:val="none"/>
          <w:lang w:val="en-US" w:eastAsia="zh-CN"/>
        </w:rPr>
        <w:t>4</w:t>
      </w:r>
      <w:r>
        <w:rPr>
          <w:rFonts w:hint="default" w:ascii="Times New Roman" w:hAnsi="Times New Roman"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监测管护费预算表</w:t>
      </w:r>
    </w:p>
    <w:tbl>
      <w:tblPr>
        <w:tblStyle w:val="18"/>
        <w:tblW w:w="47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9"/>
        <w:gridCol w:w="978"/>
        <w:gridCol w:w="1618"/>
        <w:gridCol w:w="925"/>
        <w:gridCol w:w="1890"/>
        <w:gridCol w:w="1950"/>
      </w:tblGrid>
      <w:tr w14:paraId="5041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5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5BC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序号</w:t>
            </w:r>
          </w:p>
        </w:tc>
        <w:tc>
          <w:tcPr>
            <w:tcW w:w="60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39D34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费用名称</w:t>
            </w:r>
          </w:p>
        </w:tc>
        <w:tc>
          <w:tcPr>
            <w:tcW w:w="999"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8FE9C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频率（次/年）</w:t>
            </w:r>
          </w:p>
        </w:tc>
        <w:tc>
          <w:tcPr>
            <w:tcW w:w="57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D8A9D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年限</w:t>
            </w:r>
          </w:p>
        </w:tc>
        <w:tc>
          <w:tcPr>
            <w:tcW w:w="1167"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5857A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单次费用（万元）</w:t>
            </w:r>
          </w:p>
        </w:tc>
        <w:tc>
          <w:tcPr>
            <w:tcW w:w="120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1C2FA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预算金额（万元）</w:t>
            </w:r>
          </w:p>
        </w:tc>
      </w:tr>
      <w:tr w14:paraId="6ACA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451"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876D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9037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监测费</w:t>
            </w:r>
          </w:p>
        </w:tc>
        <w:tc>
          <w:tcPr>
            <w:tcW w:w="99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A87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12</w:t>
            </w:r>
          </w:p>
        </w:tc>
        <w:tc>
          <w:tcPr>
            <w:tcW w:w="57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B08D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1167"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4DC2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0.1</w:t>
            </w:r>
          </w:p>
        </w:tc>
        <w:tc>
          <w:tcPr>
            <w:tcW w:w="12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9EE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1.20</w:t>
            </w:r>
          </w:p>
        </w:tc>
      </w:tr>
      <w:tr w14:paraId="5B77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451"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BE9A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1111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管护费</w:t>
            </w:r>
          </w:p>
        </w:tc>
        <w:tc>
          <w:tcPr>
            <w:tcW w:w="99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8F12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w:t>
            </w:r>
          </w:p>
        </w:tc>
        <w:tc>
          <w:tcPr>
            <w:tcW w:w="57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DB92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1167"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046A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0.5</w:t>
            </w:r>
          </w:p>
        </w:tc>
        <w:tc>
          <w:tcPr>
            <w:tcW w:w="12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C90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1.00</w:t>
            </w:r>
          </w:p>
        </w:tc>
      </w:tr>
      <w:tr w14:paraId="5409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451"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1226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合计</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ADC7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99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5023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57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F69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1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4A87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2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F71A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2.20</w:t>
            </w:r>
          </w:p>
        </w:tc>
      </w:tr>
    </w:tbl>
    <w:p w14:paraId="745A5B33">
      <w:pPr>
        <w:keepNext/>
        <w:keepLines/>
        <w:wordWrap/>
        <w:spacing w:before="200" w:after="200" w:line="360" w:lineRule="auto"/>
        <w:ind w:firstLine="0" w:firstLineChars="0"/>
        <w:jc w:val="both"/>
        <w:outlineLvl w:val="9"/>
        <w:rPr>
          <w:rFonts w:hint="eastAsia" w:ascii="宋体" w:hAnsi="宋体" w:eastAsia="宋体" w:cs="宋体"/>
          <w:color w:val="auto"/>
        </w:rPr>
      </w:pPr>
    </w:p>
    <w:sectPr>
      <w:footerReference r:id="rId9" w:type="default"/>
      <w:pgSz w:w="11911" w:h="16838"/>
      <w:pgMar w:top="1701" w:right="1701" w:bottom="1701" w:left="1701"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1E4B">
    <w:pPr>
      <w:spacing w:line="14" w:lineRule="auto"/>
      <w:ind w:firstLine="400"/>
      <w:rPr>
        <w:kern w:val="0"/>
        <w:sz w:val="20"/>
        <w:szCs w:val="20"/>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8CA1">
    <w:pPr>
      <w:pStyle w:val="13"/>
      <w:ind w:firstLine="42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14:paraId="1027DC7D">
    <w:pPr>
      <w:pStyle w:val="13"/>
      <w:ind w:firstLine="360"/>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36CF">
    <w:pPr>
      <w:pStyle w:val="13"/>
      <w:ind w:firstLine="42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p w14:paraId="256E1B19">
    <w:pPr>
      <w:spacing w:line="14" w:lineRule="auto"/>
      <w:ind w:firstLine="360"/>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AB03">
    <w:pPr>
      <w:pStyle w:val="13"/>
      <w:ind w:right="360"/>
    </w:pPr>
    <w:r>
      <w:pict>
        <v:shape id="文本框 2051" o:spid="_x0000_s4098" o:spt="202" type="#_x0000_t202" style="position:absolute;left:0pt;margin-top:0.2pt;height:10.35pt;width:13.55pt;mso-position-horizontal:center;mso-position-horizontal-relative:margin;mso-wrap-style:none;z-index:251659264;mso-width-relative:page;mso-height-relative:page;" filled="f" stroked="f" coordsize="21600,21600" o:gfxdata="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bxldEAAAADAQAADwAAAAAAAAABACAAAAAiAAAAZHJz&#10;L2Rvd25yZXYueG1sUEsBAhQAFAAAAAgAh07iQA82DAQLAgAABQQAAA4AAAAAAAAAAQAgAAAAIAEA&#10;AGRycy9lMm9Eb2MueG1sUEsFBgAAAAAGAAYAWQEAAJ0FAAAAAA==&#10;">
          <v:path/>
          <v:fill on="f" focussize="0,0"/>
          <v:stroke on="f"/>
          <v:imagedata o:title=""/>
          <o:lock v:ext="edit" aspectratio="f"/>
          <v:textbox inset="0mm,0mm,0mm,0mm" style="mso-fit-shape-to-text:t;">
            <w:txbxContent>
              <w:p w14:paraId="216DCCD7">
                <w:pPr>
                  <w:pStyle w:val="13"/>
                  <w:jc w:val="center"/>
                  <w:rPr>
                    <w:rStyle w:val="21"/>
                  </w:rPr>
                </w:pPr>
                <w:r>
                  <w:fldChar w:fldCharType="begin"/>
                </w:r>
                <w:r>
                  <w:rPr>
                    <w:rStyle w:val="21"/>
                  </w:rPr>
                  <w:instrText xml:space="preserve">PAGE  </w:instrText>
                </w:r>
                <w:r>
                  <w:fldChar w:fldCharType="separate"/>
                </w:r>
                <w:r>
                  <w:rPr>
                    <w:rStyle w:val="21"/>
                  </w:rPr>
                  <w:t>128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33AF">
    <w:pPr>
      <w:ind w:left="56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kNTcxNWE3MTdjNzE3Zjk1OTBhZGExNzBhNzk5NTEifQ=="/>
  </w:docVars>
  <w:rsids>
    <w:rsidRoot w:val="00255F8A"/>
    <w:rsid w:val="00000473"/>
    <w:rsid w:val="000026B2"/>
    <w:rsid w:val="00025354"/>
    <w:rsid w:val="000508C0"/>
    <w:rsid w:val="00052148"/>
    <w:rsid w:val="00057503"/>
    <w:rsid w:val="000752D3"/>
    <w:rsid w:val="00077EEA"/>
    <w:rsid w:val="00084F3A"/>
    <w:rsid w:val="000850D7"/>
    <w:rsid w:val="00096C5A"/>
    <w:rsid w:val="000A1C86"/>
    <w:rsid w:val="000A3348"/>
    <w:rsid w:val="000B68F9"/>
    <w:rsid w:val="000D354F"/>
    <w:rsid w:val="000E22A1"/>
    <w:rsid w:val="000F1D6E"/>
    <w:rsid w:val="00103C9D"/>
    <w:rsid w:val="00120E76"/>
    <w:rsid w:val="001262F4"/>
    <w:rsid w:val="00133DEF"/>
    <w:rsid w:val="0013438B"/>
    <w:rsid w:val="001458EC"/>
    <w:rsid w:val="00150497"/>
    <w:rsid w:val="00160A6D"/>
    <w:rsid w:val="00161D5E"/>
    <w:rsid w:val="0017318F"/>
    <w:rsid w:val="0018085E"/>
    <w:rsid w:val="00180E92"/>
    <w:rsid w:val="001914C7"/>
    <w:rsid w:val="00197F70"/>
    <w:rsid w:val="001A2D92"/>
    <w:rsid w:val="001A5811"/>
    <w:rsid w:val="001C43D9"/>
    <w:rsid w:val="001D2DA4"/>
    <w:rsid w:val="001D3C53"/>
    <w:rsid w:val="001D5CC2"/>
    <w:rsid w:val="001E1B63"/>
    <w:rsid w:val="001E2557"/>
    <w:rsid w:val="001E66DE"/>
    <w:rsid w:val="00200D50"/>
    <w:rsid w:val="002202C1"/>
    <w:rsid w:val="00222195"/>
    <w:rsid w:val="002269E7"/>
    <w:rsid w:val="002348D4"/>
    <w:rsid w:val="00235899"/>
    <w:rsid w:val="0024417C"/>
    <w:rsid w:val="0025180D"/>
    <w:rsid w:val="00255F8A"/>
    <w:rsid w:val="00262C2B"/>
    <w:rsid w:val="00265413"/>
    <w:rsid w:val="00266D8C"/>
    <w:rsid w:val="00273320"/>
    <w:rsid w:val="0027476C"/>
    <w:rsid w:val="00276BB7"/>
    <w:rsid w:val="0028327A"/>
    <w:rsid w:val="0029219B"/>
    <w:rsid w:val="00293743"/>
    <w:rsid w:val="002978A3"/>
    <w:rsid w:val="002A4924"/>
    <w:rsid w:val="002B2EDA"/>
    <w:rsid w:val="002B4592"/>
    <w:rsid w:val="002B62B3"/>
    <w:rsid w:val="002B6CFE"/>
    <w:rsid w:val="002C112E"/>
    <w:rsid w:val="002C4531"/>
    <w:rsid w:val="002D2B97"/>
    <w:rsid w:val="002E5BA5"/>
    <w:rsid w:val="002E6154"/>
    <w:rsid w:val="002E751D"/>
    <w:rsid w:val="00302A8B"/>
    <w:rsid w:val="003042F8"/>
    <w:rsid w:val="00311A9E"/>
    <w:rsid w:val="00317226"/>
    <w:rsid w:val="0032281C"/>
    <w:rsid w:val="00324EFB"/>
    <w:rsid w:val="00341EA0"/>
    <w:rsid w:val="00342457"/>
    <w:rsid w:val="00365423"/>
    <w:rsid w:val="003731C6"/>
    <w:rsid w:val="0038329C"/>
    <w:rsid w:val="003A5A5C"/>
    <w:rsid w:val="003B1D41"/>
    <w:rsid w:val="003B3785"/>
    <w:rsid w:val="003D06FF"/>
    <w:rsid w:val="003D3D9E"/>
    <w:rsid w:val="003D423E"/>
    <w:rsid w:val="003F1DAE"/>
    <w:rsid w:val="00400903"/>
    <w:rsid w:val="00412B32"/>
    <w:rsid w:val="0043298B"/>
    <w:rsid w:val="00436029"/>
    <w:rsid w:val="00445CFE"/>
    <w:rsid w:val="0044691A"/>
    <w:rsid w:val="00455185"/>
    <w:rsid w:val="004553D1"/>
    <w:rsid w:val="004661E8"/>
    <w:rsid w:val="00480951"/>
    <w:rsid w:val="00484653"/>
    <w:rsid w:val="004A21B7"/>
    <w:rsid w:val="004A2C0E"/>
    <w:rsid w:val="004A3C3E"/>
    <w:rsid w:val="004C0713"/>
    <w:rsid w:val="004C355F"/>
    <w:rsid w:val="004C42F4"/>
    <w:rsid w:val="004D4F05"/>
    <w:rsid w:val="004D7AC5"/>
    <w:rsid w:val="004E01DC"/>
    <w:rsid w:val="004F2C99"/>
    <w:rsid w:val="004F3BA0"/>
    <w:rsid w:val="0050245D"/>
    <w:rsid w:val="00502F44"/>
    <w:rsid w:val="00505EFD"/>
    <w:rsid w:val="0050642E"/>
    <w:rsid w:val="005343EC"/>
    <w:rsid w:val="005432A8"/>
    <w:rsid w:val="00544CF5"/>
    <w:rsid w:val="00545A65"/>
    <w:rsid w:val="005520A6"/>
    <w:rsid w:val="00555BE2"/>
    <w:rsid w:val="005616C2"/>
    <w:rsid w:val="005617EF"/>
    <w:rsid w:val="0056569E"/>
    <w:rsid w:val="005719D0"/>
    <w:rsid w:val="00586439"/>
    <w:rsid w:val="005A05C7"/>
    <w:rsid w:val="005A0931"/>
    <w:rsid w:val="005A49FD"/>
    <w:rsid w:val="005A7F0F"/>
    <w:rsid w:val="005B1E79"/>
    <w:rsid w:val="005B37A3"/>
    <w:rsid w:val="005B4678"/>
    <w:rsid w:val="005B726D"/>
    <w:rsid w:val="005D25EA"/>
    <w:rsid w:val="005F327D"/>
    <w:rsid w:val="00603058"/>
    <w:rsid w:val="006054FC"/>
    <w:rsid w:val="00606681"/>
    <w:rsid w:val="00606F40"/>
    <w:rsid w:val="00613E5C"/>
    <w:rsid w:val="006145DB"/>
    <w:rsid w:val="00622972"/>
    <w:rsid w:val="0063143F"/>
    <w:rsid w:val="006478C9"/>
    <w:rsid w:val="0065725B"/>
    <w:rsid w:val="00666221"/>
    <w:rsid w:val="00666CDE"/>
    <w:rsid w:val="006679F5"/>
    <w:rsid w:val="006A019A"/>
    <w:rsid w:val="006A153B"/>
    <w:rsid w:val="006B6507"/>
    <w:rsid w:val="006C002A"/>
    <w:rsid w:val="006C1B34"/>
    <w:rsid w:val="006C5FA2"/>
    <w:rsid w:val="006C792F"/>
    <w:rsid w:val="006E00CE"/>
    <w:rsid w:val="006E6D92"/>
    <w:rsid w:val="0070773B"/>
    <w:rsid w:val="00721359"/>
    <w:rsid w:val="00723F25"/>
    <w:rsid w:val="0073702D"/>
    <w:rsid w:val="007433F1"/>
    <w:rsid w:val="00743519"/>
    <w:rsid w:val="00757404"/>
    <w:rsid w:val="00760117"/>
    <w:rsid w:val="00770B11"/>
    <w:rsid w:val="00770DFD"/>
    <w:rsid w:val="00774FDF"/>
    <w:rsid w:val="00791F11"/>
    <w:rsid w:val="00792972"/>
    <w:rsid w:val="007A56D0"/>
    <w:rsid w:val="007C0A31"/>
    <w:rsid w:val="007C0F4F"/>
    <w:rsid w:val="007E3353"/>
    <w:rsid w:val="007E3889"/>
    <w:rsid w:val="007E3BF6"/>
    <w:rsid w:val="007E46B6"/>
    <w:rsid w:val="007E54A1"/>
    <w:rsid w:val="007F2497"/>
    <w:rsid w:val="0080033F"/>
    <w:rsid w:val="00802823"/>
    <w:rsid w:val="00804762"/>
    <w:rsid w:val="00810F24"/>
    <w:rsid w:val="00822629"/>
    <w:rsid w:val="00845885"/>
    <w:rsid w:val="00860B0B"/>
    <w:rsid w:val="00881A52"/>
    <w:rsid w:val="00891DE0"/>
    <w:rsid w:val="00892E36"/>
    <w:rsid w:val="008C2225"/>
    <w:rsid w:val="008C6CE6"/>
    <w:rsid w:val="008C7FBC"/>
    <w:rsid w:val="008E05F4"/>
    <w:rsid w:val="008E4643"/>
    <w:rsid w:val="008F34BE"/>
    <w:rsid w:val="00900741"/>
    <w:rsid w:val="00907366"/>
    <w:rsid w:val="009132B1"/>
    <w:rsid w:val="0092172F"/>
    <w:rsid w:val="009279FB"/>
    <w:rsid w:val="0093169D"/>
    <w:rsid w:val="009331E1"/>
    <w:rsid w:val="00946EC5"/>
    <w:rsid w:val="009514AC"/>
    <w:rsid w:val="00954B17"/>
    <w:rsid w:val="00954B88"/>
    <w:rsid w:val="009668C1"/>
    <w:rsid w:val="00967E0D"/>
    <w:rsid w:val="009908E5"/>
    <w:rsid w:val="00990BD4"/>
    <w:rsid w:val="009911A3"/>
    <w:rsid w:val="00996A6B"/>
    <w:rsid w:val="009A06E4"/>
    <w:rsid w:val="009A555A"/>
    <w:rsid w:val="009D5BF8"/>
    <w:rsid w:val="009E1058"/>
    <w:rsid w:val="009F1442"/>
    <w:rsid w:val="009F1728"/>
    <w:rsid w:val="00A10BF1"/>
    <w:rsid w:val="00A17B30"/>
    <w:rsid w:val="00A364B9"/>
    <w:rsid w:val="00A419E5"/>
    <w:rsid w:val="00A41D64"/>
    <w:rsid w:val="00A45E6A"/>
    <w:rsid w:val="00A64053"/>
    <w:rsid w:val="00A70544"/>
    <w:rsid w:val="00A903D6"/>
    <w:rsid w:val="00A91EB3"/>
    <w:rsid w:val="00AA5F72"/>
    <w:rsid w:val="00AC1972"/>
    <w:rsid w:val="00AC5ABB"/>
    <w:rsid w:val="00AD3CD9"/>
    <w:rsid w:val="00AD55DA"/>
    <w:rsid w:val="00AE007A"/>
    <w:rsid w:val="00B007C4"/>
    <w:rsid w:val="00B12530"/>
    <w:rsid w:val="00B1281F"/>
    <w:rsid w:val="00B4783C"/>
    <w:rsid w:val="00B507A3"/>
    <w:rsid w:val="00B52A7F"/>
    <w:rsid w:val="00B5409D"/>
    <w:rsid w:val="00B704A7"/>
    <w:rsid w:val="00B71FA5"/>
    <w:rsid w:val="00B74124"/>
    <w:rsid w:val="00B8410D"/>
    <w:rsid w:val="00B85251"/>
    <w:rsid w:val="00B86453"/>
    <w:rsid w:val="00B96C7F"/>
    <w:rsid w:val="00BA49A0"/>
    <w:rsid w:val="00BB220A"/>
    <w:rsid w:val="00BB2D2D"/>
    <w:rsid w:val="00BB54C1"/>
    <w:rsid w:val="00BB5919"/>
    <w:rsid w:val="00BC019F"/>
    <w:rsid w:val="00BC712C"/>
    <w:rsid w:val="00BD68D5"/>
    <w:rsid w:val="00BE01B9"/>
    <w:rsid w:val="00BE1817"/>
    <w:rsid w:val="00BF7E29"/>
    <w:rsid w:val="00C178DE"/>
    <w:rsid w:val="00C17FC6"/>
    <w:rsid w:val="00C410A3"/>
    <w:rsid w:val="00C44300"/>
    <w:rsid w:val="00C451B6"/>
    <w:rsid w:val="00C73675"/>
    <w:rsid w:val="00C763F0"/>
    <w:rsid w:val="00C7645A"/>
    <w:rsid w:val="00C843B1"/>
    <w:rsid w:val="00C84500"/>
    <w:rsid w:val="00C8522E"/>
    <w:rsid w:val="00C91B2F"/>
    <w:rsid w:val="00C932F0"/>
    <w:rsid w:val="00C93D26"/>
    <w:rsid w:val="00C95FA8"/>
    <w:rsid w:val="00C9793C"/>
    <w:rsid w:val="00CA361E"/>
    <w:rsid w:val="00CA4E51"/>
    <w:rsid w:val="00CA698C"/>
    <w:rsid w:val="00CB15F9"/>
    <w:rsid w:val="00CB5852"/>
    <w:rsid w:val="00CD1D9C"/>
    <w:rsid w:val="00CD2B69"/>
    <w:rsid w:val="00CE6EC3"/>
    <w:rsid w:val="00CF1B69"/>
    <w:rsid w:val="00D03415"/>
    <w:rsid w:val="00D0651A"/>
    <w:rsid w:val="00D100B3"/>
    <w:rsid w:val="00D15384"/>
    <w:rsid w:val="00D2588E"/>
    <w:rsid w:val="00D318FC"/>
    <w:rsid w:val="00D4467E"/>
    <w:rsid w:val="00D5680B"/>
    <w:rsid w:val="00D6235F"/>
    <w:rsid w:val="00D65B09"/>
    <w:rsid w:val="00D67A65"/>
    <w:rsid w:val="00D8413E"/>
    <w:rsid w:val="00D84865"/>
    <w:rsid w:val="00D85C9C"/>
    <w:rsid w:val="00D8667F"/>
    <w:rsid w:val="00DA358C"/>
    <w:rsid w:val="00DA3EC6"/>
    <w:rsid w:val="00DC0E57"/>
    <w:rsid w:val="00DC4450"/>
    <w:rsid w:val="00DD71C9"/>
    <w:rsid w:val="00DF0DC3"/>
    <w:rsid w:val="00DF5764"/>
    <w:rsid w:val="00E04BFF"/>
    <w:rsid w:val="00E52E95"/>
    <w:rsid w:val="00E54F24"/>
    <w:rsid w:val="00E648F9"/>
    <w:rsid w:val="00E77DC1"/>
    <w:rsid w:val="00E801D9"/>
    <w:rsid w:val="00E85952"/>
    <w:rsid w:val="00E866DF"/>
    <w:rsid w:val="00E86C2A"/>
    <w:rsid w:val="00E91014"/>
    <w:rsid w:val="00E926E1"/>
    <w:rsid w:val="00E928BE"/>
    <w:rsid w:val="00E978A1"/>
    <w:rsid w:val="00EA0D9A"/>
    <w:rsid w:val="00EA0EA8"/>
    <w:rsid w:val="00EA1442"/>
    <w:rsid w:val="00EA7284"/>
    <w:rsid w:val="00EB3963"/>
    <w:rsid w:val="00EC6870"/>
    <w:rsid w:val="00ED4B8A"/>
    <w:rsid w:val="00ED6A6B"/>
    <w:rsid w:val="00EE47CA"/>
    <w:rsid w:val="00EE5B16"/>
    <w:rsid w:val="00EF53EF"/>
    <w:rsid w:val="00EF77C7"/>
    <w:rsid w:val="00F0294F"/>
    <w:rsid w:val="00F071D6"/>
    <w:rsid w:val="00F20445"/>
    <w:rsid w:val="00F253D0"/>
    <w:rsid w:val="00F44B67"/>
    <w:rsid w:val="00F65A9C"/>
    <w:rsid w:val="00F80C51"/>
    <w:rsid w:val="00F84660"/>
    <w:rsid w:val="00F92AAB"/>
    <w:rsid w:val="00F932C2"/>
    <w:rsid w:val="00FA12A3"/>
    <w:rsid w:val="00FB3DBE"/>
    <w:rsid w:val="00FB7F57"/>
    <w:rsid w:val="00FC15EA"/>
    <w:rsid w:val="00FC3678"/>
    <w:rsid w:val="00FC649F"/>
    <w:rsid w:val="00FD06E1"/>
    <w:rsid w:val="00FE1E60"/>
    <w:rsid w:val="00FE73D4"/>
    <w:rsid w:val="00FF0A04"/>
    <w:rsid w:val="00FF311A"/>
    <w:rsid w:val="01117DE3"/>
    <w:rsid w:val="01AC36E8"/>
    <w:rsid w:val="024801C0"/>
    <w:rsid w:val="02893AF6"/>
    <w:rsid w:val="03F82FC0"/>
    <w:rsid w:val="04264965"/>
    <w:rsid w:val="04407E5F"/>
    <w:rsid w:val="04854128"/>
    <w:rsid w:val="04CC5FF6"/>
    <w:rsid w:val="04DF4324"/>
    <w:rsid w:val="05250319"/>
    <w:rsid w:val="05410997"/>
    <w:rsid w:val="06654211"/>
    <w:rsid w:val="066E0702"/>
    <w:rsid w:val="0677237A"/>
    <w:rsid w:val="069E24BC"/>
    <w:rsid w:val="0750469B"/>
    <w:rsid w:val="07F610F4"/>
    <w:rsid w:val="08266451"/>
    <w:rsid w:val="084D46CC"/>
    <w:rsid w:val="0877308E"/>
    <w:rsid w:val="08C96CD9"/>
    <w:rsid w:val="08F01DB8"/>
    <w:rsid w:val="092E0E2E"/>
    <w:rsid w:val="09943142"/>
    <w:rsid w:val="0A54646B"/>
    <w:rsid w:val="0AD428CC"/>
    <w:rsid w:val="0B0A6871"/>
    <w:rsid w:val="0B495EAF"/>
    <w:rsid w:val="0B811703"/>
    <w:rsid w:val="0B973962"/>
    <w:rsid w:val="0C6641A9"/>
    <w:rsid w:val="0C6A07D3"/>
    <w:rsid w:val="0C6D734A"/>
    <w:rsid w:val="0C8E2259"/>
    <w:rsid w:val="0CEA20D1"/>
    <w:rsid w:val="0D20444D"/>
    <w:rsid w:val="0D672E19"/>
    <w:rsid w:val="0D6B4F4D"/>
    <w:rsid w:val="0D8307AB"/>
    <w:rsid w:val="0DDE440F"/>
    <w:rsid w:val="0DE154A7"/>
    <w:rsid w:val="0DF254DE"/>
    <w:rsid w:val="0EAC15BF"/>
    <w:rsid w:val="0EB775D4"/>
    <w:rsid w:val="0EEA0FA8"/>
    <w:rsid w:val="0EFD0B4B"/>
    <w:rsid w:val="0F3E7586"/>
    <w:rsid w:val="0F9848B7"/>
    <w:rsid w:val="0FBC2F8E"/>
    <w:rsid w:val="0FC24482"/>
    <w:rsid w:val="10D72CC4"/>
    <w:rsid w:val="110C25C7"/>
    <w:rsid w:val="115B5F20"/>
    <w:rsid w:val="1191304C"/>
    <w:rsid w:val="11F76B13"/>
    <w:rsid w:val="120D40DA"/>
    <w:rsid w:val="12293508"/>
    <w:rsid w:val="126C3FBD"/>
    <w:rsid w:val="129070AA"/>
    <w:rsid w:val="12AF5054"/>
    <w:rsid w:val="12EB45D7"/>
    <w:rsid w:val="13763F01"/>
    <w:rsid w:val="137C503F"/>
    <w:rsid w:val="137D2B9A"/>
    <w:rsid w:val="13A4281C"/>
    <w:rsid w:val="13D331F7"/>
    <w:rsid w:val="13E74EC0"/>
    <w:rsid w:val="140E4CEE"/>
    <w:rsid w:val="1435591F"/>
    <w:rsid w:val="143C356D"/>
    <w:rsid w:val="14691370"/>
    <w:rsid w:val="15062201"/>
    <w:rsid w:val="15126DA7"/>
    <w:rsid w:val="15126DB6"/>
    <w:rsid w:val="152F25BA"/>
    <w:rsid w:val="158C165B"/>
    <w:rsid w:val="15A22D8C"/>
    <w:rsid w:val="15B41B60"/>
    <w:rsid w:val="15BA130C"/>
    <w:rsid w:val="15CC281C"/>
    <w:rsid w:val="16C5249F"/>
    <w:rsid w:val="171F43D9"/>
    <w:rsid w:val="17800EAB"/>
    <w:rsid w:val="178932DE"/>
    <w:rsid w:val="17FE3F19"/>
    <w:rsid w:val="180E2F19"/>
    <w:rsid w:val="182922BA"/>
    <w:rsid w:val="18453E00"/>
    <w:rsid w:val="18517261"/>
    <w:rsid w:val="18B871D1"/>
    <w:rsid w:val="18FD0667"/>
    <w:rsid w:val="192219A3"/>
    <w:rsid w:val="19674BBB"/>
    <w:rsid w:val="1994414C"/>
    <w:rsid w:val="19BD22CF"/>
    <w:rsid w:val="19F3641D"/>
    <w:rsid w:val="1A0C3F90"/>
    <w:rsid w:val="1A297C3D"/>
    <w:rsid w:val="1A2A5CAC"/>
    <w:rsid w:val="1A364763"/>
    <w:rsid w:val="1A6F198B"/>
    <w:rsid w:val="1A957758"/>
    <w:rsid w:val="1AA84759"/>
    <w:rsid w:val="1AD95B0F"/>
    <w:rsid w:val="1ADD500A"/>
    <w:rsid w:val="1AE96D67"/>
    <w:rsid w:val="1B052D94"/>
    <w:rsid w:val="1B6B0842"/>
    <w:rsid w:val="1BB20EAE"/>
    <w:rsid w:val="1BC94291"/>
    <w:rsid w:val="1BD5405C"/>
    <w:rsid w:val="1C247633"/>
    <w:rsid w:val="1C3C3E6B"/>
    <w:rsid w:val="1C837981"/>
    <w:rsid w:val="1CA41051"/>
    <w:rsid w:val="1CB3762C"/>
    <w:rsid w:val="1CD3094E"/>
    <w:rsid w:val="1D0C61E6"/>
    <w:rsid w:val="1D561E40"/>
    <w:rsid w:val="1D814ED0"/>
    <w:rsid w:val="1DE55F0B"/>
    <w:rsid w:val="1EB4768C"/>
    <w:rsid w:val="1EED4B02"/>
    <w:rsid w:val="1F2871AF"/>
    <w:rsid w:val="1F521796"/>
    <w:rsid w:val="1F7F0002"/>
    <w:rsid w:val="202D7E53"/>
    <w:rsid w:val="20476A09"/>
    <w:rsid w:val="208010C3"/>
    <w:rsid w:val="209661C2"/>
    <w:rsid w:val="20C76630"/>
    <w:rsid w:val="216B35AD"/>
    <w:rsid w:val="218912A4"/>
    <w:rsid w:val="219F00F4"/>
    <w:rsid w:val="21A5402E"/>
    <w:rsid w:val="21A809C8"/>
    <w:rsid w:val="21EF2261"/>
    <w:rsid w:val="22D45E02"/>
    <w:rsid w:val="22D508B5"/>
    <w:rsid w:val="23572A77"/>
    <w:rsid w:val="237025B9"/>
    <w:rsid w:val="237925CB"/>
    <w:rsid w:val="23C30DB2"/>
    <w:rsid w:val="23CD74A3"/>
    <w:rsid w:val="2412732E"/>
    <w:rsid w:val="24A93B72"/>
    <w:rsid w:val="24B359EF"/>
    <w:rsid w:val="24DB5714"/>
    <w:rsid w:val="251E470A"/>
    <w:rsid w:val="25201F1F"/>
    <w:rsid w:val="255864E7"/>
    <w:rsid w:val="255E46F5"/>
    <w:rsid w:val="25A35663"/>
    <w:rsid w:val="25B05051"/>
    <w:rsid w:val="261E1CA7"/>
    <w:rsid w:val="26D4470E"/>
    <w:rsid w:val="2700346A"/>
    <w:rsid w:val="270302AF"/>
    <w:rsid w:val="271D5F07"/>
    <w:rsid w:val="27521039"/>
    <w:rsid w:val="277B343D"/>
    <w:rsid w:val="27807524"/>
    <w:rsid w:val="278A3193"/>
    <w:rsid w:val="279C53C5"/>
    <w:rsid w:val="27DB1774"/>
    <w:rsid w:val="27FF2B3E"/>
    <w:rsid w:val="28025925"/>
    <w:rsid w:val="284879C9"/>
    <w:rsid w:val="284C2189"/>
    <w:rsid w:val="289D3C60"/>
    <w:rsid w:val="293C389B"/>
    <w:rsid w:val="297D524A"/>
    <w:rsid w:val="29E42EBE"/>
    <w:rsid w:val="2AAE58D7"/>
    <w:rsid w:val="2B0D1256"/>
    <w:rsid w:val="2B286C3A"/>
    <w:rsid w:val="2B2E1A38"/>
    <w:rsid w:val="2B7E5B63"/>
    <w:rsid w:val="2BD00DC5"/>
    <w:rsid w:val="2BF1080A"/>
    <w:rsid w:val="2BF43E8E"/>
    <w:rsid w:val="2C447E50"/>
    <w:rsid w:val="2CDE70AC"/>
    <w:rsid w:val="2D2D1661"/>
    <w:rsid w:val="2D485BB7"/>
    <w:rsid w:val="2D597D7C"/>
    <w:rsid w:val="2D7A1527"/>
    <w:rsid w:val="2DEC1215"/>
    <w:rsid w:val="2E504FA6"/>
    <w:rsid w:val="2E62355E"/>
    <w:rsid w:val="2EDD1D7F"/>
    <w:rsid w:val="2F0B154A"/>
    <w:rsid w:val="2F1A0339"/>
    <w:rsid w:val="2FA93268"/>
    <w:rsid w:val="2FD007AA"/>
    <w:rsid w:val="30480A9A"/>
    <w:rsid w:val="304D4118"/>
    <w:rsid w:val="3054557A"/>
    <w:rsid w:val="305877C3"/>
    <w:rsid w:val="30AF2973"/>
    <w:rsid w:val="30E4342C"/>
    <w:rsid w:val="30F4232A"/>
    <w:rsid w:val="314F750B"/>
    <w:rsid w:val="317B4814"/>
    <w:rsid w:val="317C237A"/>
    <w:rsid w:val="317F5EDC"/>
    <w:rsid w:val="319C46DB"/>
    <w:rsid w:val="31A759C5"/>
    <w:rsid w:val="32230959"/>
    <w:rsid w:val="323E6291"/>
    <w:rsid w:val="325E1CCD"/>
    <w:rsid w:val="32730528"/>
    <w:rsid w:val="32827D75"/>
    <w:rsid w:val="32843159"/>
    <w:rsid w:val="32B24DF2"/>
    <w:rsid w:val="32BA750F"/>
    <w:rsid w:val="32FC1A1C"/>
    <w:rsid w:val="33B66212"/>
    <w:rsid w:val="33B8674B"/>
    <w:rsid w:val="341C1D96"/>
    <w:rsid w:val="34CC0255"/>
    <w:rsid w:val="34D04DC8"/>
    <w:rsid w:val="34F75FA4"/>
    <w:rsid w:val="35A41DB0"/>
    <w:rsid w:val="363C04BB"/>
    <w:rsid w:val="367D1DCA"/>
    <w:rsid w:val="371417D3"/>
    <w:rsid w:val="37B16117"/>
    <w:rsid w:val="38225CE7"/>
    <w:rsid w:val="3834062E"/>
    <w:rsid w:val="385D29B5"/>
    <w:rsid w:val="38B229A9"/>
    <w:rsid w:val="3A1A5AAB"/>
    <w:rsid w:val="3A6A7A6C"/>
    <w:rsid w:val="3A7461F5"/>
    <w:rsid w:val="3A8117DE"/>
    <w:rsid w:val="3ADF2F2E"/>
    <w:rsid w:val="3BB0289A"/>
    <w:rsid w:val="3BB9139A"/>
    <w:rsid w:val="3C2C0C78"/>
    <w:rsid w:val="3C642299"/>
    <w:rsid w:val="3C7A1ABD"/>
    <w:rsid w:val="3CAC611A"/>
    <w:rsid w:val="3CE64753"/>
    <w:rsid w:val="3CF73250"/>
    <w:rsid w:val="3D4D02A5"/>
    <w:rsid w:val="3D715C7C"/>
    <w:rsid w:val="3D8726E3"/>
    <w:rsid w:val="3DB86D41"/>
    <w:rsid w:val="3DC15BF5"/>
    <w:rsid w:val="3E1551EE"/>
    <w:rsid w:val="3E6B1629"/>
    <w:rsid w:val="3EF3616E"/>
    <w:rsid w:val="3F6C7134"/>
    <w:rsid w:val="3FAA1676"/>
    <w:rsid w:val="3FAB2DCC"/>
    <w:rsid w:val="401D4686"/>
    <w:rsid w:val="40363C2A"/>
    <w:rsid w:val="40591E1B"/>
    <w:rsid w:val="409E6672"/>
    <w:rsid w:val="40B076EC"/>
    <w:rsid w:val="40D5360A"/>
    <w:rsid w:val="40DA374C"/>
    <w:rsid w:val="41121FD1"/>
    <w:rsid w:val="41133930"/>
    <w:rsid w:val="41A03FF8"/>
    <w:rsid w:val="41BF069E"/>
    <w:rsid w:val="429106A4"/>
    <w:rsid w:val="429B3CB4"/>
    <w:rsid w:val="429C6A2D"/>
    <w:rsid w:val="42A10FE4"/>
    <w:rsid w:val="431671D2"/>
    <w:rsid w:val="43821B6C"/>
    <w:rsid w:val="43B6057D"/>
    <w:rsid w:val="43B822CD"/>
    <w:rsid w:val="43E6398E"/>
    <w:rsid w:val="4406622F"/>
    <w:rsid w:val="44185ABF"/>
    <w:rsid w:val="44661ADD"/>
    <w:rsid w:val="44A43E51"/>
    <w:rsid w:val="44DB534A"/>
    <w:rsid w:val="45024B75"/>
    <w:rsid w:val="45922415"/>
    <w:rsid w:val="45964673"/>
    <w:rsid w:val="45A1209F"/>
    <w:rsid w:val="464D7620"/>
    <w:rsid w:val="46520A53"/>
    <w:rsid w:val="465233FA"/>
    <w:rsid w:val="46687C32"/>
    <w:rsid w:val="467B6B5D"/>
    <w:rsid w:val="46EC047E"/>
    <w:rsid w:val="46F52F25"/>
    <w:rsid w:val="47932FBA"/>
    <w:rsid w:val="47BF4EF1"/>
    <w:rsid w:val="47D46525"/>
    <w:rsid w:val="483C514C"/>
    <w:rsid w:val="48446D0B"/>
    <w:rsid w:val="48565122"/>
    <w:rsid w:val="48EF02F5"/>
    <w:rsid w:val="49023E9F"/>
    <w:rsid w:val="49314471"/>
    <w:rsid w:val="4A196CF5"/>
    <w:rsid w:val="4A1B2565"/>
    <w:rsid w:val="4A37773B"/>
    <w:rsid w:val="4A6A56B3"/>
    <w:rsid w:val="4AA219F2"/>
    <w:rsid w:val="4AC3275E"/>
    <w:rsid w:val="4AE52912"/>
    <w:rsid w:val="4B2E3120"/>
    <w:rsid w:val="4B383A94"/>
    <w:rsid w:val="4B5E4FE9"/>
    <w:rsid w:val="4B904602"/>
    <w:rsid w:val="4B9A36B8"/>
    <w:rsid w:val="4BAB3A41"/>
    <w:rsid w:val="4BBA3C84"/>
    <w:rsid w:val="4C0D64AA"/>
    <w:rsid w:val="4C373527"/>
    <w:rsid w:val="4C5256D4"/>
    <w:rsid w:val="4C8649B6"/>
    <w:rsid w:val="4CC07E8A"/>
    <w:rsid w:val="4D38213E"/>
    <w:rsid w:val="4D5635FF"/>
    <w:rsid w:val="4D9653A3"/>
    <w:rsid w:val="4DE90850"/>
    <w:rsid w:val="4DEC13D0"/>
    <w:rsid w:val="4E162DAF"/>
    <w:rsid w:val="4EF81B83"/>
    <w:rsid w:val="4EF93043"/>
    <w:rsid w:val="4F43540E"/>
    <w:rsid w:val="4F6B2179"/>
    <w:rsid w:val="502913D8"/>
    <w:rsid w:val="50406E4E"/>
    <w:rsid w:val="5041646A"/>
    <w:rsid w:val="504E287C"/>
    <w:rsid w:val="50CD0723"/>
    <w:rsid w:val="510A745C"/>
    <w:rsid w:val="514A0C7E"/>
    <w:rsid w:val="515145D5"/>
    <w:rsid w:val="51640350"/>
    <w:rsid w:val="51BD3647"/>
    <w:rsid w:val="51CB15C5"/>
    <w:rsid w:val="51EB354F"/>
    <w:rsid w:val="520B4A1A"/>
    <w:rsid w:val="52584614"/>
    <w:rsid w:val="527821A3"/>
    <w:rsid w:val="52D171F7"/>
    <w:rsid w:val="52DA28B7"/>
    <w:rsid w:val="52ED1E4D"/>
    <w:rsid w:val="53403699"/>
    <w:rsid w:val="53BD1797"/>
    <w:rsid w:val="53C35369"/>
    <w:rsid w:val="546F6F43"/>
    <w:rsid w:val="54AA0D3A"/>
    <w:rsid w:val="54BA1D48"/>
    <w:rsid w:val="54C31DFB"/>
    <w:rsid w:val="54FD28C0"/>
    <w:rsid w:val="55115053"/>
    <w:rsid w:val="554E35AC"/>
    <w:rsid w:val="55612A31"/>
    <w:rsid w:val="558B2C34"/>
    <w:rsid w:val="559F359F"/>
    <w:rsid w:val="55BD684B"/>
    <w:rsid w:val="56680EAC"/>
    <w:rsid w:val="566E0943"/>
    <w:rsid w:val="56A10B89"/>
    <w:rsid w:val="56A44FEC"/>
    <w:rsid w:val="56AA5540"/>
    <w:rsid w:val="56D164D0"/>
    <w:rsid w:val="56DD4E5D"/>
    <w:rsid w:val="57524247"/>
    <w:rsid w:val="577D3D23"/>
    <w:rsid w:val="57855250"/>
    <w:rsid w:val="579E26AC"/>
    <w:rsid w:val="579E445A"/>
    <w:rsid w:val="57AE6E81"/>
    <w:rsid w:val="57C555DC"/>
    <w:rsid w:val="57E33B59"/>
    <w:rsid w:val="583316D3"/>
    <w:rsid w:val="584162D4"/>
    <w:rsid w:val="586B2D9F"/>
    <w:rsid w:val="58801DB1"/>
    <w:rsid w:val="58936368"/>
    <w:rsid w:val="58C61F1A"/>
    <w:rsid w:val="58CA7BFC"/>
    <w:rsid w:val="58E00096"/>
    <w:rsid w:val="58FB6147"/>
    <w:rsid w:val="59222595"/>
    <w:rsid w:val="59522D19"/>
    <w:rsid w:val="597F1138"/>
    <w:rsid w:val="59C67A1E"/>
    <w:rsid w:val="5A1B6236"/>
    <w:rsid w:val="5A64077E"/>
    <w:rsid w:val="5A7547E2"/>
    <w:rsid w:val="5AA92BB4"/>
    <w:rsid w:val="5AD36A5C"/>
    <w:rsid w:val="5B2636CB"/>
    <w:rsid w:val="5B2D4472"/>
    <w:rsid w:val="5B387769"/>
    <w:rsid w:val="5B857E0A"/>
    <w:rsid w:val="5BCC5A39"/>
    <w:rsid w:val="5BEF2B5A"/>
    <w:rsid w:val="5C7802BE"/>
    <w:rsid w:val="5D527BAB"/>
    <w:rsid w:val="5D5D14B9"/>
    <w:rsid w:val="5DE172C7"/>
    <w:rsid w:val="5DED1C97"/>
    <w:rsid w:val="5DF12ACB"/>
    <w:rsid w:val="5DF12F12"/>
    <w:rsid w:val="5DF37A84"/>
    <w:rsid w:val="5EFB06C5"/>
    <w:rsid w:val="5F2F2EB8"/>
    <w:rsid w:val="5F366578"/>
    <w:rsid w:val="5F6E4036"/>
    <w:rsid w:val="605C4A84"/>
    <w:rsid w:val="60694549"/>
    <w:rsid w:val="60743E19"/>
    <w:rsid w:val="60FB3C67"/>
    <w:rsid w:val="61270328"/>
    <w:rsid w:val="612F7EE2"/>
    <w:rsid w:val="61651C7F"/>
    <w:rsid w:val="617D127C"/>
    <w:rsid w:val="619E2536"/>
    <w:rsid w:val="61F72097"/>
    <w:rsid w:val="621F43E9"/>
    <w:rsid w:val="62A22465"/>
    <w:rsid w:val="62C23B42"/>
    <w:rsid w:val="62C30084"/>
    <w:rsid w:val="62C32A32"/>
    <w:rsid w:val="62C750AB"/>
    <w:rsid w:val="62FA2AA0"/>
    <w:rsid w:val="632E502B"/>
    <w:rsid w:val="633B1B9E"/>
    <w:rsid w:val="633D11B0"/>
    <w:rsid w:val="6370202A"/>
    <w:rsid w:val="63A55CDC"/>
    <w:rsid w:val="641A4169"/>
    <w:rsid w:val="644338F5"/>
    <w:rsid w:val="64E5296E"/>
    <w:rsid w:val="65044B7F"/>
    <w:rsid w:val="657F1D6E"/>
    <w:rsid w:val="65A47629"/>
    <w:rsid w:val="65FD7BCE"/>
    <w:rsid w:val="669533BA"/>
    <w:rsid w:val="669A3902"/>
    <w:rsid w:val="66E05D45"/>
    <w:rsid w:val="672042A6"/>
    <w:rsid w:val="672B39B1"/>
    <w:rsid w:val="674828D4"/>
    <w:rsid w:val="676979D1"/>
    <w:rsid w:val="681454A9"/>
    <w:rsid w:val="68396C16"/>
    <w:rsid w:val="68A509C6"/>
    <w:rsid w:val="69632EB3"/>
    <w:rsid w:val="69691C2F"/>
    <w:rsid w:val="69C83C0C"/>
    <w:rsid w:val="6A2F30CF"/>
    <w:rsid w:val="6AE55DD4"/>
    <w:rsid w:val="6B2133DC"/>
    <w:rsid w:val="6B382C6B"/>
    <w:rsid w:val="6B5E41D4"/>
    <w:rsid w:val="6B9368A0"/>
    <w:rsid w:val="6BA011FB"/>
    <w:rsid w:val="6BBD7F06"/>
    <w:rsid w:val="6BE648F5"/>
    <w:rsid w:val="6C65136B"/>
    <w:rsid w:val="6C920CDA"/>
    <w:rsid w:val="6CAE4CE7"/>
    <w:rsid w:val="6D2F0776"/>
    <w:rsid w:val="6D3279D3"/>
    <w:rsid w:val="6D55322E"/>
    <w:rsid w:val="6D7A00E2"/>
    <w:rsid w:val="6D7E5C43"/>
    <w:rsid w:val="6E9B619D"/>
    <w:rsid w:val="6F1D5B34"/>
    <w:rsid w:val="6F8B6A13"/>
    <w:rsid w:val="6FD76B5E"/>
    <w:rsid w:val="700E2556"/>
    <w:rsid w:val="706C1C36"/>
    <w:rsid w:val="707324D0"/>
    <w:rsid w:val="707A4E33"/>
    <w:rsid w:val="70B5027A"/>
    <w:rsid w:val="70B5418A"/>
    <w:rsid w:val="70BB618F"/>
    <w:rsid w:val="70D9539B"/>
    <w:rsid w:val="70F35587"/>
    <w:rsid w:val="70FB773A"/>
    <w:rsid w:val="716360A0"/>
    <w:rsid w:val="719D4550"/>
    <w:rsid w:val="71AA216A"/>
    <w:rsid w:val="72443591"/>
    <w:rsid w:val="72695938"/>
    <w:rsid w:val="72D54BBD"/>
    <w:rsid w:val="72FE4417"/>
    <w:rsid w:val="730676D9"/>
    <w:rsid w:val="73214465"/>
    <w:rsid w:val="7379604F"/>
    <w:rsid w:val="73833A78"/>
    <w:rsid w:val="73AD7F7B"/>
    <w:rsid w:val="74300B82"/>
    <w:rsid w:val="74503106"/>
    <w:rsid w:val="745B1903"/>
    <w:rsid w:val="7488746D"/>
    <w:rsid w:val="74946FEC"/>
    <w:rsid w:val="74C432FA"/>
    <w:rsid w:val="74CC0400"/>
    <w:rsid w:val="74D66044"/>
    <w:rsid w:val="761F32BC"/>
    <w:rsid w:val="765225B8"/>
    <w:rsid w:val="76EB29A8"/>
    <w:rsid w:val="773E6472"/>
    <w:rsid w:val="779F7204"/>
    <w:rsid w:val="77A20ABF"/>
    <w:rsid w:val="77E16A51"/>
    <w:rsid w:val="787E1A12"/>
    <w:rsid w:val="78922A2D"/>
    <w:rsid w:val="78A70F68"/>
    <w:rsid w:val="78B0681C"/>
    <w:rsid w:val="78B91B7C"/>
    <w:rsid w:val="78C0202A"/>
    <w:rsid w:val="78CB4300"/>
    <w:rsid w:val="79256331"/>
    <w:rsid w:val="793F776F"/>
    <w:rsid w:val="79524118"/>
    <w:rsid w:val="79764D6B"/>
    <w:rsid w:val="79B55E6A"/>
    <w:rsid w:val="79C00688"/>
    <w:rsid w:val="79E76F7B"/>
    <w:rsid w:val="7A094040"/>
    <w:rsid w:val="7A4A5867"/>
    <w:rsid w:val="7A5544F3"/>
    <w:rsid w:val="7B0606B8"/>
    <w:rsid w:val="7B483349"/>
    <w:rsid w:val="7B4D6F1E"/>
    <w:rsid w:val="7B5F1FCE"/>
    <w:rsid w:val="7C0D6250"/>
    <w:rsid w:val="7C4B2899"/>
    <w:rsid w:val="7C5E3BED"/>
    <w:rsid w:val="7C686998"/>
    <w:rsid w:val="7D7B133D"/>
    <w:rsid w:val="7DA62506"/>
    <w:rsid w:val="7DC10D1E"/>
    <w:rsid w:val="7DCF349F"/>
    <w:rsid w:val="7E3B2B61"/>
    <w:rsid w:val="7E606187"/>
    <w:rsid w:val="7E663686"/>
    <w:rsid w:val="7EC51539"/>
    <w:rsid w:val="7F1A5BFE"/>
    <w:rsid w:val="7F464805"/>
    <w:rsid w:val="7F710607"/>
    <w:rsid w:val="7F875650"/>
    <w:rsid w:val="7FB66C38"/>
    <w:rsid w:val="7FE60320"/>
    <w:rsid w:val="7FF3035C"/>
    <w:rsid w:val="7FF67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spacing w:line="360" w:lineRule="auto"/>
      <w:ind w:firstLine="883" w:firstLineChars="200"/>
    </w:pPr>
    <w:rPr>
      <w:rFonts w:ascii="仿宋" w:hAnsi="仿宋" w:eastAsia="仿宋" w:cs="仿宋"/>
      <w:kern w:val="2"/>
      <w:sz w:val="28"/>
      <w:szCs w:val="28"/>
      <w:lang w:val="en-US" w:eastAsia="zh-CN" w:bidi="ar-SA"/>
    </w:rPr>
  </w:style>
  <w:style w:type="paragraph" w:styleId="3">
    <w:name w:val="heading 1"/>
    <w:basedOn w:val="1"/>
    <w:next w:val="1"/>
    <w:link w:val="22"/>
    <w:autoRedefine/>
    <w:qFormat/>
    <w:uiPriority w:val="0"/>
    <w:pPr>
      <w:keepNext/>
      <w:keepLines/>
      <w:ind w:firstLine="0" w:firstLineChars="0"/>
      <w:jc w:val="center"/>
      <w:outlineLvl w:val="0"/>
    </w:pPr>
    <w:rPr>
      <w:rFonts w:ascii="Calibri" w:hAnsi="Calibri" w:cs="Times New Roman"/>
      <w:b/>
      <w:bCs/>
      <w:kern w:val="44"/>
      <w:sz w:val="36"/>
      <w:szCs w:val="36"/>
    </w:rPr>
  </w:style>
  <w:style w:type="paragraph" w:styleId="4">
    <w:name w:val="heading 2"/>
    <w:basedOn w:val="1"/>
    <w:next w:val="1"/>
    <w:link w:val="23"/>
    <w:autoRedefine/>
    <w:qFormat/>
    <w:uiPriority w:val="0"/>
    <w:pPr>
      <w:keepNext/>
      <w:keepLines/>
      <w:ind w:firstLine="0" w:firstLineChars="0"/>
      <w:jc w:val="center"/>
      <w:outlineLvl w:val="1"/>
    </w:pPr>
    <w:rPr>
      <w:rFonts w:cs="Times New Roman"/>
      <w:b/>
      <w:bCs/>
      <w:kern w:val="0"/>
      <w:sz w:val="32"/>
      <w:szCs w:val="32"/>
    </w:rPr>
  </w:style>
  <w:style w:type="paragraph" w:styleId="5">
    <w:name w:val="heading 3"/>
    <w:basedOn w:val="1"/>
    <w:next w:val="1"/>
    <w:autoRedefine/>
    <w:qFormat/>
    <w:uiPriority w:val="9"/>
    <w:pPr>
      <w:keepNext/>
      <w:keepLines/>
      <w:outlineLvl w:val="2"/>
    </w:pPr>
    <w:rPr>
      <w:b/>
      <w:bCs/>
    </w:rPr>
  </w:style>
  <w:style w:type="paragraph" w:styleId="6">
    <w:name w:val="heading 4"/>
    <w:basedOn w:val="1"/>
    <w:next w:val="1"/>
    <w:link w:val="25"/>
    <w:autoRedefine/>
    <w:qFormat/>
    <w:uiPriority w:val="9"/>
    <w:pPr>
      <w:keepNext/>
      <w:keepLines/>
      <w:ind w:firstLine="0" w:firstLineChars="0"/>
      <w:jc w:val="center"/>
      <w:outlineLvl w:val="3"/>
    </w:pPr>
    <w:rPr>
      <w:b/>
    </w:rPr>
  </w:style>
  <w:style w:type="paragraph" w:styleId="7">
    <w:name w:val="heading 5"/>
    <w:basedOn w:val="1"/>
    <w:next w:val="1"/>
    <w:autoRedefine/>
    <w:unhideWhenUsed/>
    <w:qFormat/>
    <w:uiPriority w:val="9"/>
    <w:pPr>
      <w:keepNext/>
      <w:keepLines/>
      <w:spacing w:line="372" w:lineRule="auto"/>
      <w:outlineLvl w:val="4"/>
    </w:pPr>
    <w:rPr>
      <w:b/>
    </w:rPr>
  </w:style>
  <w:style w:type="paragraph" w:styleId="8">
    <w:name w:val="heading 6"/>
    <w:basedOn w:val="1"/>
    <w:next w:val="1"/>
    <w:autoRedefine/>
    <w:unhideWhenUsed/>
    <w:qFormat/>
    <w:uiPriority w:val="9"/>
    <w:pPr>
      <w:keepNext/>
      <w:keepLines/>
      <w:spacing w:line="317" w:lineRule="auto"/>
      <w:outlineLvl w:val="5"/>
    </w:pPr>
    <w:rPr>
      <w:rFonts w:ascii="Arial" w:hAnsi="Arial" w:eastAsia="黑体"/>
      <w:b/>
      <w:sz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jc w:val="center"/>
    </w:pPr>
    <w:rPr>
      <w:rFonts w:ascii="宋体" w:hAnsi="Times New Roman" w:eastAsia="宋体" w:cs="宋体"/>
      <w:color w:val="000000"/>
      <w:sz w:val="24"/>
      <w:szCs w:val="24"/>
      <w:lang w:val="en-US" w:eastAsia="zh-CN" w:bidi="ar-SA"/>
    </w:rPr>
  </w:style>
  <w:style w:type="paragraph" w:styleId="9">
    <w:name w:val="annotation text"/>
    <w:basedOn w:val="1"/>
    <w:autoRedefine/>
    <w:semiHidden/>
    <w:unhideWhenUsed/>
    <w:qFormat/>
    <w:uiPriority w:val="99"/>
  </w:style>
  <w:style w:type="paragraph" w:styleId="10">
    <w:name w:val="Body Text"/>
    <w:basedOn w:val="1"/>
    <w:next w:val="1"/>
    <w:autoRedefine/>
    <w:qFormat/>
    <w:uiPriority w:val="1"/>
    <w:pPr>
      <w:spacing w:before="154"/>
      <w:ind w:left="102"/>
    </w:pPr>
    <w:rPr>
      <w:rFonts w:ascii="宋体" w:hAnsi="宋体"/>
      <w:sz w:val="24"/>
      <w:szCs w:val="24"/>
    </w:rPr>
  </w:style>
  <w:style w:type="paragraph" w:styleId="11">
    <w:name w:val="toc 3"/>
    <w:basedOn w:val="1"/>
    <w:next w:val="1"/>
    <w:autoRedefine/>
    <w:unhideWhenUsed/>
    <w:qFormat/>
    <w:uiPriority w:val="39"/>
    <w:pPr>
      <w:ind w:left="840" w:leftChars="400"/>
    </w:pPr>
  </w:style>
  <w:style w:type="paragraph" w:styleId="12">
    <w:name w:val="Balloon Text"/>
    <w:basedOn w:val="1"/>
    <w:link w:val="26"/>
    <w:autoRedefine/>
    <w:unhideWhenUsed/>
    <w:qFormat/>
    <w:uiPriority w:val="99"/>
    <w:rPr>
      <w:sz w:val="18"/>
      <w:szCs w:val="18"/>
    </w:rPr>
  </w:style>
  <w:style w:type="paragraph" w:styleId="13">
    <w:name w:val="footer"/>
    <w:basedOn w:val="1"/>
    <w:link w:val="27"/>
    <w:autoRedefine/>
    <w:unhideWhenUsed/>
    <w:qFormat/>
    <w:uiPriority w:val="99"/>
    <w:pPr>
      <w:tabs>
        <w:tab w:val="center" w:pos="4153"/>
        <w:tab w:val="right" w:pos="8306"/>
      </w:tabs>
      <w:snapToGrid w:val="0"/>
    </w:pPr>
    <w:rPr>
      <w:sz w:val="18"/>
      <w:szCs w:val="18"/>
    </w:rPr>
  </w:style>
  <w:style w:type="paragraph" w:styleId="14">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ind w:left="420" w:leftChars="200"/>
    </w:pPr>
  </w:style>
  <w:style w:type="paragraph" w:styleId="17">
    <w:name w:val="Normal (Web)"/>
    <w:basedOn w:val="1"/>
    <w:autoRedefine/>
    <w:qFormat/>
    <w:uiPriority w:val="0"/>
    <w:rPr>
      <w:sz w:val="24"/>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customStyle="1" w:styleId="22">
    <w:name w:val="标题 1 Char"/>
    <w:link w:val="3"/>
    <w:autoRedefine/>
    <w:qFormat/>
    <w:uiPriority w:val="0"/>
    <w:rPr>
      <w:rFonts w:ascii="Calibri" w:hAnsi="Calibri" w:eastAsia="仿宋"/>
      <w:b/>
      <w:bCs/>
      <w:kern w:val="44"/>
      <w:sz w:val="36"/>
      <w:szCs w:val="36"/>
    </w:rPr>
  </w:style>
  <w:style w:type="character" w:customStyle="1" w:styleId="23">
    <w:name w:val="标题 2 Char"/>
    <w:link w:val="4"/>
    <w:autoRedefine/>
    <w:qFormat/>
    <w:uiPriority w:val="0"/>
    <w:rPr>
      <w:rFonts w:ascii="仿宋" w:hAnsi="仿宋" w:eastAsia="仿宋"/>
      <w:b/>
      <w:bCs/>
      <w:sz w:val="32"/>
      <w:szCs w:val="32"/>
    </w:rPr>
  </w:style>
  <w:style w:type="paragraph" w:customStyle="1" w:styleId="24">
    <w:name w:val="表格"/>
    <w:basedOn w:val="1"/>
    <w:next w:val="1"/>
    <w:autoRedefine/>
    <w:qFormat/>
    <w:uiPriority w:val="0"/>
    <w:pPr>
      <w:spacing w:line="240" w:lineRule="auto"/>
      <w:ind w:firstLine="0" w:firstLineChars="0"/>
      <w:jc w:val="center"/>
    </w:pPr>
    <w:rPr>
      <w:rFonts w:hint="eastAsia"/>
      <w:kern w:val="0"/>
      <w:sz w:val="24"/>
      <w:szCs w:val="24"/>
    </w:rPr>
  </w:style>
  <w:style w:type="character" w:customStyle="1" w:styleId="25">
    <w:name w:val="标题 4 Char"/>
    <w:basedOn w:val="20"/>
    <w:link w:val="6"/>
    <w:autoRedefine/>
    <w:semiHidden/>
    <w:qFormat/>
    <w:uiPriority w:val="9"/>
    <w:rPr>
      <w:rFonts w:ascii="仿宋" w:hAnsi="仿宋" w:eastAsia="仿宋" w:cs="仿宋"/>
      <w:b/>
      <w:kern w:val="2"/>
      <w:sz w:val="28"/>
      <w:szCs w:val="28"/>
    </w:rPr>
  </w:style>
  <w:style w:type="character" w:customStyle="1" w:styleId="26">
    <w:name w:val="批注框文本 Char"/>
    <w:basedOn w:val="20"/>
    <w:link w:val="12"/>
    <w:autoRedefine/>
    <w:semiHidden/>
    <w:qFormat/>
    <w:uiPriority w:val="99"/>
    <w:rPr>
      <w:rFonts w:ascii="Calibri" w:hAnsi="Calibri" w:eastAsia="宋体" w:cs="Times New Roman"/>
      <w:kern w:val="2"/>
      <w:sz w:val="18"/>
      <w:szCs w:val="18"/>
    </w:rPr>
  </w:style>
  <w:style w:type="character" w:customStyle="1" w:styleId="27">
    <w:name w:val="页脚 Char"/>
    <w:basedOn w:val="20"/>
    <w:link w:val="13"/>
    <w:autoRedefine/>
    <w:qFormat/>
    <w:uiPriority w:val="99"/>
    <w:rPr>
      <w:rFonts w:ascii="Calibri" w:hAnsi="Calibri" w:eastAsia="宋体" w:cs="Times New Roman"/>
      <w:sz w:val="18"/>
      <w:szCs w:val="18"/>
    </w:rPr>
  </w:style>
  <w:style w:type="character" w:customStyle="1" w:styleId="28">
    <w:name w:val="页眉 Char"/>
    <w:basedOn w:val="20"/>
    <w:link w:val="14"/>
    <w:autoRedefine/>
    <w:qFormat/>
    <w:uiPriority w:val="99"/>
    <w:rPr>
      <w:rFonts w:ascii="Calibri" w:hAnsi="Calibri" w:eastAsia="宋体" w:cs="Times New Roman"/>
      <w:sz w:val="18"/>
      <w:szCs w:val="18"/>
    </w:rPr>
  </w:style>
  <w:style w:type="character" w:customStyle="1" w:styleId="29">
    <w:name w:val="font21"/>
    <w:basedOn w:val="20"/>
    <w:autoRedefine/>
    <w:qFormat/>
    <w:uiPriority w:val="0"/>
    <w:rPr>
      <w:rFonts w:hint="eastAsia" w:ascii="仿宋" w:hAnsi="仿宋" w:eastAsia="仿宋" w:cs="仿宋"/>
      <w:color w:val="0206AE"/>
      <w:sz w:val="11"/>
      <w:szCs w:val="11"/>
      <w:u w:val="none"/>
    </w:rPr>
  </w:style>
  <w:style w:type="character" w:customStyle="1" w:styleId="30">
    <w:name w:val="font31"/>
    <w:basedOn w:val="20"/>
    <w:autoRedefine/>
    <w:qFormat/>
    <w:uiPriority w:val="0"/>
    <w:rPr>
      <w:rFonts w:ascii="Arial" w:hAnsi="Arial" w:cs="Arial"/>
      <w:b/>
      <w:color w:val="0206AE"/>
      <w:sz w:val="21"/>
      <w:szCs w:val="21"/>
      <w:u w:val="none"/>
    </w:rPr>
  </w:style>
  <w:style w:type="character" w:customStyle="1" w:styleId="31">
    <w:name w:val="font41"/>
    <w:basedOn w:val="20"/>
    <w:autoRedefine/>
    <w:qFormat/>
    <w:uiPriority w:val="0"/>
    <w:rPr>
      <w:rFonts w:hint="eastAsia" w:ascii="仿宋" w:hAnsi="仿宋" w:eastAsia="仿宋" w:cs="仿宋"/>
      <w:color w:val="0206AE"/>
      <w:sz w:val="21"/>
      <w:szCs w:val="21"/>
      <w:u w:val="none"/>
    </w:rPr>
  </w:style>
  <w:style w:type="character" w:customStyle="1" w:styleId="32">
    <w:name w:val="font11"/>
    <w:basedOn w:val="20"/>
    <w:autoRedefine/>
    <w:qFormat/>
    <w:uiPriority w:val="0"/>
    <w:rPr>
      <w:rFonts w:hint="default" w:ascii="Arial" w:hAnsi="Arial" w:cs="Arial"/>
      <w:color w:val="0206AE"/>
      <w:sz w:val="21"/>
      <w:szCs w:val="21"/>
      <w:u w:val="none"/>
    </w:rPr>
  </w:style>
  <w:style w:type="character" w:customStyle="1" w:styleId="33">
    <w:name w:val="font51"/>
    <w:basedOn w:val="20"/>
    <w:autoRedefine/>
    <w:qFormat/>
    <w:uiPriority w:val="0"/>
    <w:rPr>
      <w:rFonts w:hint="eastAsia" w:ascii="仿宋" w:hAnsi="仿宋" w:eastAsia="仿宋" w:cs="仿宋"/>
      <w:b/>
      <w:color w:val="0206AE"/>
      <w:sz w:val="21"/>
      <w:szCs w:val="21"/>
      <w:u w:val="none"/>
    </w:rPr>
  </w:style>
  <w:style w:type="paragraph" w:customStyle="1" w:styleId="34">
    <w:name w:val="_正文格式"/>
    <w:basedOn w:val="1"/>
    <w:autoRedefine/>
    <w:qFormat/>
    <w:uiPriority w:val="0"/>
    <w:pPr>
      <w:spacing w:line="560" w:lineRule="exact"/>
      <w:ind w:firstLine="200"/>
    </w:pPr>
    <w:rPr>
      <w:rFonts w:eastAsia="仿宋_GB2312"/>
    </w:rPr>
  </w:style>
  <w:style w:type="paragraph" w:customStyle="1" w:styleId="35">
    <w:name w:val="WPSOffice手动目录 3"/>
    <w:autoRedefine/>
    <w:qFormat/>
    <w:uiPriority w:val="0"/>
    <w:pPr>
      <w:ind w:left="400" w:leftChars="400"/>
    </w:pPr>
    <w:rPr>
      <w:rFonts w:ascii="Times New Roman" w:hAnsi="Times New Roman" w:eastAsia="Calibri" w:cs="Times New Roman"/>
      <w:lang w:val="en-US" w:eastAsia="zh-CN" w:bidi="ar-SA"/>
    </w:rPr>
  </w:style>
  <w:style w:type="paragraph" w:customStyle="1" w:styleId="36">
    <w:name w:val="WPSOffice手动目录 1"/>
    <w:autoRedefine/>
    <w:qFormat/>
    <w:uiPriority w:val="0"/>
    <w:rPr>
      <w:rFonts w:ascii="Times New Roman" w:hAnsi="Times New Roman" w:eastAsia="Calibri" w:cs="Times New Roman"/>
      <w:lang w:val="en-US" w:eastAsia="zh-CN" w:bidi="ar-SA"/>
    </w:rPr>
  </w:style>
  <w:style w:type="paragraph" w:customStyle="1" w:styleId="37">
    <w:name w:val="Table Paragraph"/>
    <w:basedOn w:val="1"/>
    <w:autoRedefine/>
    <w:qFormat/>
    <w:uiPriority w:val="1"/>
  </w:style>
  <w:style w:type="paragraph" w:customStyle="1" w:styleId="38">
    <w:name w:val="WPSOffice手动目录 2"/>
    <w:autoRedefine/>
    <w:qFormat/>
    <w:uiPriority w:val="0"/>
    <w:pPr>
      <w:ind w:left="200" w:leftChars="200"/>
    </w:pPr>
    <w:rPr>
      <w:rFonts w:ascii="Times New Roman" w:hAnsi="Times New Roman" w:eastAsia="Calibri" w:cs="Times New Roman"/>
      <w:lang w:val="en-US" w:eastAsia="zh-CN" w:bidi="ar-SA"/>
    </w:rPr>
  </w:style>
  <w:style w:type="table" w:customStyle="1" w:styleId="39">
    <w:name w:val="Table Normal1"/>
    <w:autoRedefine/>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40">
    <w:name w:val="Table Normal"/>
    <w:autoRedefine/>
    <w:unhideWhenUsed/>
    <w:qFormat/>
    <w:uiPriority w:val="2"/>
    <w:tblPr>
      <w:tblCellMar>
        <w:top w:w="0" w:type="dxa"/>
        <w:left w:w="0" w:type="dxa"/>
        <w:bottom w:w="0" w:type="dxa"/>
        <w:right w:w="0" w:type="dxa"/>
      </w:tblCellMar>
    </w:tblPr>
  </w:style>
  <w:style w:type="character" w:customStyle="1" w:styleId="41">
    <w:name w:val="font01"/>
    <w:basedOn w:val="20"/>
    <w:autoRedefine/>
    <w:qFormat/>
    <w:uiPriority w:val="0"/>
    <w:rPr>
      <w:rFonts w:hint="eastAsia" w:ascii="仿宋" w:hAnsi="仿宋" w:eastAsia="仿宋" w:cs="仿宋"/>
      <w:b/>
      <w:bCs/>
      <w:color w:val="000000"/>
      <w:sz w:val="21"/>
      <w:szCs w:val="21"/>
      <w:u w:val="none"/>
      <w:vertAlign w:val="superscript"/>
    </w:rPr>
  </w:style>
  <w:style w:type="character" w:customStyle="1" w:styleId="42">
    <w:name w:val="font291"/>
    <w:basedOn w:val="20"/>
    <w:autoRedefine/>
    <w:qFormat/>
    <w:uiPriority w:val="0"/>
    <w:rPr>
      <w:rFonts w:ascii="黑体" w:hAnsi="宋体" w:eastAsia="黑体" w:cs="黑体"/>
      <w:b/>
      <w:bCs/>
      <w:color w:val="FF00FF"/>
      <w:sz w:val="24"/>
      <w:szCs w:val="24"/>
      <w:u w:val="none"/>
    </w:rPr>
  </w:style>
  <w:style w:type="character" w:customStyle="1" w:styleId="43">
    <w:name w:val="font301"/>
    <w:basedOn w:val="20"/>
    <w:autoRedefine/>
    <w:qFormat/>
    <w:uiPriority w:val="0"/>
    <w:rPr>
      <w:rFonts w:hint="eastAsia" w:ascii="宋体" w:hAnsi="宋体" w:eastAsia="宋体" w:cs="宋体"/>
      <w:color w:val="000000"/>
      <w:sz w:val="21"/>
      <w:szCs w:val="21"/>
      <w:u w:val="none"/>
    </w:rPr>
  </w:style>
  <w:style w:type="character" w:customStyle="1" w:styleId="44">
    <w:name w:val="font91"/>
    <w:basedOn w:val="20"/>
    <w:autoRedefine/>
    <w:qFormat/>
    <w:uiPriority w:val="0"/>
    <w:rPr>
      <w:rFonts w:hint="eastAsia" w:ascii="宋体" w:hAnsi="宋体" w:eastAsia="宋体" w:cs="宋体"/>
      <w:color w:val="000000"/>
      <w:sz w:val="20"/>
      <w:szCs w:val="20"/>
      <w:u w:val="none"/>
    </w:rPr>
  </w:style>
  <w:style w:type="character" w:customStyle="1" w:styleId="45">
    <w:name w:val="font251"/>
    <w:basedOn w:val="20"/>
    <w:autoRedefine/>
    <w:qFormat/>
    <w:uiPriority w:val="0"/>
    <w:rPr>
      <w:rFonts w:hint="eastAsia" w:ascii="宋体" w:hAnsi="宋体" w:eastAsia="宋体" w:cs="宋体"/>
      <w:color w:val="000000"/>
      <w:sz w:val="22"/>
      <w:szCs w:val="22"/>
      <w:u w:val="none"/>
    </w:rPr>
  </w:style>
  <w:style w:type="character" w:customStyle="1" w:styleId="46">
    <w:name w:val="font311"/>
    <w:basedOn w:val="20"/>
    <w:autoRedefine/>
    <w:qFormat/>
    <w:uiPriority w:val="0"/>
    <w:rPr>
      <w:rFonts w:hint="eastAsia" w:ascii="宋体" w:hAnsi="宋体" w:eastAsia="宋体" w:cs="宋体"/>
      <w:b/>
      <w:bCs/>
      <w:color w:val="333399"/>
      <w:sz w:val="22"/>
      <w:szCs w:val="22"/>
      <w:u w:val="none"/>
    </w:rPr>
  </w:style>
  <w:style w:type="character" w:customStyle="1" w:styleId="47">
    <w:name w:val="font181"/>
    <w:basedOn w:val="20"/>
    <w:autoRedefine/>
    <w:qFormat/>
    <w:uiPriority w:val="0"/>
    <w:rPr>
      <w:rFonts w:hint="default" w:ascii="Times New Roman" w:hAnsi="Times New Roman" w:cs="Times New Roman"/>
      <w:color w:val="000000"/>
      <w:sz w:val="22"/>
      <w:szCs w:val="22"/>
      <w:u w:val="none"/>
      <w:vertAlign w:val="superscript"/>
    </w:rPr>
  </w:style>
  <w:style w:type="character" w:customStyle="1" w:styleId="48">
    <w:name w:val="font151"/>
    <w:basedOn w:val="20"/>
    <w:autoRedefine/>
    <w:qFormat/>
    <w:uiPriority w:val="0"/>
    <w:rPr>
      <w:rFonts w:hint="default" w:ascii="Times New Roman" w:hAnsi="Times New Roman" w:cs="Times New Roman"/>
      <w:color w:val="000000"/>
      <w:sz w:val="22"/>
      <w:szCs w:val="22"/>
      <w:u w:val="none"/>
    </w:rPr>
  </w:style>
  <w:style w:type="character" w:customStyle="1" w:styleId="49">
    <w:name w:val="font101"/>
    <w:basedOn w:val="20"/>
    <w:autoRedefine/>
    <w:qFormat/>
    <w:uiPriority w:val="0"/>
    <w:rPr>
      <w:rFonts w:hint="eastAsia" w:ascii="宋体" w:hAnsi="宋体" w:eastAsia="宋体" w:cs="宋体"/>
      <w:color w:val="000000"/>
      <w:sz w:val="22"/>
      <w:szCs w:val="22"/>
      <w:u w:val="none"/>
    </w:rPr>
  </w:style>
  <w:style w:type="character" w:customStyle="1" w:styleId="50">
    <w:name w:val="font141"/>
    <w:basedOn w:val="20"/>
    <w:autoRedefine/>
    <w:qFormat/>
    <w:uiPriority w:val="0"/>
    <w:rPr>
      <w:rFonts w:hint="eastAsia" w:ascii="宋体" w:hAnsi="宋体" w:eastAsia="宋体" w:cs="宋体"/>
      <w:color w:val="000000"/>
      <w:sz w:val="22"/>
      <w:szCs w:val="22"/>
      <w:u w:val="none"/>
    </w:rPr>
  </w:style>
  <w:style w:type="character" w:customStyle="1" w:styleId="51">
    <w:name w:val="font81"/>
    <w:basedOn w:val="20"/>
    <w:autoRedefine/>
    <w:qFormat/>
    <w:uiPriority w:val="0"/>
    <w:rPr>
      <w:rFonts w:hint="default" w:ascii="Times New Roman" w:hAnsi="Times New Roman" w:cs="Times New Roman"/>
      <w:color w:val="000000"/>
      <w:sz w:val="22"/>
      <w:szCs w:val="22"/>
      <w:u w:val="none"/>
      <w:vertAlign w:val="superscript"/>
    </w:rPr>
  </w:style>
  <w:style w:type="character" w:customStyle="1" w:styleId="52">
    <w:name w:val="font61"/>
    <w:basedOn w:val="20"/>
    <w:autoRedefine/>
    <w:qFormat/>
    <w:uiPriority w:val="0"/>
    <w:rPr>
      <w:rFonts w:hint="default" w:ascii="Times New Roman" w:hAnsi="Times New Roman" w:cs="Times New Roman"/>
      <w:b/>
      <w:bCs/>
      <w:color w:val="000000"/>
      <w:sz w:val="21"/>
      <w:szCs w:val="21"/>
      <w:u w:val="none"/>
    </w:rPr>
  </w:style>
  <w:style w:type="character" w:customStyle="1" w:styleId="53">
    <w:name w:val="font71"/>
    <w:basedOn w:val="20"/>
    <w:autoRedefine/>
    <w:qFormat/>
    <w:uiPriority w:val="0"/>
    <w:rPr>
      <w:rFonts w:hint="eastAsia" w:ascii="宋体" w:hAnsi="宋体" w:eastAsia="宋体" w:cs="宋体"/>
      <w:b/>
      <w:bCs/>
      <w:color w:val="000000"/>
      <w:sz w:val="21"/>
      <w:szCs w:val="21"/>
      <w:u w:val="none"/>
    </w:rPr>
  </w:style>
  <w:style w:type="paragraph" w:customStyle="1" w:styleId="54">
    <w:name w:val="！正文ａｌｔ＋5"/>
    <w:basedOn w:val="1"/>
    <w:autoRedefine/>
    <w:qFormat/>
    <w:uiPriority w:val="0"/>
    <w:pPr>
      <w:adjustRightInd w:val="0"/>
      <w:spacing w:line="560" w:lineRule="exact"/>
      <w:ind w:firstLine="560" w:firstLineChars="200"/>
      <w:jc w:val="left"/>
    </w:pPr>
    <w:rPr>
      <w:rFonts w:ascii="仿宋_GB2312" w:eastAsia="仿宋_GB2312"/>
      <w:sz w:val="28"/>
      <w:szCs w:val="28"/>
    </w:rPr>
  </w:style>
  <w:style w:type="paragraph" w:customStyle="1" w:styleId="55">
    <w:name w:val="ParaAttribute6"/>
    <w:autoRedefine/>
    <w:qFormat/>
    <w:uiPriority w:val="0"/>
    <w:pPr>
      <w:widowControl w:val="0"/>
      <w:wordWrap w:val="0"/>
      <w:spacing w:line="240" w:lineRule="exact"/>
      <w:ind w:left="0"/>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6607</Words>
  <Characters>7843</Characters>
  <Lines>251</Lines>
  <Paragraphs>70</Paragraphs>
  <TotalTime>2</TotalTime>
  <ScaleCrop>false</ScaleCrop>
  <LinksUpToDate>false</LinksUpToDate>
  <CharactersWithSpaces>7970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2022-05-18T01:57:00Z</dcterms:created>
  <dc:creator>TDKY</dc:creator>
  <cp:lastModifiedBy>13947617819</cp:lastModifiedBy>
  <cp:lastPrinted>2022-05-18T01:56:00Z</cp:lastPrinted>
  <dcterms:modified xsi:type="dcterms:W3CDTF">2025-08-01T01:06:10Z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B853CCD4FAEE4BC4AAB5733EBEC08C3B</vt:lpwstr>
  </property>
  <property fmtid="{D5CDD505-2E9C-101B-9397-08002B2CF9AE}" pid="4" name="KSOTemplateDocerSaveRecord">
    <vt:lpwstr>eyJoZGlkIjoiZGUyYWM5YTE4ZmFhNzRkYjUyNjczNWMwYjRhMDQyYmEiLCJ1c2VySWQiOiIzMTc5NDEwNjgifQ==</vt:lpwstr>
  </property>
</Properties>
</file>