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32082">
      <w:pPr>
        <w:rPr>
          <w:rFonts w:eastAsia="宋体" w:cs="Times New Roman"/>
          <w:b/>
          <w:bCs/>
          <w:color w:val="FF0000"/>
          <w:sz w:val="36"/>
          <w:szCs w:val="36"/>
        </w:rPr>
      </w:pPr>
      <w:bookmarkStart w:id="31" w:name="_GoBack"/>
      <w:bookmarkEnd w:id="31"/>
    </w:p>
    <w:p w14:paraId="4543DC59">
      <w:pPr>
        <w:rPr>
          <w:rFonts w:eastAsia="宋体" w:cs="Times New Roman"/>
          <w:b/>
          <w:bCs/>
          <w:color w:val="FF0000"/>
          <w:sz w:val="36"/>
          <w:szCs w:val="36"/>
        </w:rPr>
      </w:pPr>
    </w:p>
    <w:p w14:paraId="460C97D7">
      <w:pPr>
        <w:rPr>
          <w:rFonts w:eastAsia="宋体" w:cs="Times New Roman"/>
          <w:b/>
          <w:bCs/>
          <w:color w:val="FF0000"/>
          <w:sz w:val="36"/>
          <w:szCs w:val="36"/>
        </w:rPr>
      </w:pPr>
    </w:p>
    <w:p w14:paraId="4F3B38AA">
      <w:pPr>
        <w:spacing w:before="48" w:beforeLines="20" w:after="48" w:afterLines="20" w:line="360" w:lineRule="auto"/>
        <w:rPr>
          <w:rFonts w:eastAsia="宋体" w:cs="Times New Roman"/>
          <w:b/>
          <w:bCs/>
          <w:color w:val="000000" w:themeColor="text1"/>
          <w:sz w:val="40"/>
          <w:szCs w:val="40"/>
          <w14:textFill>
            <w14:solidFill>
              <w14:schemeClr w14:val="tx1"/>
            </w14:solidFill>
          </w14:textFill>
        </w:rPr>
      </w:pPr>
      <w:r>
        <w:rPr>
          <w:rFonts w:hint="eastAsia" w:eastAsia="宋体" w:cs="Times New Roman"/>
          <w:b/>
          <w:color w:val="000000" w:themeColor="text1"/>
          <w:sz w:val="40"/>
          <w:szCs w:val="40"/>
          <w14:textFill>
            <w14:solidFill>
              <w14:schemeClr w14:val="tx1"/>
            </w14:solidFill>
          </w14:textFill>
        </w:rPr>
        <w:t>赤峰市松山区关家营环球钼矿有限责任公司</w:t>
      </w:r>
    </w:p>
    <w:p w14:paraId="668F551F">
      <w:pPr>
        <w:spacing w:before="48" w:beforeLines="20" w:after="48" w:afterLines="20" w:line="360" w:lineRule="auto"/>
        <w:rPr>
          <w:rFonts w:eastAsia="宋体" w:cs="Times New Roman"/>
          <w:b/>
          <w:bCs/>
          <w:color w:val="000000" w:themeColor="text1"/>
          <w:sz w:val="44"/>
          <w:szCs w:val="44"/>
          <w14:textFill>
            <w14:solidFill>
              <w14:schemeClr w14:val="tx1"/>
            </w14:solidFill>
          </w14:textFill>
        </w:rPr>
      </w:pPr>
      <w:r>
        <w:rPr>
          <w:rFonts w:eastAsia="宋体" w:cs="Times New Roman"/>
          <w:b/>
          <w:bCs/>
          <w:color w:val="000000" w:themeColor="text1"/>
          <w:sz w:val="44"/>
          <w:szCs w:val="44"/>
          <w14:textFill>
            <w14:solidFill>
              <w14:schemeClr w14:val="tx1"/>
            </w14:solidFill>
          </w14:textFill>
        </w:rPr>
        <w:t>二〇二</w:t>
      </w:r>
      <w:r>
        <w:rPr>
          <w:rFonts w:hint="eastAsia" w:eastAsia="宋体" w:cs="Times New Roman"/>
          <w:b/>
          <w:bCs/>
          <w:color w:val="000000" w:themeColor="text1"/>
          <w:sz w:val="44"/>
          <w:szCs w:val="44"/>
          <w14:textFill>
            <w14:solidFill>
              <w14:schemeClr w14:val="tx1"/>
            </w14:solidFill>
          </w14:textFill>
        </w:rPr>
        <w:t>五</w:t>
      </w:r>
      <w:r>
        <w:rPr>
          <w:rFonts w:eastAsia="宋体" w:cs="Times New Roman"/>
          <w:b/>
          <w:bCs/>
          <w:color w:val="000000" w:themeColor="text1"/>
          <w:sz w:val="44"/>
          <w:szCs w:val="44"/>
          <w14:textFill>
            <w14:solidFill>
              <w14:schemeClr w14:val="tx1"/>
            </w14:solidFill>
          </w14:textFill>
        </w:rPr>
        <w:t>年度矿山地质环境治理计划</w:t>
      </w:r>
      <w:r>
        <w:rPr>
          <w:rFonts w:hint="eastAsia" w:eastAsia="宋体" w:cs="Times New Roman"/>
          <w:b/>
          <w:bCs/>
          <w:color w:val="000000" w:themeColor="text1"/>
          <w:sz w:val="44"/>
          <w:szCs w:val="44"/>
          <w14:textFill>
            <w14:solidFill>
              <w14:schemeClr w14:val="tx1"/>
            </w14:solidFill>
          </w14:textFill>
        </w:rPr>
        <w:t>书</w:t>
      </w:r>
    </w:p>
    <w:p w14:paraId="555E5D9B">
      <w:pPr>
        <w:rPr>
          <w:rFonts w:eastAsia="宋体" w:cs="Times New Roman"/>
          <w:color w:val="FF0000"/>
          <w:sz w:val="44"/>
          <w:szCs w:val="44"/>
        </w:rPr>
      </w:pPr>
    </w:p>
    <w:p w14:paraId="12835355">
      <w:pPr>
        <w:rPr>
          <w:rFonts w:eastAsia="宋体" w:cs="Times New Roman"/>
          <w:color w:val="FF0000"/>
          <w:sz w:val="44"/>
          <w:szCs w:val="44"/>
        </w:rPr>
      </w:pPr>
    </w:p>
    <w:p w14:paraId="59E5B109">
      <w:pPr>
        <w:rPr>
          <w:rFonts w:eastAsia="宋体" w:cs="Times New Roman"/>
          <w:color w:val="FF0000"/>
          <w:sz w:val="44"/>
          <w:szCs w:val="44"/>
        </w:rPr>
      </w:pPr>
    </w:p>
    <w:p w14:paraId="6DDAA0E4">
      <w:pPr>
        <w:rPr>
          <w:rFonts w:eastAsia="宋体" w:cs="Times New Roman"/>
          <w:color w:val="FF0000"/>
          <w:sz w:val="44"/>
          <w:szCs w:val="44"/>
        </w:rPr>
      </w:pPr>
    </w:p>
    <w:p w14:paraId="201E95CC">
      <w:pPr>
        <w:rPr>
          <w:rFonts w:eastAsia="宋体" w:cs="Times New Roman"/>
          <w:color w:val="FF0000"/>
          <w:sz w:val="44"/>
          <w:szCs w:val="44"/>
        </w:rPr>
      </w:pPr>
    </w:p>
    <w:p w14:paraId="6B860C49">
      <w:pPr>
        <w:rPr>
          <w:rFonts w:eastAsia="宋体" w:cs="Times New Roman"/>
          <w:color w:val="FF0000"/>
          <w:sz w:val="44"/>
          <w:szCs w:val="44"/>
        </w:rPr>
      </w:pPr>
    </w:p>
    <w:p w14:paraId="32CF7E2C">
      <w:pPr>
        <w:rPr>
          <w:rFonts w:eastAsia="宋体" w:cs="Times New Roman"/>
          <w:color w:val="FF0000"/>
          <w:sz w:val="44"/>
          <w:szCs w:val="44"/>
        </w:rPr>
      </w:pPr>
    </w:p>
    <w:p w14:paraId="241134AA">
      <w:pPr>
        <w:rPr>
          <w:rFonts w:eastAsia="宋体" w:cs="Times New Roman"/>
          <w:color w:val="FF0000"/>
          <w:sz w:val="44"/>
          <w:szCs w:val="44"/>
        </w:rPr>
      </w:pPr>
    </w:p>
    <w:p w14:paraId="08E5BC36">
      <w:pPr>
        <w:rPr>
          <w:rFonts w:eastAsia="宋体" w:cs="Times New Roman"/>
          <w:color w:val="FF0000"/>
          <w:sz w:val="44"/>
          <w:szCs w:val="44"/>
        </w:rPr>
      </w:pPr>
    </w:p>
    <w:p w14:paraId="71488599">
      <w:pPr>
        <w:rPr>
          <w:rFonts w:eastAsia="宋体" w:cs="Times New Roman"/>
          <w:color w:val="FF0000"/>
          <w:sz w:val="44"/>
          <w:szCs w:val="44"/>
        </w:rPr>
      </w:pPr>
    </w:p>
    <w:p w14:paraId="2A7B61A9">
      <w:pPr>
        <w:rPr>
          <w:rFonts w:eastAsia="宋体" w:cs="Times New Roman"/>
          <w:color w:val="FF0000"/>
          <w:sz w:val="44"/>
          <w:szCs w:val="44"/>
        </w:rPr>
      </w:pPr>
    </w:p>
    <w:p w14:paraId="176E8524">
      <w:pPr>
        <w:rPr>
          <w:rFonts w:eastAsia="宋体" w:cs="Times New Roman"/>
          <w:color w:val="FF0000"/>
          <w:sz w:val="44"/>
          <w:szCs w:val="44"/>
        </w:rPr>
      </w:pPr>
    </w:p>
    <w:p w14:paraId="5BE88422">
      <w:pPr>
        <w:rPr>
          <w:rFonts w:eastAsia="宋体" w:cs="Times New Roman"/>
          <w:color w:val="FF0000"/>
          <w:sz w:val="32"/>
          <w:szCs w:val="32"/>
        </w:rPr>
      </w:pPr>
    </w:p>
    <w:p w14:paraId="6D6CEE4D">
      <w:pPr>
        <w:rPr>
          <w:rFonts w:eastAsia="宋体" w:cs="Times New Roman"/>
          <w:color w:val="FF0000"/>
          <w:sz w:val="32"/>
          <w:szCs w:val="32"/>
        </w:rPr>
      </w:pPr>
    </w:p>
    <w:p w14:paraId="39773C51">
      <w:pPr>
        <w:rPr>
          <w:rFonts w:eastAsia="宋体" w:cs="Times New Roman"/>
          <w:color w:val="FF0000"/>
          <w:sz w:val="32"/>
          <w:szCs w:val="32"/>
        </w:rPr>
      </w:pPr>
    </w:p>
    <w:p w14:paraId="58AAC8AB">
      <w:pPr>
        <w:rPr>
          <w:rFonts w:eastAsia="宋体" w:cs="Times New Roman"/>
          <w:color w:val="FF0000"/>
          <w:sz w:val="32"/>
          <w:szCs w:val="32"/>
        </w:rPr>
      </w:pPr>
    </w:p>
    <w:p w14:paraId="7C7572D1">
      <w:pPr>
        <w:rPr>
          <w:rFonts w:eastAsia="宋体" w:cs="Times New Roman"/>
          <w:b/>
          <w:bCs/>
          <w:color w:val="000000" w:themeColor="text1"/>
          <w:sz w:val="32"/>
          <w:szCs w:val="32"/>
          <w14:textFill>
            <w14:solidFill>
              <w14:schemeClr w14:val="tx1"/>
            </w14:solidFill>
          </w14:textFill>
        </w:rPr>
      </w:pPr>
      <w:r>
        <w:rPr>
          <w:rFonts w:eastAsia="宋体" w:cs="Times New Roman"/>
          <w:b/>
          <w:bCs/>
          <w:color w:val="000000" w:themeColor="text1"/>
          <w:sz w:val="32"/>
          <w:szCs w:val="32"/>
          <w:lang w:val="zh-CN"/>
          <w14:textFill>
            <w14:solidFill>
              <w14:schemeClr w14:val="tx1"/>
            </w14:solidFill>
          </w14:textFill>
        </w:rPr>
        <w:t>赤峰市松山区关家营环球钼矿有限责任公司</w:t>
      </w:r>
    </w:p>
    <w:p w14:paraId="19C1B127">
      <w:pPr>
        <w:rPr>
          <w:rFonts w:eastAsia="宋体" w:cs="Times New Roman"/>
          <w:color w:val="000000" w:themeColor="text1"/>
          <w:sz w:val="32"/>
          <w:szCs w:val="32"/>
          <w14:textFill>
            <w14:solidFill>
              <w14:schemeClr w14:val="tx1"/>
            </w14:solidFill>
          </w14:textFill>
        </w:rPr>
      </w:pPr>
    </w:p>
    <w:p w14:paraId="74E0FB9F">
      <w:pPr>
        <w:rPr>
          <w:rFonts w:eastAsia="宋体" w:cs="Times New Roman"/>
          <w:color w:val="000000" w:themeColor="text1"/>
          <w:sz w:val="32"/>
          <w:szCs w:val="32"/>
          <w14:textFill>
            <w14:solidFill>
              <w14:schemeClr w14:val="tx1"/>
            </w14:solidFill>
          </w14:textFill>
        </w:rPr>
      </w:pPr>
      <w:r>
        <w:rPr>
          <w:rFonts w:eastAsia="宋体" w:cs="Times New Roman"/>
          <w:color w:val="000000" w:themeColor="text1"/>
          <w:sz w:val="32"/>
          <w:szCs w:val="32"/>
          <w14:textFill>
            <w14:solidFill>
              <w14:schemeClr w14:val="tx1"/>
            </w14:solidFill>
          </w14:textFill>
        </w:rPr>
        <w:t>二〇二</w:t>
      </w:r>
      <w:r>
        <w:rPr>
          <w:rFonts w:hint="eastAsia" w:eastAsia="宋体" w:cs="Times New Roman"/>
          <w:color w:val="000000" w:themeColor="text1"/>
          <w:sz w:val="32"/>
          <w:szCs w:val="32"/>
          <w14:textFill>
            <w14:solidFill>
              <w14:schemeClr w14:val="tx1"/>
            </w14:solidFill>
          </w14:textFill>
        </w:rPr>
        <w:t>五</w:t>
      </w:r>
      <w:r>
        <w:rPr>
          <w:rFonts w:eastAsia="宋体" w:cs="Times New Roman"/>
          <w:color w:val="000000" w:themeColor="text1"/>
          <w:sz w:val="32"/>
          <w:szCs w:val="32"/>
          <w14:textFill>
            <w14:solidFill>
              <w14:schemeClr w14:val="tx1"/>
            </w14:solidFill>
          </w14:textFill>
        </w:rPr>
        <w:t>年</w:t>
      </w:r>
      <w:r>
        <w:rPr>
          <w:rFonts w:hint="eastAsia" w:eastAsia="宋体" w:cs="Times New Roman"/>
          <w:color w:val="000000" w:themeColor="text1"/>
          <w:sz w:val="32"/>
          <w:szCs w:val="32"/>
          <w14:textFill>
            <w14:solidFill>
              <w14:schemeClr w14:val="tx1"/>
            </w14:solidFill>
          </w14:textFill>
        </w:rPr>
        <w:t>七</w:t>
      </w:r>
      <w:r>
        <w:rPr>
          <w:rFonts w:eastAsia="宋体" w:cs="Times New Roman"/>
          <w:color w:val="000000" w:themeColor="text1"/>
          <w:sz w:val="32"/>
          <w:szCs w:val="32"/>
          <w14:textFill>
            <w14:solidFill>
              <w14:schemeClr w14:val="tx1"/>
            </w14:solidFill>
          </w14:textFill>
        </w:rPr>
        <w:t>月</w:t>
      </w:r>
    </w:p>
    <w:p w14:paraId="7B776EA2">
      <w:pPr>
        <w:jc w:val="both"/>
        <w:rPr>
          <w:rFonts w:eastAsia="宋体" w:cs="Times New Roman"/>
          <w:color w:val="FF0000"/>
        </w:rPr>
      </w:pPr>
    </w:p>
    <w:p w14:paraId="7515B225">
      <w:pPr>
        <w:rPr>
          <w:rFonts w:eastAsia="宋体" w:cs="Times New Roman"/>
          <w:color w:val="FF0000"/>
        </w:rPr>
      </w:pPr>
      <w:r>
        <w:rPr>
          <w:rFonts w:eastAsia="宋体" w:cs="Times New Roman"/>
          <w:color w:val="FF0000"/>
        </w:rPr>
        <w:br w:type="page"/>
      </w:r>
    </w:p>
    <w:sdt>
      <w:sdtPr>
        <w:rPr>
          <w:rFonts w:eastAsia="宋体" w:cs="Times New Roman"/>
          <w:color w:val="FF0000"/>
        </w:rPr>
        <w:id w:val="147464212"/>
        <w:docPartObj>
          <w:docPartGallery w:val="Table of Contents"/>
          <w:docPartUnique/>
        </w:docPartObj>
      </w:sdtPr>
      <w:sdtEndPr>
        <w:rPr>
          <w:rFonts w:eastAsia="宋体" w:cs="Times New Roman"/>
          <w:b/>
          <w:color w:val="FF0000"/>
        </w:rPr>
      </w:sdtEndPr>
      <w:sdtContent>
        <w:p w14:paraId="479A1398">
          <w:pPr>
            <w:rPr>
              <w:rFonts w:eastAsia="宋体" w:cs="Times New Roman"/>
              <w:b/>
              <w:bCs/>
              <w:color w:val="FF0000"/>
              <w:sz w:val="24"/>
              <w:szCs w:val="24"/>
            </w:rPr>
          </w:pPr>
          <w:bookmarkStart w:id="0" w:name="_Toc8863"/>
          <w:bookmarkStart w:id="1" w:name="_Toc18324"/>
        </w:p>
      </w:sdtContent>
    </w:sdt>
    <w:p w14:paraId="7AAE4F79">
      <w:pPr>
        <w:pStyle w:val="10"/>
        <w:tabs>
          <w:tab w:val="right" w:leader="dot" w:pos="8306"/>
        </w:tabs>
        <w:jc w:val="center"/>
        <w:rPr>
          <w:color w:val="000000" w:themeColor="text1"/>
          <w:sz w:val="24"/>
          <w:szCs w:val="24"/>
          <w14:textFill>
            <w14:solidFill>
              <w14:schemeClr w14:val="tx1"/>
            </w14:solidFill>
          </w14:textFill>
        </w:rPr>
      </w:pPr>
      <w:r>
        <w:rPr>
          <w:rFonts w:hint="eastAsia"/>
          <w:b/>
          <w:bCs/>
          <w:color w:val="000000" w:themeColor="text1"/>
          <w:sz w:val="40"/>
          <w:szCs w:val="40"/>
          <w14:textFill>
            <w14:solidFill>
              <w14:schemeClr w14:val="tx1"/>
            </w14:solidFill>
          </w14:textFill>
        </w:rPr>
        <w:t>目  录</w:t>
      </w:r>
      <w:r>
        <w:rPr>
          <w:b/>
          <w:bCs/>
          <w:color w:val="000000" w:themeColor="text1"/>
          <w:sz w:val="22"/>
          <w:szCs w:val="22"/>
          <w14:textFill>
            <w14:solidFill>
              <w14:schemeClr w14:val="tx1"/>
            </w14:solidFill>
          </w14:textFill>
        </w:rPr>
        <w:fldChar w:fldCharType="begin"/>
      </w:r>
      <w:r>
        <w:rPr>
          <w:b/>
          <w:bCs/>
          <w:color w:val="000000" w:themeColor="text1"/>
          <w:sz w:val="22"/>
          <w:szCs w:val="22"/>
          <w14:textFill>
            <w14:solidFill>
              <w14:schemeClr w14:val="tx1"/>
            </w14:solidFill>
          </w14:textFill>
        </w:rPr>
        <w:instrText xml:space="preserve">TOC \o "1-2" \h \u </w:instrText>
      </w:r>
      <w:r>
        <w:rPr>
          <w:b/>
          <w:bCs/>
          <w:color w:val="000000" w:themeColor="text1"/>
          <w:sz w:val="22"/>
          <w:szCs w:val="22"/>
          <w14:textFill>
            <w14:solidFill>
              <w14:schemeClr w14:val="tx1"/>
            </w14:solidFill>
          </w14:textFill>
        </w:rPr>
        <w:fldChar w:fldCharType="separate"/>
      </w:r>
    </w:p>
    <w:p w14:paraId="7555CD65">
      <w:pPr>
        <w:pStyle w:val="10"/>
        <w:tabs>
          <w:tab w:val="right" w:leader="dot" w:pos="8306"/>
        </w:tabs>
        <w:rPr>
          <w:b/>
          <w:color w:val="000000" w:themeColor="text1"/>
          <w:sz w:val="24"/>
          <w:szCs w:val="24"/>
          <w14:textFill>
            <w14:solidFill>
              <w14:schemeClr w14:val="tx1"/>
            </w14:solidFill>
          </w14:textFill>
        </w:rPr>
      </w:pPr>
      <w:r>
        <w:fldChar w:fldCharType="begin"/>
      </w:r>
      <w:r>
        <w:instrText xml:space="preserve"> HYPERLINK \l "_Toc19114" </w:instrText>
      </w:r>
      <w:r>
        <w:fldChar w:fldCharType="separate"/>
      </w:r>
      <w:r>
        <w:rPr>
          <w:rFonts w:hint="eastAsia"/>
          <w:b/>
          <w:color w:val="000000" w:themeColor="text1"/>
          <w:sz w:val="24"/>
          <w:szCs w:val="32"/>
          <w14:textFill>
            <w14:solidFill>
              <w14:schemeClr w14:val="tx1"/>
            </w14:solidFill>
          </w14:textFill>
        </w:rPr>
        <w:t xml:space="preserve">第一章 </w:t>
      </w:r>
      <w:r>
        <w:rPr>
          <w:b/>
          <w:color w:val="000000" w:themeColor="text1"/>
          <w:sz w:val="24"/>
          <w:szCs w:val="32"/>
          <w14:textFill>
            <w14:solidFill>
              <w14:schemeClr w14:val="tx1"/>
            </w14:solidFill>
          </w14:textFill>
        </w:rPr>
        <w:t>矿山基本情况</w:t>
      </w:r>
      <w:r>
        <w:rPr>
          <w:b/>
          <w:color w:val="000000" w:themeColor="text1"/>
          <w:sz w:val="24"/>
          <w:szCs w:val="24"/>
          <w14:textFill>
            <w14:solidFill>
              <w14:schemeClr w14:val="tx1"/>
            </w14:solidFill>
          </w14:textFill>
        </w:rPr>
        <w:tab/>
      </w:r>
      <w:r>
        <w:rPr>
          <w:b/>
          <w:color w:val="000000" w:themeColor="text1"/>
          <w:sz w:val="24"/>
          <w:szCs w:val="24"/>
          <w14:textFill>
            <w14:solidFill>
              <w14:schemeClr w14:val="tx1"/>
            </w14:solidFill>
          </w14:textFill>
        </w:rPr>
        <w:fldChar w:fldCharType="begin"/>
      </w:r>
      <w:r>
        <w:rPr>
          <w:b/>
          <w:color w:val="000000" w:themeColor="text1"/>
          <w:sz w:val="24"/>
          <w:szCs w:val="24"/>
          <w14:textFill>
            <w14:solidFill>
              <w14:schemeClr w14:val="tx1"/>
            </w14:solidFill>
          </w14:textFill>
        </w:rPr>
        <w:instrText xml:space="preserve"> PAGEREF _Toc19114 </w:instrText>
      </w:r>
      <w:r>
        <w:rPr>
          <w:b/>
          <w:color w:val="000000" w:themeColor="text1"/>
          <w:sz w:val="24"/>
          <w:szCs w:val="24"/>
          <w14:textFill>
            <w14:solidFill>
              <w14:schemeClr w14:val="tx1"/>
            </w14:solidFill>
          </w14:textFill>
        </w:rPr>
        <w:fldChar w:fldCharType="separate"/>
      </w:r>
      <w:r>
        <w:rPr>
          <w:b/>
          <w:color w:val="000000" w:themeColor="text1"/>
          <w:sz w:val="24"/>
          <w:szCs w:val="24"/>
          <w14:textFill>
            <w14:solidFill>
              <w14:schemeClr w14:val="tx1"/>
            </w14:solidFill>
          </w14:textFill>
        </w:rPr>
        <w:t>1</w:t>
      </w:r>
      <w:r>
        <w:rPr>
          <w:b/>
          <w:color w:val="000000" w:themeColor="text1"/>
          <w:sz w:val="24"/>
          <w:szCs w:val="24"/>
          <w14:textFill>
            <w14:solidFill>
              <w14:schemeClr w14:val="tx1"/>
            </w14:solidFill>
          </w14:textFill>
        </w:rPr>
        <w:fldChar w:fldCharType="end"/>
      </w:r>
      <w:r>
        <w:rPr>
          <w:b/>
          <w:color w:val="000000" w:themeColor="text1"/>
          <w:sz w:val="24"/>
          <w:szCs w:val="24"/>
          <w14:textFill>
            <w14:solidFill>
              <w14:schemeClr w14:val="tx1"/>
            </w14:solidFill>
          </w14:textFill>
        </w:rPr>
        <w:fldChar w:fldCharType="end"/>
      </w:r>
    </w:p>
    <w:p w14:paraId="1660D391">
      <w:pPr>
        <w:pStyle w:val="10"/>
        <w:tabs>
          <w:tab w:val="right" w:leader="dot" w:pos="8306"/>
        </w:tabs>
        <w:rPr>
          <w:color w:val="000000" w:themeColor="text1"/>
          <w:sz w:val="24"/>
          <w:szCs w:val="24"/>
          <w14:textFill>
            <w14:solidFill>
              <w14:schemeClr w14:val="tx1"/>
            </w14:solidFill>
          </w14:textFill>
        </w:rPr>
      </w:pPr>
      <w:r>
        <w:fldChar w:fldCharType="begin"/>
      </w:r>
      <w:r>
        <w:instrText xml:space="preserve"> HYPERLINK \l "_Toc5378" </w:instrText>
      </w:r>
      <w:r>
        <w:fldChar w:fldCharType="separate"/>
      </w:r>
      <w:r>
        <w:rPr>
          <w:rFonts w:hint="eastAsia"/>
          <w:b/>
          <w:color w:val="000000" w:themeColor="text1"/>
          <w:sz w:val="24"/>
          <w:szCs w:val="32"/>
          <w14:textFill>
            <w14:solidFill>
              <w14:schemeClr w14:val="tx1"/>
            </w14:solidFill>
          </w14:textFill>
        </w:rPr>
        <w:t xml:space="preserve">第二章 </w:t>
      </w:r>
      <w:r>
        <w:rPr>
          <w:b/>
          <w:color w:val="000000" w:themeColor="text1"/>
          <w:sz w:val="24"/>
          <w:szCs w:val="32"/>
          <w14:textFill>
            <w14:solidFill>
              <w14:schemeClr w14:val="tx1"/>
            </w14:solidFill>
          </w14:textFill>
        </w:rPr>
        <w:t>矿山地质环境治理方案的编制与执行情况</w:t>
      </w:r>
      <w:r>
        <w:rPr>
          <w:b/>
          <w:color w:val="000000" w:themeColor="text1"/>
          <w:sz w:val="24"/>
          <w:szCs w:val="24"/>
          <w14:textFill>
            <w14:solidFill>
              <w14:schemeClr w14:val="tx1"/>
            </w14:solidFill>
          </w14:textFill>
        </w:rPr>
        <w:tab/>
      </w:r>
      <w:r>
        <w:rPr>
          <w:b/>
          <w:color w:val="000000" w:themeColor="text1"/>
          <w:sz w:val="24"/>
          <w:szCs w:val="24"/>
          <w14:textFill>
            <w14:solidFill>
              <w14:schemeClr w14:val="tx1"/>
            </w14:solidFill>
          </w14:textFill>
        </w:rPr>
        <w:fldChar w:fldCharType="begin"/>
      </w:r>
      <w:r>
        <w:rPr>
          <w:b/>
          <w:color w:val="000000" w:themeColor="text1"/>
          <w:sz w:val="24"/>
          <w:szCs w:val="24"/>
          <w14:textFill>
            <w14:solidFill>
              <w14:schemeClr w14:val="tx1"/>
            </w14:solidFill>
          </w14:textFill>
        </w:rPr>
        <w:instrText xml:space="preserve"> PAGEREF _Toc5378 </w:instrText>
      </w:r>
      <w:r>
        <w:rPr>
          <w:b/>
          <w:color w:val="000000" w:themeColor="text1"/>
          <w:sz w:val="24"/>
          <w:szCs w:val="24"/>
          <w14:textFill>
            <w14:solidFill>
              <w14:schemeClr w14:val="tx1"/>
            </w14:solidFill>
          </w14:textFill>
        </w:rPr>
        <w:fldChar w:fldCharType="separate"/>
      </w:r>
      <w:r>
        <w:rPr>
          <w:b/>
          <w:color w:val="000000" w:themeColor="text1"/>
          <w:sz w:val="24"/>
          <w:szCs w:val="24"/>
          <w14:textFill>
            <w14:solidFill>
              <w14:schemeClr w14:val="tx1"/>
            </w14:solidFill>
          </w14:textFill>
        </w:rPr>
        <w:t>2</w:t>
      </w:r>
      <w:r>
        <w:rPr>
          <w:b/>
          <w:color w:val="000000" w:themeColor="text1"/>
          <w:sz w:val="24"/>
          <w:szCs w:val="24"/>
          <w14:textFill>
            <w14:solidFill>
              <w14:schemeClr w14:val="tx1"/>
            </w14:solidFill>
          </w14:textFill>
        </w:rPr>
        <w:fldChar w:fldCharType="end"/>
      </w:r>
      <w:r>
        <w:rPr>
          <w:b/>
          <w:color w:val="000000" w:themeColor="text1"/>
          <w:sz w:val="24"/>
          <w:szCs w:val="24"/>
          <w14:textFill>
            <w14:solidFill>
              <w14:schemeClr w14:val="tx1"/>
            </w14:solidFill>
          </w14:textFill>
        </w:rPr>
        <w:fldChar w:fldCharType="end"/>
      </w:r>
    </w:p>
    <w:p w14:paraId="7FEB2FD5">
      <w:pPr>
        <w:pStyle w:val="11"/>
        <w:tabs>
          <w:tab w:val="right" w:leader="dot" w:pos="8306"/>
        </w:tabs>
        <w:ind w:left="210"/>
        <w:rPr>
          <w:color w:val="000000" w:themeColor="text1"/>
          <w:sz w:val="22"/>
          <w:szCs w:val="22"/>
          <w14:textFill>
            <w14:solidFill>
              <w14:schemeClr w14:val="tx1"/>
            </w14:solidFill>
          </w14:textFill>
        </w:rPr>
      </w:pPr>
      <w:r>
        <w:fldChar w:fldCharType="begin"/>
      </w:r>
      <w:r>
        <w:instrText xml:space="preserve"> HYPERLINK \l "_Toc14881" </w:instrText>
      </w:r>
      <w:r>
        <w:fldChar w:fldCharType="separate"/>
      </w:r>
      <w:r>
        <w:rPr>
          <w:rFonts w:hint="eastAsia"/>
          <w:bCs/>
          <w:color w:val="000000" w:themeColor="text1"/>
          <w:sz w:val="22"/>
          <w:szCs w:val="28"/>
          <w14:textFill>
            <w14:solidFill>
              <w14:schemeClr w14:val="tx1"/>
            </w14:solidFill>
          </w14:textFill>
        </w:rPr>
        <w:t>一、</w:t>
      </w:r>
      <w:r>
        <w:rPr>
          <w:bCs/>
          <w:color w:val="000000" w:themeColor="text1"/>
          <w:sz w:val="22"/>
          <w:szCs w:val="28"/>
          <w14:textFill>
            <w14:solidFill>
              <w14:schemeClr w14:val="tx1"/>
            </w14:solidFill>
          </w14:textFill>
        </w:rPr>
        <w:t>方案编制概况</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_Toc14881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fldChar w:fldCharType="end"/>
      </w:r>
      <w:r>
        <w:rPr>
          <w:color w:val="000000" w:themeColor="text1"/>
          <w:sz w:val="22"/>
          <w:szCs w:val="22"/>
          <w14:textFill>
            <w14:solidFill>
              <w14:schemeClr w14:val="tx1"/>
            </w14:solidFill>
          </w14:textFill>
        </w:rPr>
        <w:fldChar w:fldCharType="end"/>
      </w:r>
    </w:p>
    <w:p w14:paraId="7D9F1038">
      <w:pPr>
        <w:pStyle w:val="11"/>
        <w:tabs>
          <w:tab w:val="right" w:leader="dot" w:pos="8306"/>
        </w:tabs>
        <w:ind w:left="210"/>
        <w:rPr>
          <w:color w:val="000000" w:themeColor="text1"/>
          <w:sz w:val="22"/>
          <w:szCs w:val="22"/>
          <w14:textFill>
            <w14:solidFill>
              <w14:schemeClr w14:val="tx1"/>
            </w14:solidFill>
          </w14:textFill>
        </w:rPr>
      </w:pPr>
      <w:r>
        <w:fldChar w:fldCharType="begin"/>
      </w:r>
      <w:r>
        <w:instrText xml:space="preserve"> HYPERLINK \l "_Toc17411" </w:instrText>
      </w:r>
      <w:r>
        <w:fldChar w:fldCharType="separate"/>
      </w:r>
      <w:r>
        <w:rPr>
          <w:bCs/>
          <w:color w:val="000000" w:themeColor="text1"/>
          <w:sz w:val="22"/>
          <w:szCs w:val="28"/>
          <w14:textFill>
            <w14:solidFill>
              <w14:schemeClr w14:val="tx1"/>
            </w14:solidFill>
          </w14:textFill>
        </w:rPr>
        <w:t>二、治理方案规划的近期治理工程内容</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_Toc17411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fldChar w:fldCharType="end"/>
      </w:r>
      <w:r>
        <w:rPr>
          <w:color w:val="000000" w:themeColor="text1"/>
          <w:sz w:val="22"/>
          <w:szCs w:val="22"/>
          <w14:textFill>
            <w14:solidFill>
              <w14:schemeClr w14:val="tx1"/>
            </w14:solidFill>
          </w14:textFill>
        </w:rPr>
        <w:fldChar w:fldCharType="end"/>
      </w:r>
    </w:p>
    <w:p w14:paraId="2331CDE8">
      <w:pPr>
        <w:pStyle w:val="11"/>
        <w:tabs>
          <w:tab w:val="right" w:leader="dot" w:pos="8306"/>
        </w:tabs>
        <w:ind w:left="210"/>
        <w:rPr>
          <w:color w:val="000000" w:themeColor="text1"/>
          <w:sz w:val="22"/>
          <w:szCs w:val="22"/>
          <w14:textFill>
            <w14:solidFill>
              <w14:schemeClr w14:val="tx1"/>
            </w14:solidFill>
          </w14:textFill>
        </w:rPr>
      </w:pPr>
      <w:r>
        <w:fldChar w:fldCharType="begin"/>
      </w:r>
      <w:r>
        <w:instrText xml:space="preserve"> HYPERLINK \l "_Toc27023" </w:instrText>
      </w:r>
      <w:r>
        <w:fldChar w:fldCharType="separate"/>
      </w:r>
      <w:r>
        <w:rPr>
          <w:bCs/>
          <w:color w:val="000000" w:themeColor="text1"/>
          <w:sz w:val="22"/>
          <w:szCs w:val="28"/>
          <w14:textFill>
            <w14:solidFill>
              <w14:schemeClr w14:val="tx1"/>
            </w14:solidFill>
          </w14:textFill>
        </w:rPr>
        <w:t>三、矿山地质环境治理方案执行情况</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_Toc27023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5</w:t>
      </w:r>
      <w:r>
        <w:rPr>
          <w:color w:val="000000" w:themeColor="text1"/>
          <w:sz w:val="22"/>
          <w:szCs w:val="22"/>
          <w14:textFill>
            <w14:solidFill>
              <w14:schemeClr w14:val="tx1"/>
            </w14:solidFill>
          </w14:textFill>
        </w:rPr>
        <w:fldChar w:fldCharType="end"/>
      </w:r>
      <w:r>
        <w:rPr>
          <w:color w:val="000000" w:themeColor="text1"/>
          <w:sz w:val="22"/>
          <w:szCs w:val="22"/>
          <w14:textFill>
            <w14:solidFill>
              <w14:schemeClr w14:val="tx1"/>
            </w14:solidFill>
          </w14:textFill>
        </w:rPr>
        <w:fldChar w:fldCharType="end"/>
      </w:r>
    </w:p>
    <w:p w14:paraId="7E10200E">
      <w:pPr>
        <w:pStyle w:val="10"/>
        <w:tabs>
          <w:tab w:val="right" w:leader="dot" w:pos="8306"/>
        </w:tabs>
        <w:rPr>
          <w:color w:val="000000" w:themeColor="text1"/>
          <w:sz w:val="24"/>
          <w:szCs w:val="24"/>
          <w14:textFill>
            <w14:solidFill>
              <w14:schemeClr w14:val="tx1"/>
            </w14:solidFill>
          </w14:textFill>
        </w:rPr>
      </w:pPr>
      <w:r>
        <w:fldChar w:fldCharType="begin"/>
      </w:r>
      <w:r>
        <w:instrText xml:space="preserve"> HYPERLINK \l "_Toc25217" </w:instrText>
      </w:r>
      <w:r>
        <w:fldChar w:fldCharType="separate"/>
      </w:r>
      <w:r>
        <w:rPr>
          <w:rFonts w:hint="eastAsia"/>
          <w:b/>
          <w:color w:val="000000" w:themeColor="text1"/>
          <w:sz w:val="24"/>
          <w:szCs w:val="32"/>
          <w14:textFill>
            <w14:solidFill>
              <w14:schemeClr w14:val="tx1"/>
            </w14:solidFill>
          </w14:textFill>
        </w:rPr>
        <w:t>第三章</w:t>
      </w:r>
      <w:r>
        <w:rPr>
          <w:b/>
          <w:color w:val="000000" w:themeColor="text1"/>
          <w:sz w:val="24"/>
          <w:szCs w:val="32"/>
          <w14:textFill>
            <w14:solidFill>
              <w14:schemeClr w14:val="tx1"/>
            </w14:solidFill>
          </w14:textFill>
        </w:rPr>
        <w:t>本年度矿山生产计划</w:t>
      </w:r>
      <w:r>
        <w:rPr>
          <w:b/>
          <w:color w:val="000000" w:themeColor="text1"/>
          <w:sz w:val="24"/>
          <w:szCs w:val="24"/>
          <w14:textFill>
            <w14:solidFill>
              <w14:schemeClr w14:val="tx1"/>
            </w14:solidFill>
          </w14:textFill>
        </w:rPr>
        <w:tab/>
      </w:r>
      <w:r>
        <w:rPr>
          <w:b/>
          <w:color w:val="000000" w:themeColor="text1"/>
          <w:sz w:val="24"/>
          <w:szCs w:val="24"/>
          <w14:textFill>
            <w14:solidFill>
              <w14:schemeClr w14:val="tx1"/>
            </w14:solidFill>
          </w14:textFill>
        </w:rPr>
        <w:fldChar w:fldCharType="begin"/>
      </w:r>
      <w:r>
        <w:rPr>
          <w:b/>
          <w:color w:val="000000" w:themeColor="text1"/>
          <w:sz w:val="24"/>
          <w:szCs w:val="24"/>
          <w14:textFill>
            <w14:solidFill>
              <w14:schemeClr w14:val="tx1"/>
            </w14:solidFill>
          </w14:textFill>
        </w:rPr>
        <w:instrText xml:space="preserve"> PAGEREF _Toc25217 </w:instrText>
      </w:r>
      <w:r>
        <w:rPr>
          <w:b/>
          <w:color w:val="000000" w:themeColor="text1"/>
          <w:sz w:val="24"/>
          <w:szCs w:val="24"/>
          <w14:textFill>
            <w14:solidFill>
              <w14:schemeClr w14:val="tx1"/>
            </w14:solidFill>
          </w14:textFill>
        </w:rPr>
        <w:fldChar w:fldCharType="separate"/>
      </w:r>
      <w:r>
        <w:rPr>
          <w:b/>
          <w:color w:val="000000" w:themeColor="text1"/>
          <w:sz w:val="24"/>
          <w:szCs w:val="24"/>
          <w14:textFill>
            <w14:solidFill>
              <w14:schemeClr w14:val="tx1"/>
            </w14:solidFill>
          </w14:textFill>
        </w:rPr>
        <w:t>7</w:t>
      </w:r>
      <w:r>
        <w:rPr>
          <w:b/>
          <w:color w:val="000000" w:themeColor="text1"/>
          <w:sz w:val="24"/>
          <w:szCs w:val="24"/>
          <w14:textFill>
            <w14:solidFill>
              <w14:schemeClr w14:val="tx1"/>
            </w14:solidFill>
          </w14:textFill>
        </w:rPr>
        <w:fldChar w:fldCharType="end"/>
      </w:r>
      <w:r>
        <w:rPr>
          <w:b/>
          <w:color w:val="000000" w:themeColor="text1"/>
          <w:sz w:val="24"/>
          <w:szCs w:val="24"/>
          <w14:textFill>
            <w14:solidFill>
              <w14:schemeClr w14:val="tx1"/>
            </w14:solidFill>
          </w14:textFill>
        </w:rPr>
        <w:fldChar w:fldCharType="end"/>
      </w:r>
    </w:p>
    <w:p w14:paraId="3389E049">
      <w:pPr>
        <w:pStyle w:val="11"/>
        <w:tabs>
          <w:tab w:val="right" w:leader="dot" w:pos="8306"/>
        </w:tabs>
        <w:ind w:left="210"/>
        <w:rPr>
          <w:color w:val="000000" w:themeColor="text1"/>
          <w:sz w:val="22"/>
          <w:szCs w:val="22"/>
          <w14:textFill>
            <w14:solidFill>
              <w14:schemeClr w14:val="tx1"/>
            </w14:solidFill>
          </w14:textFill>
        </w:rPr>
      </w:pPr>
      <w:r>
        <w:fldChar w:fldCharType="begin"/>
      </w:r>
      <w:r>
        <w:instrText xml:space="preserve"> HYPERLINK \l "_Toc24919" </w:instrText>
      </w:r>
      <w:r>
        <w:fldChar w:fldCharType="separate"/>
      </w:r>
      <w:r>
        <w:rPr>
          <w:rFonts w:hint="eastAsia"/>
          <w:bCs/>
          <w:color w:val="000000" w:themeColor="text1"/>
          <w:sz w:val="22"/>
          <w:szCs w:val="28"/>
          <w14:textFill>
            <w14:solidFill>
              <w14:schemeClr w14:val="tx1"/>
            </w14:solidFill>
          </w14:textFill>
        </w:rPr>
        <w:t>一、</w:t>
      </w:r>
      <w:r>
        <w:rPr>
          <w:bCs/>
          <w:color w:val="000000" w:themeColor="text1"/>
          <w:sz w:val="22"/>
          <w:szCs w:val="28"/>
          <w14:textFill>
            <w14:solidFill>
              <w14:schemeClr w14:val="tx1"/>
            </w14:solidFill>
          </w14:textFill>
        </w:rPr>
        <w:t>本年度的主要生产指标计划</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_Toc24919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7</w:t>
      </w:r>
      <w:r>
        <w:rPr>
          <w:color w:val="000000" w:themeColor="text1"/>
          <w:sz w:val="22"/>
          <w:szCs w:val="22"/>
          <w14:textFill>
            <w14:solidFill>
              <w14:schemeClr w14:val="tx1"/>
            </w14:solidFill>
          </w14:textFill>
        </w:rPr>
        <w:fldChar w:fldCharType="end"/>
      </w:r>
      <w:r>
        <w:rPr>
          <w:color w:val="000000" w:themeColor="text1"/>
          <w:sz w:val="22"/>
          <w:szCs w:val="22"/>
          <w14:textFill>
            <w14:solidFill>
              <w14:schemeClr w14:val="tx1"/>
            </w14:solidFill>
          </w14:textFill>
        </w:rPr>
        <w:fldChar w:fldCharType="end"/>
      </w:r>
    </w:p>
    <w:p w14:paraId="035D6BAF">
      <w:pPr>
        <w:pStyle w:val="10"/>
        <w:tabs>
          <w:tab w:val="right" w:leader="dot" w:pos="8306"/>
        </w:tabs>
        <w:rPr>
          <w:color w:val="000000" w:themeColor="text1"/>
          <w:sz w:val="24"/>
          <w:szCs w:val="24"/>
          <w14:textFill>
            <w14:solidFill>
              <w14:schemeClr w14:val="tx1"/>
            </w14:solidFill>
          </w14:textFill>
        </w:rPr>
      </w:pPr>
      <w:r>
        <w:fldChar w:fldCharType="begin"/>
      </w:r>
      <w:r>
        <w:instrText xml:space="preserve"> HYPERLINK \l "_Toc26088" </w:instrText>
      </w:r>
      <w:r>
        <w:fldChar w:fldCharType="separate"/>
      </w:r>
      <w:r>
        <w:rPr>
          <w:rFonts w:hint="eastAsia"/>
          <w:b/>
          <w:color w:val="000000" w:themeColor="text1"/>
          <w:sz w:val="24"/>
          <w:szCs w:val="32"/>
          <w14:textFill>
            <w14:solidFill>
              <w14:schemeClr w14:val="tx1"/>
            </w14:solidFill>
          </w14:textFill>
        </w:rPr>
        <w:t xml:space="preserve">第四章 </w:t>
      </w:r>
      <w:r>
        <w:rPr>
          <w:b/>
          <w:color w:val="000000" w:themeColor="text1"/>
          <w:sz w:val="24"/>
          <w:szCs w:val="32"/>
          <w14:textFill>
            <w14:solidFill>
              <w14:schemeClr w14:val="tx1"/>
            </w14:solidFill>
          </w14:textFill>
        </w:rPr>
        <w:t>矿山地质环境问题</w:t>
      </w:r>
      <w:r>
        <w:rPr>
          <w:b/>
          <w:color w:val="000000" w:themeColor="text1"/>
          <w:sz w:val="24"/>
          <w:szCs w:val="24"/>
          <w14:textFill>
            <w14:solidFill>
              <w14:schemeClr w14:val="tx1"/>
            </w14:solidFill>
          </w14:textFill>
        </w:rPr>
        <w:tab/>
      </w:r>
      <w:r>
        <w:rPr>
          <w:b/>
          <w:color w:val="000000" w:themeColor="text1"/>
          <w:sz w:val="24"/>
          <w:szCs w:val="24"/>
          <w14:textFill>
            <w14:solidFill>
              <w14:schemeClr w14:val="tx1"/>
            </w14:solidFill>
          </w14:textFill>
        </w:rPr>
        <w:fldChar w:fldCharType="begin"/>
      </w:r>
      <w:r>
        <w:rPr>
          <w:b/>
          <w:color w:val="000000" w:themeColor="text1"/>
          <w:sz w:val="24"/>
          <w:szCs w:val="24"/>
          <w14:textFill>
            <w14:solidFill>
              <w14:schemeClr w14:val="tx1"/>
            </w14:solidFill>
          </w14:textFill>
        </w:rPr>
        <w:instrText xml:space="preserve"> PAGEREF _Toc26088 </w:instrText>
      </w:r>
      <w:r>
        <w:rPr>
          <w:b/>
          <w:color w:val="000000" w:themeColor="text1"/>
          <w:sz w:val="24"/>
          <w:szCs w:val="24"/>
          <w14:textFill>
            <w14:solidFill>
              <w14:schemeClr w14:val="tx1"/>
            </w14:solidFill>
          </w14:textFill>
        </w:rPr>
        <w:fldChar w:fldCharType="separate"/>
      </w:r>
      <w:r>
        <w:rPr>
          <w:b/>
          <w:color w:val="000000" w:themeColor="text1"/>
          <w:sz w:val="24"/>
          <w:szCs w:val="24"/>
          <w14:textFill>
            <w14:solidFill>
              <w14:schemeClr w14:val="tx1"/>
            </w14:solidFill>
          </w14:textFill>
        </w:rPr>
        <w:t>8</w:t>
      </w:r>
      <w:r>
        <w:rPr>
          <w:b/>
          <w:color w:val="000000" w:themeColor="text1"/>
          <w:sz w:val="24"/>
          <w:szCs w:val="24"/>
          <w14:textFill>
            <w14:solidFill>
              <w14:schemeClr w14:val="tx1"/>
            </w14:solidFill>
          </w14:textFill>
        </w:rPr>
        <w:fldChar w:fldCharType="end"/>
      </w:r>
      <w:r>
        <w:rPr>
          <w:b/>
          <w:color w:val="000000" w:themeColor="text1"/>
          <w:sz w:val="24"/>
          <w:szCs w:val="24"/>
          <w14:textFill>
            <w14:solidFill>
              <w14:schemeClr w14:val="tx1"/>
            </w14:solidFill>
          </w14:textFill>
        </w:rPr>
        <w:fldChar w:fldCharType="end"/>
      </w:r>
    </w:p>
    <w:p w14:paraId="5B2ABFF6">
      <w:pPr>
        <w:pStyle w:val="11"/>
        <w:tabs>
          <w:tab w:val="right" w:leader="dot" w:pos="8306"/>
        </w:tabs>
        <w:ind w:left="210"/>
        <w:rPr>
          <w:color w:val="000000" w:themeColor="text1"/>
          <w:sz w:val="22"/>
          <w:szCs w:val="22"/>
          <w14:textFill>
            <w14:solidFill>
              <w14:schemeClr w14:val="tx1"/>
            </w14:solidFill>
          </w14:textFill>
        </w:rPr>
      </w:pPr>
      <w:r>
        <w:fldChar w:fldCharType="begin"/>
      </w:r>
      <w:r>
        <w:instrText xml:space="preserve"> HYPERLINK \l "_Toc17203" </w:instrText>
      </w:r>
      <w:r>
        <w:fldChar w:fldCharType="separate"/>
      </w:r>
      <w:r>
        <w:rPr>
          <w:rFonts w:hint="eastAsia"/>
          <w:bCs/>
          <w:color w:val="000000" w:themeColor="text1"/>
          <w:sz w:val="22"/>
          <w:szCs w:val="28"/>
          <w14:textFill>
            <w14:solidFill>
              <w14:schemeClr w14:val="tx1"/>
            </w14:solidFill>
          </w14:textFill>
        </w:rPr>
        <w:t>一、</w:t>
      </w:r>
      <w:r>
        <w:rPr>
          <w:bCs/>
          <w:color w:val="000000" w:themeColor="text1"/>
          <w:sz w:val="22"/>
          <w:szCs w:val="28"/>
          <w14:textFill>
            <w14:solidFill>
              <w14:schemeClr w14:val="tx1"/>
            </w14:solidFill>
          </w14:textFill>
        </w:rPr>
        <w:t>矿山地质环境问题现状</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_Toc17203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8</w:t>
      </w:r>
      <w:r>
        <w:rPr>
          <w:color w:val="000000" w:themeColor="text1"/>
          <w:sz w:val="22"/>
          <w:szCs w:val="22"/>
          <w14:textFill>
            <w14:solidFill>
              <w14:schemeClr w14:val="tx1"/>
            </w14:solidFill>
          </w14:textFill>
        </w:rPr>
        <w:fldChar w:fldCharType="end"/>
      </w:r>
      <w:r>
        <w:rPr>
          <w:color w:val="000000" w:themeColor="text1"/>
          <w:sz w:val="22"/>
          <w:szCs w:val="22"/>
          <w14:textFill>
            <w14:solidFill>
              <w14:schemeClr w14:val="tx1"/>
            </w14:solidFill>
          </w14:textFill>
        </w:rPr>
        <w:fldChar w:fldCharType="end"/>
      </w:r>
    </w:p>
    <w:p w14:paraId="44A8F16D">
      <w:pPr>
        <w:pStyle w:val="11"/>
        <w:tabs>
          <w:tab w:val="right" w:leader="dot" w:pos="8306"/>
        </w:tabs>
        <w:ind w:left="210"/>
        <w:rPr>
          <w:color w:val="000000" w:themeColor="text1"/>
          <w:sz w:val="22"/>
          <w:szCs w:val="22"/>
          <w14:textFill>
            <w14:solidFill>
              <w14:schemeClr w14:val="tx1"/>
            </w14:solidFill>
          </w14:textFill>
        </w:rPr>
      </w:pPr>
      <w:r>
        <w:fldChar w:fldCharType="begin"/>
      </w:r>
      <w:r>
        <w:instrText xml:space="preserve"> HYPERLINK \l "_Toc16463" </w:instrText>
      </w:r>
      <w:r>
        <w:fldChar w:fldCharType="separate"/>
      </w:r>
      <w:r>
        <w:rPr>
          <w:bCs/>
          <w:color w:val="000000" w:themeColor="text1"/>
          <w:sz w:val="22"/>
          <w:szCs w:val="28"/>
          <w14:textFill>
            <w14:solidFill>
              <w14:schemeClr w14:val="tx1"/>
            </w14:solidFill>
          </w14:textFill>
        </w:rPr>
        <w:t>二、矿山地质环境问题预测</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_Toc16463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18</w:t>
      </w:r>
      <w:r>
        <w:rPr>
          <w:color w:val="000000" w:themeColor="text1"/>
          <w:sz w:val="22"/>
          <w:szCs w:val="22"/>
          <w14:textFill>
            <w14:solidFill>
              <w14:schemeClr w14:val="tx1"/>
            </w14:solidFill>
          </w14:textFill>
        </w:rPr>
        <w:fldChar w:fldCharType="end"/>
      </w:r>
      <w:r>
        <w:rPr>
          <w:color w:val="000000" w:themeColor="text1"/>
          <w:sz w:val="22"/>
          <w:szCs w:val="22"/>
          <w14:textFill>
            <w14:solidFill>
              <w14:schemeClr w14:val="tx1"/>
            </w14:solidFill>
          </w14:textFill>
        </w:rPr>
        <w:fldChar w:fldCharType="end"/>
      </w:r>
    </w:p>
    <w:p w14:paraId="56F1B7C7">
      <w:pPr>
        <w:pStyle w:val="10"/>
        <w:tabs>
          <w:tab w:val="right" w:leader="dot" w:pos="8306"/>
        </w:tabs>
        <w:rPr>
          <w:b/>
          <w:color w:val="000000" w:themeColor="text1"/>
          <w:sz w:val="24"/>
          <w:szCs w:val="24"/>
          <w14:textFill>
            <w14:solidFill>
              <w14:schemeClr w14:val="tx1"/>
            </w14:solidFill>
          </w14:textFill>
        </w:rPr>
      </w:pPr>
      <w:r>
        <w:fldChar w:fldCharType="begin"/>
      </w:r>
      <w:r>
        <w:instrText xml:space="preserve"> HYPERLINK \l "_Toc19890" </w:instrText>
      </w:r>
      <w:r>
        <w:fldChar w:fldCharType="separate"/>
      </w:r>
      <w:r>
        <w:rPr>
          <w:b/>
          <w:color w:val="000000" w:themeColor="text1"/>
          <w:sz w:val="24"/>
          <w:szCs w:val="32"/>
          <w14:textFill>
            <w14:solidFill>
              <w14:schemeClr w14:val="tx1"/>
            </w14:solidFill>
          </w14:textFill>
        </w:rPr>
        <w:t>第五章  矿山地质环境防治工程</w:t>
      </w:r>
      <w:r>
        <w:rPr>
          <w:b/>
          <w:color w:val="000000" w:themeColor="text1"/>
          <w:sz w:val="24"/>
          <w:szCs w:val="24"/>
          <w14:textFill>
            <w14:solidFill>
              <w14:schemeClr w14:val="tx1"/>
            </w14:solidFill>
          </w14:textFill>
        </w:rPr>
        <w:tab/>
      </w:r>
      <w:r>
        <w:rPr>
          <w:b/>
          <w:color w:val="000000" w:themeColor="text1"/>
          <w:sz w:val="24"/>
          <w:szCs w:val="24"/>
          <w14:textFill>
            <w14:solidFill>
              <w14:schemeClr w14:val="tx1"/>
            </w14:solidFill>
          </w14:textFill>
        </w:rPr>
        <w:fldChar w:fldCharType="begin"/>
      </w:r>
      <w:r>
        <w:rPr>
          <w:b/>
          <w:color w:val="000000" w:themeColor="text1"/>
          <w:sz w:val="24"/>
          <w:szCs w:val="24"/>
          <w14:textFill>
            <w14:solidFill>
              <w14:schemeClr w14:val="tx1"/>
            </w14:solidFill>
          </w14:textFill>
        </w:rPr>
        <w:instrText xml:space="preserve"> PAGEREF _Toc19890 </w:instrText>
      </w:r>
      <w:r>
        <w:rPr>
          <w:b/>
          <w:color w:val="000000" w:themeColor="text1"/>
          <w:sz w:val="24"/>
          <w:szCs w:val="24"/>
          <w14:textFill>
            <w14:solidFill>
              <w14:schemeClr w14:val="tx1"/>
            </w14:solidFill>
          </w14:textFill>
        </w:rPr>
        <w:fldChar w:fldCharType="separate"/>
      </w:r>
      <w:r>
        <w:rPr>
          <w:b/>
          <w:color w:val="000000" w:themeColor="text1"/>
          <w:sz w:val="24"/>
          <w:szCs w:val="24"/>
          <w14:textFill>
            <w14:solidFill>
              <w14:schemeClr w14:val="tx1"/>
            </w14:solidFill>
          </w14:textFill>
        </w:rPr>
        <w:t>19</w:t>
      </w:r>
      <w:r>
        <w:rPr>
          <w:b/>
          <w:color w:val="000000" w:themeColor="text1"/>
          <w:sz w:val="24"/>
          <w:szCs w:val="24"/>
          <w14:textFill>
            <w14:solidFill>
              <w14:schemeClr w14:val="tx1"/>
            </w14:solidFill>
          </w14:textFill>
        </w:rPr>
        <w:fldChar w:fldCharType="end"/>
      </w:r>
      <w:r>
        <w:rPr>
          <w:b/>
          <w:color w:val="000000" w:themeColor="text1"/>
          <w:sz w:val="24"/>
          <w:szCs w:val="24"/>
          <w14:textFill>
            <w14:solidFill>
              <w14:schemeClr w14:val="tx1"/>
            </w14:solidFill>
          </w14:textFill>
        </w:rPr>
        <w:fldChar w:fldCharType="end"/>
      </w:r>
    </w:p>
    <w:p w14:paraId="50A4A886">
      <w:pPr>
        <w:pStyle w:val="11"/>
        <w:tabs>
          <w:tab w:val="right" w:leader="dot" w:pos="8306"/>
        </w:tabs>
        <w:ind w:left="210"/>
        <w:rPr>
          <w:color w:val="000000" w:themeColor="text1"/>
          <w:sz w:val="22"/>
          <w:szCs w:val="22"/>
          <w14:textFill>
            <w14:solidFill>
              <w14:schemeClr w14:val="tx1"/>
            </w14:solidFill>
          </w14:textFill>
        </w:rPr>
      </w:pPr>
      <w:r>
        <w:fldChar w:fldCharType="begin"/>
      </w:r>
      <w:r>
        <w:instrText xml:space="preserve"> HYPERLINK \l "_Toc3152" </w:instrText>
      </w:r>
      <w:r>
        <w:fldChar w:fldCharType="separate"/>
      </w:r>
      <w:r>
        <w:rPr>
          <w:bCs/>
          <w:color w:val="000000" w:themeColor="text1"/>
          <w:sz w:val="22"/>
          <w:szCs w:val="28"/>
          <w14:textFill>
            <w14:solidFill>
              <w14:schemeClr w14:val="tx1"/>
            </w14:solidFill>
          </w14:textFill>
        </w:rPr>
        <w:t>一、矿山地质环境治理区的确定</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_Toc3152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19</w:t>
      </w:r>
      <w:r>
        <w:rPr>
          <w:color w:val="000000" w:themeColor="text1"/>
          <w:sz w:val="22"/>
          <w:szCs w:val="22"/>
          <w14:textFill>
            <w14:solidFill>
              <w14:schemeClr w14:val="tx1"/>
            </w14:solidFill>
          </w14:textFill>
        </w:rPr>
        <w:fldChar w:fldCharType="end"/>
      </w:r>
      <w:r>
        <w:rPr>
          <w:color w:val="000000" w:themeColor="text1"/>
          <w:sz w:val="22"/>
          <w:szCs w:val="22"/>
          <w14:textFill>
            <w14:solidFill>
              <w14:schemeClr w14:val="tx1"/>
            </w14:solidFill>
          </w14:textFill>
        </w:rPr>
        <w:fldChar w:fldCharType="end"/>
      </w:r>
    </w:p>
    <w:p w14:paraId="454F8949">
      <w:pPr>
        <w:pStyle w:val="11"/>
        <w:tabs>
          <w:tab w:val="right" w:leader="dot" w:pos="8306"/>
        </w:tabs>
        <w:ind w:left="210"/>
        <w:rPr>
          <w:color w:val="000000" w:themeColor="text1"/>
          <w:sz w:val="22"/>
          <w:szCs w:val="22"/>
          <w14:textFill>
            <w14:solidFill>
              <w14:schemeClr w14:val="tx1"/>
            </w14:solidFill>
          </w14:textFill>
        </w:rPr>
      </w:pPr>
      <w:r>
        <w:fldChar w:fldCharType="begin"/>
      </w:r>
      <w:r>
        <w:instrText xml:space="preserve"> HYPERLINK \l "_Toc32084" </w:instrText>
      </w:r>
      <w:r>
        <w:fldChar w:fldCharType="separate"/>
      </w:r>
      <w:r>
        <w:rPr>
          <w:bCs/>
          <w:color w:val="000000" w:themeColor="text1"/>
          <w:sz w:val="22"/>
          <w:szCs w:val="28"/>
          <w14:textFill>
            <w14:solidFill>
              <w14:schemeClr w14:val="tx1"/>
            </w14:solidFill>
          </w14:textFill>
        </w:rPr>
        <w:t>二、矿山地质环境治理工程</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_Toc32084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19</w:t>
      </w:r>
      <w:r>
        <w:rPr>
          <w:color w:val="000000" w:themeColor="text1"/>
          <w:sz w:val="22"/>
          <w:szCs w:val="22"/>
          <w14:textFill>
            <w14:solidFill>
              <w14:schemeClr w14:val="tx1"/>
            </w14:solidFill>
          </w14:textFill>
        </w:rPr>
        <w:fldChar w:fldCharType="end"/>
      </w:r>
      <w:r>
        <w:rPr>
          <w:color w:val="000000" w:themeColor="text1"/>
          <w:sz w:val="22"/>
          <w:szCs w:val="22"/>
          <w14:textFill>
            <w14:solidFill>
              <w14:schemeClr w14:val="tx1"/>
            </w14:solidFill>
          </w14:textFill>
        </w:rPr>
        <w:fldChar w:fldCharType="end"/>
      </w:r>
    </w:p>
    <w:p w14:paraId="3E74E0A1">
      <w:pPr>
        <w:pStyle w:val="11"/>
        <w:tabs>
          <w:tab w:val="right" w:leader="dot" w:pos="8306"/>
        </w:tabs>
        <w:ind w:left="210"/>
        <w:rPr>
          <w:color w:val="000000" w:themeColor="text1"/>
          <w:sz w:val="22"/>
          <w:szCs w:val="22"/>
          <w14:textFill>
            <w14:solidFill>
              <w14:schemeClr w14:val="tx1"/>
            </w14:solidFill>
          </w14:textFill>
        </w:rPr>
      </w:pPr>
      <w:r>
        <w:fldChar w:fldCharType="begin"/>
      </w:r>
      <w:r>
        <w:instrText xml:space="preserve"> HYPERLINK \l "_Toc16419" </w:instrText>
      </w:r>
      <w:r>
        <w:fldChar w:fldCharType="separate"/>
      </w:r>
      <w:r>
        <w:rPr>
          <w:bCs/>
          <w:color w:val="000000" w:themeColor="text1"/>
          <w:sz w:val="22"/>
          <w:szCs w:val="28"/>
          <w14:textFill>
            <w14:solidFill>
              <w14:schemeClr w14:val="tx1"/>
            </w14:solidFill>
          </w14:textFill>
        </w:rPr>
        <w:t>三、矿山地质环境监测工程</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_Toc16419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19</w:t>
      </w:r>
      <w:r>
        <w:rPr>
          <w:color w:val="000000" w:themeColor="text1"/>
          <w:sz w:val="22"/>
          <w:szCs w:val="22"/>
          <w14:textFill>
            <w14:solidFill>
              <w14:schemeClr w14:val="tx1"/>
            </w14:solidFill>
          </w14:textFill>
        </w:rPr>
        <w:fldChar w:fldCharType="end"/>
      </w:r>
      <w:r>
        <w:rPr>
          <w:color w:val="000000" w:themeColor="text1"/>
          <w:sz w:val="22"/>
          <w:szCs w:val="22"/>
          <w14:textFill>
            <w14:solidFill>
              <w14:schemeClr w14:val="tx1"/>
            </w14:solidFill>
          </w14:textFill>
        </w:rPr>
        <w:fldChar w:fldCharType="end"/>
      </w:r>
    </w:p>
    <w:p w14:paraId="58B3CCB5">
      <w:pPr>
        <w:pStyle w:val="10"/>
        <w:tabs>
          <w:tab w:val="right" w:leader="dot" w:pos="8306"/>
        </w:tabs>
        <w:rPr>
          <w:color w:val="000000" w:themeColor="text1"/>
          <w:sz w:val="24"/>
          <w:szCs w:val="24"/>
          <w14:textFill>
            <w14:solidFill>
              <w14:schemeClr w14:val="tx1"/>
            </w14:solidFill>
          </w14:textFill>
        </w:rPr>
      </w:pPr>
      <w:r>
        <w:fldChar w:fldCharType="begin"/>
      </w:r>
      <w:r>
        <w:instrText xml:space="preserve"> HYPERLINK \l "_Toc8405" </w:instrText>
      </w:r>
      <w:r>
        <w:fldChar w:fldCharType="separate"/>
      </w:r>
      <w:r>
        <w:rPr>
          <w:b/>
          <w:color w:val="000000" w:themeColor="text1"/>
          <w:sz w:val="24"/>
          <w:szCs w:val="32"/>
          <w14:textFill>
            <w14:solidFill>
              <w14:schemeClr w14:val="tx1"/>
            </w14:solidFill>
          </w14:textFill>
        </w:rPr>
        <w:t>第六章  经费估算</w:t>
      </w:r>
      <w:r>
        <w:rPr>
          <w:b/>
          <w:color w:val="000000" w:themeColor="text1"/>
          <w:sz w:val="24"/>
          <w:szCs w:val="24"/>
          <w14:textFill>
            <w14:solidFill>
              <w14:schemeClr w14:val="tx1"/>
            </w14:solidFill>
          </w14:textFill>
        </w:rPr>
        <w:tab/>
      </w:r>
      <w:r>
        <w:rPr>
          <w:b/>
          <w:color w:val="000000" w:themeColor="text1"/>
          <w:sz w:val="24"/>
          <w:szCs w:val="24"/>
          <w14:textFill>
            <w14:solidFill>
              <w14:schemeClr w14:val="tx1"/>
            </w14:solidFill>
          </w14:textFill>
        </w:rPr>
        <w:fldChar w:fldCharType="begin"/>
      </w:r>
      <w:r>
        <w:rPr>
          <w:b/>
          <w:color w:val="000000" w:themeColor="text1"/>
          <w:sz w:val="24"/>
          <w:szCs w:val="24"/>
          <w14:textFill>
            <w14:solidFill>
              <w14:schemeClr w14:val="tx1"/>
            </w14:solidFill>
          </w14:textFill>
        </w:rPr>
        <w:instrText xml:space="preserve"> PAGEREF _Toc8405 </w:instrText>
      </w:r>
      <w:r>
        <w:rPr>
          <w:b/>
          <w:color w:val="000000" w:themeColor="text1"/>
          <w:sz w:val="24"/>
          <w:szCs w:val="24"/>
          <w14:textFill>
            <w14:solidFill>
              <w14:schemeClr w14:val="tx1"/>
            </w14:solidFill>
          </w14:textFill>
        </w:rPr>
        <w:fldChar w:fldCharType="separate"/>
      </w:r>
      <w:r>
        <w:rPr>
          <w:b/>
          <w:color w:val="000000" w:themeColor="text1"/>
          <w:sz w:val="24"/>
          <w:szCs w:val="24"/>
          <w14:textFill>
            <w14:solidFill>
              <w14:schemeClr w14:val="tx1"/>
            </w14:solidFill>
          </w14:textFill>
        </w:rPr>
        <w:t>21</w:t>
      </w:r>
      <w:r>
        <w:rPr>
          <w:b/>
          <w:color w:val="000000" w:themeColor="text1"/>
          <w:sz w:val="24"/>
          <w:szCs w:val="24"/>
          <w14:textFill>
            <w14:solidFill>
              <w14:schemeClr w14:val="tx1"/>
            </w14:solidFill>
          </w14:textFill>
        </w:rPr>
        <w:fldChar w:fldCharType="end"/>
      </w:r>
      <w:r>
        <w:rPr>
          <w:b/>
          <w:color w:val="000000" w:themeColor="text1"/>
          <w:sz w:val="24"/>
          <w:szCs w:val="24"/>
          <w14:textFill>
            <w14:solidFill>
              <w14:schemeClr w14:val="tx1"/>
            </w14:solidFill>
          </w14:textFill>
        </w:rPr>
        <w:fldChar w:fldCharType="end"/>
      </w:r>
    </w:p>
    <w:p w14:paraId="58844000">
      <w:pPr>
        <w:spacing w:line="360" w:lineRule="auto"/>
        <w:jc w:val="both"/>
        <w:rPr>
          <w:rFonts w:eastAsia="宋体" w:cs="Times New Roman"/>
          <w:bCs/>
          <w:color w:val="FF0000"/>
          <w:sz w:val="20"/>
          <w:szCs w:val="22"/>
        </w:rPr>
      </w:pPr>
      <w:r>
        <w:rPr>
          <w:rFonts w:eastAsia="宋体" w:cs="Times New Roman"/>
          <w:bCs/>
          <w:color w:val="000000" w:themeColor="text1"/>
          <w:sz w:val="20"/>
          <w:szCs w:val="22"/>
          <w14:textFill>
            <w14:solidFill>
              <w14:schemeClr w14:val="tx1"/>
            </w14:solidFill>
          </w14:textFill>
        </w:rPr>
        <w:fldChar w:fldCharType="end"/>
      </w:r>
    </w:p>
    <w:p w14:paraId="3AB38937">
      <w:pPr>
        <w:spacing w:line="360" w:lineRule="auto"/>
        <w:jc w:val="both"/>
        <w:rPr>
          <w:rFonts w:eastAsia="宋体" w:cs="Times New Roman"/>
          <w:b/>
          <w:bCs/>
          <w:color w:val="FF0000"/>
          <w:sz w:val="24"/>
          <w:szCs w:val="24"/>
        </w:rPr>
      </w:pPr>
    </w:p>
    <w:p w14:paraId="4A1A0A45">
      <w:pPr>
        <w:spacing w:line="360" w:lineRule="auto"/>
        <w:jc w:val="both"/>
        <w:rPr>
          <w:rFonts w:eastAsia="宋体" w:cs="Times New Roman"/>
          <w:b/>
          <w:bCs/>
          <w:color w:val="FF0000"/>
          <w:sz w:val="24"/>
          <w:szCs w:val="24"/>
        </w:rPr>
      </w:pPr>
    </w:p>
    <w:p w14:paraId="0AF9215C">
      <w:pPr>
        <w:spacing w:line="360" w:lineRule="auto"/>
        <w:jc w:val="both"/>
        <w:rPr>
          <w:rFonts w:eastAsia="宋体" w:cs="Times New Roman"/>
          <w:b/>
          <w:bCs/>
          <w:color w:val="000000" w:themeColor="text1"/>
          <w:sz w:val="24"/>
          <w:szCs w:val="24"/>
          <w14:textFill>
            <w14:solidFill>
              <w14:schemeClr w14:val="tx1"/>
            </w14:solidFill>
          </w14:textFill>
        </w:rPr>
      </w:pPr>
      <w:r>
        <w:rPr>
          <w:rFonts w:eastAsia="宋体" w:cs="Times New Roman"/>
          <w:b/>
          <w:bCs/>
          <w:color w:val="000000" w:themeColor="text1"/>
          <w:sz w:val="24"/>
          <w:szCs w:val="24"/>
          <w14:textFill>
            <w14:solidFill>
              <w14:schemeClr w14:val="tx1"/>
            </w14:solidFill>
          </w14:textFill>
        </w:rPr>
        <w:t>附图：</w:t>
      </w:r>
    </w:p>
    <w:p w14:paraId="18E44E25">
      <w:pPr>
        <w:pStyle w:val="2"/>
        <w:spacing w:line="360" w:lineRule="auto"/>
        <w:rPr>
          <w:rFonts w:ascii="Times New Roman" w:cs="Times New Roman"/>
          <w:color w:val="000000" w:themeColor="text1"/>
          <w14:textFill>
            <w14:solidFill>
              <w14:schemeClr w14:val="tx1"/>
            </w14:solidFill>
          </w14:textFill>
        </w:rPr>
      </w:pPr>
      <w:bookmarkStart w:id="2" w:name="_Toc28664"/>
      <w:r>
        <w:rPr>
          <w:rFonts w:hint="eastAsia" w:ascii="Times New Roman" w:cs="Times New Roman"/>
          <w:bCs/>
          <w:color w:val="000000" w:themeColor="text1"/>
          <w14:textFill>
            <w14:solidFill>
              <w14:schemeClr w14:val="tx1"/>
            </w14:solidFill>
          </w14:textFill>
        </w:rPr>
        <w:t>1、</w:t>
      </w:r>
      <w:r>
        <w:rPr>
          <w:rFonts w:ascii="Times New Roman" w:cs="Times New Roman"/>
          <w:bCs/>
          <w:color w:val="000000" w:themeColor="text1"/>
          <w14:textFill>
            <w14:solidFill>
              <w14:schemeClr w14:val="tx1"/>
            </w14:solidFill>
          </w14:textFill>
        </w:rPr>
        <w:t>赤峰市松山区关家营环球钼矿有限责任公司</w:t>
      </w:r>
      <w:r>
        <w:rPr>
          <w:rFonts w:ascii="Times New Roman" w:cs="Times New Roman"/>
          <w:color w:val="000000" w:themeColor="text1"/>
          <w14:textFill>
            <w14:solidFill>
              <w14:schemeClr w14:val="tx1"/>
            </w14:solidFill>
          </w14:textFill>
        </w:rPr>
        <w:t>202</w:t>
      </w:r>
      <w:r>
        <w:rPr>
          <w:rFonts w:hint="eastAsia" w:ascii="Times New Roman" w:cs="Times New Roman"/>
          <w:color w:val="000000" w:themeColor="text1"/>
          <w14:textFill>
            <w14:solidFill>
              <w14:schemeClr w14:val="tx1"/>
            </w14:solidFill>
          </w14:textFill>
        </w:rPr>
        <w:t>5</w:t>
      </w:r>
      <w:r>
        <w:rPr>
          <w:rFonts w:ascii="Times New Roman" w:cs="Times New Roman"/>
          <w:color w:val="000000" w:themeColor="text1"/>
          <w14:textFill>
            <w14:solidFill>
              <w14:schemeClr w14:val="tx1"/>
            </w14:solidFill>
          </w14:textFill>
        </w:rPr>
        <w:t>年度矿山地质环境治理工程部署图</w:t>
      </w:r>
    </w:p>
    <w:p w14:paraId="39057B96">
      <w:pPr>
        <w:pStyle w:val="2"/>
        <w:spacing w:line="360" w:lineRule="auto"/>
        <w:jc w:val="right"/>
        <w:rPr>
          <w:rFonts w:ascii="Times New Roman" w:cs="Times New Roman"/>
          <w:color w:val="000000" w:themeColor="text1"/>
          <w14:textFill>
            <w14:solidFill>
              <w14:schemeClr w14:val="tx1"/>
            </w14:solidFill>
          </w14:textFill>
        </w:rPr>
      </w:pPr>
      <w:r>
        <w:rPr>
          <w:rFonts w:ascii="Times New Roman" w:cs="Times New Roman"/>
          <w:color w:val="000000" w:themeColor="text1"/>
          <w14:textFill>
            <w14:solidFill>
              <w14:schemeClr w14:val="tx1"/>
            </w14:solidFill>
          </w14:textFill>
        </w:rPr>
        <w:t>（比例尺1：</w:t>
      </w:r>
      <w:r>
        <w:rPr>
          <w:rFonts w:hint="eastAsia" w:ascii="Times New Roman" w:cs="Times New Roman"/>
          <w:color w:val="000000" w:themeColor="text1"/>
          <w14:textFill>
            <w14:solidFill>
              <w14:schemeClr w14:val="tx1"/>
            </w14:solidFill>
          </w14:textFill>
        </w:rPr>
        <w:t>1</w:t>
      </w:r>
      <w:r>
        <w:rPr>
          <w:rFonts w:ascii="Times New Roman" w:cs="Times New Roman"/>
          <w:color w:val="000000" w:themeColor="text1"/>
          <w14:textFill>
            <w14:solidFill>
              <w14:schemeClr w14:val="tx1"/>
            </w14:solidFill>
          </w14:textFill>
        </w:rPr>
        <w:t>000）</w:t>
      </w:r>
      <w:bookmarkEnd w:id="0"/>
      <w:bookmarkEnd w:id="1"/>
      <w:bookmarkEnd w:id="2"/>
    </w:p>
    <w:p w14:paraId="7100703F">
      <w:pPr>
        <w:numPr>
          <w:ilvl w:val="0"/>
          <w:numId w:val="1"/>
        </w:numPr>
        <w:spacing w:line="360" w:lineRule="auto"/>
        <w:outlineLvl w:val="0"/>
        <w:rPr>
          <w:rFonts w:eastAsia="宋体" w:cs="Times New Roman"/>
          <w:b/>
          <w:bCs/>
          <w:color w:val="FF0000"/>
          <w:sz w:val="36"/>
          <w:szCs w:val="36"/>
        </w:rPr>
        <w:sectPr>
          <w:pgSz w:w="11906" w:h="16838"/>
          <w:pgMar w:top="1701" w:right="1701" w:bottom="1701" w:left="1701" w:header="851" w:footer="567" w:gutter="0"/>
          <w:cols w:space="720" w:num="1"/>
          <w:docGrid w:linePitch="286" w:charSpace="0"/>
        </w:sectPr>
      </w:pPr>
    </w:p>
    <w:p w14:paraId="4C23B1D8">
      <w:pPr>
        <w:numPr>
          <w:ilvl w:val="0"/>
          <w:numId w:val="1"/>
        </w:numPr>
        <w:spacing w:line="360" w:lineRule="auto"/>
        <w:outlineLvl w:val="0"/>
        <w:rPr>
          <w:rFonts w:eastAsia="宋体" w:cs="Times New Roman"/>
          <w:b/>
          <w:bCs/>
          <w:color w:val="000000" w:themeColor="text1"/>
          <w:sz w:val="36"/>
          <w:szCs w:val="36"/>
          <w14:textFill>
            <w14:solidFill>
              <w14:schemeClr w14:val="tx1"/>
            </w14:solidFill>
          </w14:textFill>
        </w:rPr>
      </w:pPr>
      <w:r>
        <w:rPr>
          <w:rFonts w:eastAsia="宋体" w:cs="Times New Roman"/>
          <w:b/>
          <w:bCs/>
          <w:color w:val="000000" w:themeColor="text1"/>
          <w:sz w:val="36"/>
          <w:szCs w:val="36"/>
          <w14:textFill>
            <w14:solidFill>
              <w14:schemeClr w14:val="tx1"/>
            </w14:solidFill>
          </w14:textFill>
        </w:rPr>
        <w:t xml:space="preserve"> </w:t>
      </w:r>
      <w:bookmarkStart w:id="3" w:name="_Toc15855"/>
      <w:bookmarkStart w:id="4" w:name="_Toc19114"/>
      <w:r>
        <w:rPr>
          <w:rFonts w:eastAsia="宋体" w:cs="Times New Roman"/>
          <w:b/>
          <w:bCs/>
          <w:color w:val="000000" w:themeColor="text1"/>
          <w:sz w:val="36"/>
          <w:szCs w:val="36"/>
          <w14:textFill>
            <w14:solidFill>
              <w14:schemeClr w14:val="tx1"/>
            </w14:solidFill>
          </w14:textFill>
        </w:rPr>
        <w:t>矿山基本情况</w:t>
      </w:r>
      <w:bookmarkEnd w:id="3"/>
      <w:bookmarkEnd w:id="4"/>
    </w:p>
    <w:p w14:paraId="1D5E4738">
      <w:pPr>
        <w:spacing w:line="360" w:lineRule="auto"/>
        <w:rPr>
          <w:rFonts w:eastAsia="宋体" w:cs="Times New Roman"/>
          <w:color w:val="000000" w:themeColor="text1"/>
          <w:sz w:val="32"/>
          <w:szCs w:val="32"/>
          <w14:textFill>
            <w14:solidFill>
              <w14:schemeClr w14:val="tx1"/>
            </w14:solidFill>
          </w14:textFill>
        </w:rPr>
      </w:pPr>
      <w:r>
        <w:rPr>
          <w:rFonts w:eastAsia="宋体" w:cs="Times New Roman"/>
          <w:b/>
          <w:bCs/>
          <w:color w:val="000000" w:themeColor="text1"/>
          <w:sz w:val="28"/>
          <w:szCs w:val="28"/>
          <w14:textFill>
            <w14:solidFill>
              <w14:schemeClr w14:val="tx1"/>
            </w14:solidFill>
          </w14:textFill>
        </w:rPr>
        <w:t>矿山基本情况表</w:t>
      </w:r>
    </w:p>
    <w:tbl>
      <w:tblPr>
        <w:tblStyle w:val="14"/>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1882"/>
        <w:gridCol w:w="1110"/>
        <w:gridCol w:w="908"/>
        <w:gridCol w:w="580"/>
        <w:gridCol w:w="57"/>
        <w:gridCol w:w="522"/>
        <w:gridCol w:w="2019"/>
      </w:tblGrid>
      <w:tr w14:paraId="124A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724" w:type="dxa"/>
            <w:gridSpan w:val="8"/>
            <w:vAlign w:val="center"/>
          </w:tcPr>
          <w:p w14:paraId="785EAF00">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矿山企业基本信息</w:t>
            </w:r>
          </w:p>
        </w:tc>
      </w:tr>
      <w:tr w14:paraId="7603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Align w:val="center"/>
          </w:tcPr>
          <w:p w14:paraId="03E8FFDF">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矿山名称</w:t>
            </w:r>
          </w:p>
        </w:tc>
        <w:tc>
          <w:tcPr>
            <w:tcW w:w="7078" w:type="dxa"/>
            <w:gridSpan w:val="7"/>
            <w:vAlign w:val="center"/>
          </w:tcPr>
          <w:p w14:paraId="6B574159">
            <w:pPr>
              <w:widowControl w:val="0"/>
              <w:jc w:val="both"/>
              <w:rPr>
                <w:rFonts w:eastAsia="宋体" w:cs="Times New Roman"/>
                <w:color w:val="000000" w:themeColor="text1"/>
                <w14:textFill>
                  <w14:solidFill>
                    <w14:schemeClr w14:val="tx1"/>
                  </w14:solidFill>
                </w14:textFill>
              </w:rPr>
            </w:pPr>
            <w:r>
              <w:rPr>
                <w:rFonts w:eastAsia="宋体" w:cs="Times New Roman"/>
                <w:bCs/>
                <w:color w:val="000000" w:themeColor="text1"/>
                <w:kern w:val="0"/>
                <w14:textFill>
                  <w14:solidFill>
                    <w14:schemeClr w14:val="tx1"/>
                  </w14:solidFill>
                </w14:textFill>
              </w:rPr>
              <w:t>赤峰市松山区关家营环球钼矿有限责任公司</w:t>
            </w:r>
          </w:p>
        </w:tc>
      </w:tr>
      <w:tr w14:paraId="76FF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Align w:val="center"/>
          </w:tcPr>
          <w:p w14:paraId="31B023EF">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采矿权人</w:t>
            </w:r>
          </w:p>
        </w:tc>
        <w:tc>
          <w:tcPr>
            <w:tcW w:w="2992" w:type="dxa"/>
            <w:gridSpan w:val="2"/>
            <w:vAlign w:val="center"/>
          </w:tcPr>
          <w:p w14:paraId="179EEB58">
            <w:pPr>
              <w:widowControl w:val="0"/>
              <w:jc w:val="both"/>
              <w:rPr>
                <w:rFonts w:eastAsia="宋体" w:cs="Times New Roman"/>
                <w:color w:val="000000" w:themeColor="text1"/>
                <w14:textFill>
                  <w14:solidFill>
                    <w14:schemeClr w14:val="tx1"/>
                  </w14:solidFill>
                </w14:textFill>
              </w:rPr>
            </w:pPr>
            <w:r>
              <w:rPr>
                <w:rFonts w:eastAsia="宋体" w:cs="Times New Roman"/>
                <w:bCs/>
                <w:color w:val="000000" w:themeColor="text1"/>
                <w:kern w:val="0"/>
                <w14:textFill>
                  <w14:solidFill>
                    <w14:schemeClr w14:val="tx1"/>
                  </w14:solidFill>
                </w14:textFill>
              </w:rPr>
              <w:t>赤峰市松山区关家营环球钼矿有限责任公司</w:t>
            </w:r>
          </w:p>
        </w:tc>
        <w:tc>
          <w:tcPr>
            <w:tcW w:w="1545" w:type="dxa"/>
            <w:gridSpan w:val="3"/>
            <w:shd w:val="clear" w:color="auto" w:fill="auto"/>
            <w:vAlign w:val="center"/>
          </w:tcPr>
          <w:p w14:paraId="540A8EF4">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法人代表</w:t>
            </w:r>
          </w:p>
        </w:tc>
        <w:tc>
          <w:tcPr>
            <w:tcW w:w="2541" w:type="dxa"/>
            <w:gridSpan w:val="2"/>
            <w:shd w:val="clear" w:color="auto" w:fill="auto"/>
            <w:vAlign w:val="center"/>
          </w:tcPr>
          <w:p w14:paraId="26182BE6">
            <w:pPr>
              <w:widowControl w:val="0"/>
              <w:jc w:val="both"/>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寇甲红</w:t>
            </w:r>
          </w:p>
        </w:tc>
      </w:tr>
      <w:tr w14:paraId="4DE9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Align w:val="center"/>
          </w:tcPr>
          <w:p w14:paraId="6EC2F412">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采矿许可证号</w:t>
            </w:r>
          </w:p>
        </w:tc>
        <w:tc>
          <w:tcPr>
            <w:tcW w:w="2992" w:type="dxa"/>
            <w:gridSpan w:val="2"/>
            <w:vAlign w:val="center"/>
          </w:tcPr>
          <w:p w14:paraId="49568F37">
            <w:pPr>
              <w:widowControl w:val="0"/>
              <w:jc w:val="both"/>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C</w:t>
            </w:r>
            <w:r>
              <w:rPr>
                <w:rFonts w:hint="eastAsia" w:eastAsia="宋体" w:cs="Times New Roman"/>
                <w:color w:val="000000" w:themeColor="text1"/>
                <w14:textFill>
                  <w14:solidFill>
                    <w14:schemeClr w14:val="tx1"/>
                  </w14:solidFill>
                </w14:textFill>
              </w:rPr>
              <w:t>1500002009073120028063</w:t>
            </w:r>
          </w:p>
        </w:tc>
        <w:tc>
          <w:tcPr>
            <w:tcW w:w="1545" w:type="dxa"/>
            <w:gridSpan w:val="3"/>
            <w:vAlign w:val="center"/>
          </w:tcPr>
          <w:p w14:paraId="25A2E41D">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发证机关</w:t>
            </w:r>
          </w:p>
        </w:tc>
        <w:tc>
          <w:tcPr>
            <w:tcW w:w="2541" w:type="dxa"/>
            <w:gridSpan w:val="2"/>
            <w:vAlign w:val="center"/>
          </w:tcPr>
          <w:p w14:paraId="352AFB95">
            <w:pPr>
              <w:widowControl w:val="0"/>
              <w:jc w:val="both"/>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内蒙古自治区自然资源厅</w:t>
            </w:r>
          </w:p>
        </w:tc>
      </w:tr>
      <w:tr w14:paraId="14D6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shd w:val="clear" w:color="auto" w:fill="auto"/>
            <w:vAlign w:val="center"/>
          </w:tcPr>
          <w:p w14:paraId="63F57630">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有效期限</w:t>
            </w:r>
          </w:p>
        </w:tc>
        <w:tc>
          <w:tcPr>
            <w:tcW w:w="2992" w:type="dxa"/>
            <w:gridSpan w:val="2"/>
            <w:shd w:val="clear" w:color="auto" w:fill="auto"/>
            <w:vAlign w:val="center"/>
          </w:tcPr>
          <w:p w14:paraId="2E83C5FF">
            <w:pPr>
              <w:widowControl w:val="0"/>
              <w:jc w:val="both"/>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20</w:t>
            </w:r>
            <w:r>
              <w:rPr>
                <w:rFonts w:hint="eastAsia" w:eastAsia="宋体" w:cs="Times New Roman"/>
                <w:color w:val="000000" w:themeColor="text1"/>
                <w14:textFill>
                  <w14:solidFill>
                    <w14:schemeClr w14:val="tx1"/>
                  </w14:solidFill>
                </w14:textFill>
              </w:rPr>
              <w:t>19-6-</w:t>
            </w:r>
            <w:r>
              <w:rPr>
                <w:rFonts w:eastAsia="宋体" w:cs="Times New Roman"/>
                <w:color w:val="000000" w:themeColor="text1"/>
                <w14:textFill>
                  <w14:solidFill>
                    <w14:schemeClr w14:val="tx1"/>
                  </w14:solidFill>
                </w14:textFill>
              </w:rPr>
              <w:t>2</w:t>
            </w:r>
            <w:r>
              <w:rPr>
                <w:rFonts w:hint="eastAsia" w:eastAsia="宋体" w:cs="Times New Roman"/>
                <w:color w:val="000000" w:themeColor="text1"/>
                <w14:textFill>
                  <w14:solidFill>
                    <w14:schemeClr w14:val="tx1"/>
                  </w14:solidFill>
                </w14:textFill>
              </w:rPr>
              <w:t>8</w:t>
            </w:r>
            <w:r>
              <w:rPr>
                <w:rFonts w:eastAsia="宋体" w:cs="Times New Roman"/>
                <w:color w:val="000000" w:themeColor="text1"/>
                <w14:textFill>
                  <w14:solidFill>
                    <w14:schemeClr w14:val="tx1"/>
                  </w14:solidFill>
                </w14:textFill>
              </w:rPr>
              <w:t>至20</w:t>
            </w:r>
            <w:r>
              <w:rPr>
                <w:rFonts w:hint="eastAsia" w:eastAsia="宋体" w:cs="Times New Roman"/>
                <w:color w:val="000000" w:themeColor="text1"/>
                <w14:textFill>
                  <w14:solidFill>
                    <w14:schemeClr w14:val="tx1"/>
                  </w14:solidFill>
                </w14:textFill>
              </w:rPr>
              <w:t>20-6-</w:t>
            </w:r>
            <w:r>
              <w:rPr>
                <w:rFonts w:eastAsia="宋体" w:cs="Times New Roman"/>
                <w:color w:val="000000" w:themeColor="text1"/>
                <w14:textFill>
                  <w14:solidFill>
                    <w14:schemeClr w14:val="tx1"/>
                  </w14:solidFill>
                </w14:textFill>
              </w:rPr>
              <w:t>2</w:t>
            </w:r>
            <w:r>
              <w:rPr>
                <w:rFonts w:hint="eastAsia" w:eastAsia="宋体" w:cs="Times New Roman"/>
                <w:color w:val="000000" w:themeColor="text1"/>
                <w14:textFill>
                  <w14:solidFill>
                    <w14:schemeClr w14:val="tx1"/>
                  </w14:solidFill>
                </w14:textFill>
              </w:rPr>
              <w:t>8</w:t>
            </w:r>
          </w:p>
        </w:tc>
        <w:tc>
          <w:tcPr>
            <w:tcW w:w="1545" w:type="dxa"/>
            <w:gridSpan w:val="3"/>
            <w:shd w:val="clear" w:color="auto" w:fill="auto"/>
            <w:vAlign w:val="center"/>
          </w:tcPr>
          <w:p w14:paraId="686389C4">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发证日期</w:t>
            </w:r>
          </w:p>
        </w:tc>
        <w:tc>
          <w:tcPr>
            <w:tcW w:w="2541" w:type="dxa"/>
            <w:gridSpan w:val="2"/>
            <w:shd w:val="clear" w:color="auto" w:fill="auto"/>
            <w:vAlign w:val="center"/>
          </w:tcPr>
          <w:p w14:paraId="46B0CF96">
            <w:pPr>
              <w:widowControl w:val="0"/>
              <w:jc w:val="both"/>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20</w:t>
            </w:r>
            <w:r>
              <w:rPr>
                <w:rFonts w:hint="eastAsia" w:eastAsia="宋体" w:cs="Times New Roman"/>
                <w:color w:val="000000" w:themeColor="text1"/>
                <w14:textFill>
                  <w14:solidFill>
                    <w14:schemeClr w14:val="tx1"/>
                  </w14:solidFill>
                </w14:textFill>
              </w:rPr>
              <w:t>19</w:t>
            </w:r>
            <w:r>
              <w:rPr>
                <w:rFonts w:eastAsia="宋体" w:cs="Times New Roman"/>
                <w:color w:val="000000" w:themeColor="text1"/>
                <w14:textFill>
                  <w14:solidFill>
                    <w14:schemeClr w14:val="tx1"/>
                  </w14:solidFill>
                </w14:textFill>
              </w:rPr>
              <w:t>年</w:t>
            </w:r>
            <w:r>
              <w:rPr>
                <w:rFonts w:hint="eastAsia" w:eastAsia="宋体" w:cs="Times New Roman"/>
                <w:color w:val="000000" w:themeColor="text1"/>
                <w14:textFill>
                  <w14:solidFill>
                    <w14:schemeClr w14:val="tx1"/>
                  </w14:solidFill>
                </w14:textFill>
              </w:rPr>
              <w:t>6</w:t>
            </w:r>
            <w:r>
              <w:rPr>
                <w:rFonts w:eastAsia="宋体" w:cs="Times New Roman"/>
                <w:color w:val="000000" w:themeColor="text1"/>
                <w14:textFill>
                  <w14:solidFill>
                    <w14:schemeClr w14:val="tx1"/>
                  </w14:solidFill>
                </w14:textFill>
              </w:rPr>
              <w:t>月</w:t>
            </w:r>
            <w:r>
              <w:rPr>
                <w:rFonts w:hint="eastAsia" w:eastAsia="宋体" w:cs="Times New Roman"/>
                <w:color w:val="000000" w:themeColor="text1"/>
                <w14:textFill>
                  <w14:solidFill>
                    <w14:schemeClr w14:val="tx1"/>
                  </w14:solidFill>
                </w14:textFill>
              </w:rPr>
              <w:t>20</w:t>
            </w:r>
            <w:r>
              <w:rPr>
                <w:rFonts w:eastAsia="宋体" w:cs="Times New Roman"/>
                <w:color w:val="000000" w:themeColor="text1"/>
                <w14:textFill>
                  <w14:solidFill>
                    <w14:schemeClr w14:val="tx1"/>
                  </w14:solidFill>
                </w14:textFill>
              </w:rPr>
              <w:t>日</w:t>
            </w:r>
          </w:p>
        </w:tc>
      </w:tr>
      <w:tr w14:paraId="7177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Align w:val="center"/>
          </w:tcPr>
          <w:p w14:paraId="0E546E44">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矿区地址</w:t>
            </w:r>
          </w:p>
        </w:tc>
        <w:tc>
          <w:tcPr>
            <w:tcW w:w="7078" w:type="dxa"/>
            <w:gridSpan w:val="7"/>
            <w:vAlign w:val="center"/>
          </w:tcPr>
          <w:p w14:paraId="1440346D">
            <w:pPr>
              <w:widowControl w:val="0"/>
              <w:jc w:val="both"/>
              <w:rPr>
                <w:rFonts w:eastAsia="宋体" w:cs="Times New Roman"/>
                <w:color w:val="000000" w:themeColor="text1"/>
                <w14:textFill>
                  <w14:solidFill>
                    <w14:schemeClr w14:val="tx1"/>
                  </w14:solidFill>
                </w14:textFill>
              </w:rPr>
            </w:pPr>
            <w:r>
              <w:rPr>
                <w:rFonts w:eastAsia="宋体" w:cs="Times New Roman"/>
                <w:bCs/>
                <w:color w:val="000000" w:themeColor="text1"/>
                <w:kern w:val="0"/>
                <w14:textFill>
                  <w14:solidFill>
                    <w14:schemeClr w14:val="tx1"/>
                  </w14:solidFill>
                </w14:textFill>
              </w:rPr>
              <w:t>赤峰市松山区关家营</w:t>
            </w:r>
            <w:r>
              <w:rPr>
                <w:rFonts w:hint="eastAsia" w:eastAsia="宋体" w:cs="Times New Roman"/>
                <w:bCs/>
                <w:color w:val="000000" w:themeColor="text1"/>
                <w:kern w:val="0"/>
                <w14:textFill>
                  <w14:solidFill>
                    <w14:schemeClr w14:val="tx1"/>
                  </w14:solidFill>
                </w14:textFill>
              </w:rPr>
              <w:t>镇</w:t>
            </w:r>
          </w:p>
        </w:tc>
      </w:tr>
      <w:tr w14:paraId="6F1D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Align w:val="center"/>
          </w:tcPr>
          <w:p w14:paraId="407B8760">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经纬度坐标</w:t>
            </w:r>
          </w:p>
        </w:tc>
        <w:tc>
          <w:tcPr>
            <w:tcW w:w="7078" w:type="dxa"/>
            <w:gridSpan w:val="7"/>
            <w:vAlign w:val="center"/>
          </w:tcPr>
          <w:p w14:paraId="737024CA">
            <w:pPr>
              <w:widowControl w:val="0"/>
              <w:jc w:val="both"/>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东经：118°40′36″—118°40′42″；北纬：42°25′05″—42°25′10″。</w:t>
            </w:r>
          </w:p>
        </w:tc>
      </w:tr>
      <w:tr w14:paraId="14D49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Align w:val="center"/>
          </w:tcPr>
          <w:p w14:paraId="4BD92E17">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经济类型</w:t>
            </w:r>
          </w:p>
        </w:tc>
        <w:tc>
          <w:tcPr>
            <w:tcW w:w="2992" w:type="dxa"/>
            <w:gridSpan w:val="2"/>
            <w:vAlign w:val="center"/>
          </w:tcPr>
          <w:p w14:paraId="49544EF6">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有限责任公司</w:t>
            </w:r>
          </w:p>
        </w:tc>
        <w:tc>
          <w:tcPr>
            <w:tcW w:w="1545" w:type="dxa"/>
            <w:gridSpan w:val="3"/>
            <w:vAlign w:val="center"/>
          </w:tcPr>
          <w:p w14:paraId="2E37D576">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生产规模</w:t>
            </w:r>
          </w:p>
        </w:tc>
        <w:tc>
          <w:tcPr>
            <w:tcW w:w="2541" w:type="dxa"/>
            <w:gridSpan w:val="2"/>
            <w:vAlign w:val="center"/>
          </w:tcPr>
          <w:p w14:paraId="0BE7E3AB">
            <w:pPr>
              <w:widowControl w:val="0"/>
              <w:rPr>
                <w:rFonts w:eastAsia="宋体" w:cs="Times New Roman"/>
                <w:color w:val="000000" w:themeColor="text1"/>
                <w14:textFill>
                  <w14:solidFill>
                    <w14:schemeClr w14:val="tx1"/>
                  </w14:solidFill>
                </w14:textFill>
              </w:rPr>
            </w:pPr>
            <w:r>
              <w:rPr>
                <w:rFonts w:hint="eastAsia" w:eastAsia="宋体" w:cs="Times New Roman"/>
                <w:bCs/>
                <w:color w:val="000000" w:themeColor="text1"/>
                <w:kern w:val="0"/>
                <w14:textFill>
                  <w14:solidFill>
                    <w14:schemeClr w14:val="tx1"/>
                  </w14:solidFill>
                </w14:textFill>
              </w:rPr>
              <w:t>0.05</w:t>
            </w:r>
            <w:r>
              <w:rPr>
                <w:rFonts w:eastAsia="宋体" w:cs="Times New Roman"/>
                <w:bCs/>
                <w:color w:val="000000" w:themeColor="text1"/>
                <w:kern w:val="0"/>
                <w14:textFill>
                  <w14:solidFill>
                    <w14:schemeClr w14:val="tx1"/>
                  </w14:solidFill>
                </w14:textFill>
              </w:rPr>
              <w:t>万</w:t>
            </w:r>
            <w:r>
              <w:rPr>
                <w:rFonts w:hint="eastAsia" w:eastAsia="宋体" w:cs="Times New Roman"/>
                <w:bCs/>
                <w:color w:val="000000" w:themeColor="text1"/>
                <w:kern w:val="0"/>
                <w14:textFill>
                  <w14:solidFill>
                    <w14:schemeClr w14:val="tx1"/>
                  </w14:solidFill>
                </w14:textFill>
              </w:rPr>
              <w:t>吨</w:t>
            </w:r>
            <w:r>
              <w:rPr>
                <w:rFonts w:eastAsia="宋体" w:cs="Times New Roman"/>
                <w:bCs/>
                <w:color w:val="000000" w:themeColor="text1"/>
                <w:kern w:val="0"/>
                <w14:textFill>
                  <w14:solidFill>
                    <w14:schemeClr w14:val="tx1"/>
                  </w14:solidFill>
                </w14:textFill>
              </w:rPr>
              <w:t>/年</w:t>
            </w:r>
          </w:p>
        </w:tc>
      </w:tr>
      <w:tr w14:paraId="42A1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Align w:val="center"/>
          </w:tcPr>
          <w:p w14:paraId="7A115C56">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开采矿种</w:t>
            </w:r>
          </w:p>
        </w:tc>
        <w:tc>
          <w:tcPr>
            <w:tcW w:w="2992" w:type="dxa"/>
            <w:gridSpan w:val="2"/>
            <w:vAlign w:val="center"/>
          </w:tcPr>
          <w:p w14:paraId="3DDA4452">
            <w:pPr>
              <w:widowControl w:val="0"/>
              <w:rPr>
                <w:rFonts w:eastAsia="宋体" w:cs="Times New Roman"/>
                <w:color w:val="000000" w:themeColor="text1"/>
                <w14:textFill>
                  <w14:solidFill>
                    <w14:schemeClr w14:val="tx1"/>
                  </w14:solidFill>
                </w14:textFill>
              </w:rPr>
            </w:pPr>
            <w:r>
              <w:rPr>
                <w:rFonts w:hint="eastAsia" w:cs="Times New Roman"/>
                <w:bCs/>
                <w:color w:val="000000" w:themeColor="text1"/>
                <w14:textFill>
                  <w14:solidFill>
                    <w14:schemeClr w14:val="tx1"/>
                  </w14:solidFill>
                </w14:textFill>
              </w:rPr>
              <w:t>钼矿</w:t>
            </w:r>
          </w:p>
        </w:tc>
        <w:tc>
          <w:tcPr>
            <w:tcW w:w="1545" w:type="dxa"/>
            <w:gridSpan w:val="3"/>
            <w:vAlign w:val="center"/>
          </w:tcPr>
          <w:p w14:paraId="5943A06F">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采矿方式</w:t>
            </w:r>
          </w:p>
        </w:tc>
        <w:tc>
          <w:tcPr>
            <w:tcW w:w="2541" w:type="dxa"/>
            <w:gridSpan w:val="2"/>
            <w:vAlign w:val="center"/>
          </w:tcPr>
          <w:p w14:paraId="3F684FE1">
            <w:pPr>
              <w:widowControl w:val="0"/>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地下</w:t>
            </w:r>
            <w:r>
              <w:rPr>
                <w:rFonts w:eastAsia="宋体" w:cs="Times New Roman"/>
                <w:color w:val="000000" w:themeColor="text1"/>
                <w14:textFill>
                  <w14:solidFill>
                    <w14:schemeClr w14:val="tx1"/>
                  </w14:solidFill>
                </w14:textFill>
              </w:rPr>
              <w:t>开采</w:t>
            </w:r>
          </w:p>
        </w:tc>
      </w:tr>
      <w:tr w14:paraId="565C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Align w:val="center"/>
          </w:tcPr>
          <w:p w14:paraId="76C849BE">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矿区面积</w:t>
            </w:r>
          </w:p>
        </w:tc>
        <w:tc>
          <w:tcPr>
            <w:tcW w:w="2992" w:type="dxa"/>
            <w:gridSpan w:val="2"/>
            <w:vAlign w:val="center"/>
          </w:tcPr>
          <w:p w14:paraId="5CD58C75">
            <w:pPr>
              <w:widowControl w:val="0"/>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0.018</w:t>
            </w:r>
            <w:r>
              <w:rPr>
                <w:rFonts w:eastAsia="宋体" w:cs="Times New Roman"/>
                <w:color w:val="000000" w:themeColor="text1"/>
                <w14:textFill>
                  <w14:solidFill>
                    <w14:schemeClr w14:val="tx1"/>
                  </w14:solidFill>
                </w14:textFill>
              </w:rPr>
              <w:t>平方公里</w:t>
            </w:r>
          </w:p>
        </w:tc>
        <w:tc>
          <w:tcPr>
            <w:tcW w:w="1545" w:type="dxa"/>
            <w:gridSpan w:val="3"/>
            <w:vAlign w:val="center"/>
          </w:tcPr>
          <w:p w14:paraId="7FEA8962">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生产现状</w:t>
            </w:r>
          </w:p>
        </w:tc>
        <w:tc>
          <w:tcPr>
            <w:tcW w:w="2541" w:type="dxa"/>
            <w:gridSpan w:val="2"/>
            <w:vAlign w:val="center"/>
          </w:tcPr>
          <w:p w14:paraId="6C081057">
            <w:pPr>
              <w:widowControl w:val="0"/>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停产</w:t>
            </w:r>
          </w:p>
        </w:tc>
      </w:tr>
      <w:tr w14:paraId="2FD3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Align w:val="center"/>
          </w:tcPr>
          <w:p w14:paraId="39CE937F">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建矿时间</w:t>
            </w:r>
          </w:p>
        </w:tc>
        <w:tc>
          <w:tcPr>
            <w:tcW w:w="2992" w:type="dxa"/>
            <w:gridSpan w:val="2"/>
            <w:vAlign w:val="center"/>
          </w:tcPr>
          <w:p w14:paraId="42A94C43">
            <w:pPr>
              <w:pStyle w:val="2"/>
              <w:jc w:val="center"/>
              <w:rPr>
                <w:rFonts w:ascii="Times New Roman" w:cs="Times New Roman"/>
                <w:color w:val="000000" w:themeColor="text1"/>
                <w:sz w:val="21"/>
                <w:szCs w:val="21"/>
                <w14:textFill>
                  <w14:solidFill>
                    <w14:schemeClr w14:val="tx1"/>
                  </w14:solidFill>
                </w14:textFill>
              </w:rPr>
            </w:pPr>
            <w:r>
              <w:rPr>
                <w:rFonts w:ascii="Times New Roman" w:cs="Times New Roman" w:eastAsiaTheme="minorEastAsia"/>
                <w:color w:val="000000" w:themeColor="text1"/>
                <w:sz w:val="21"/>
                <w:szCs w:val="21"/>
                <w14:textFill>
                  <w14:solidFill>
                    <w14:schemeClr w14:val="tx1"/>
                  </w14:solidFill>
                </w14:textFill>
              </w:rPr>
              <w:t>20</w:t>
            </w:r>
            <w:r>
              <w:rPr>
                <w:rFonts w:hint="eastAsia" w:ascii="Times New Roman" w:cs="Times New Roman" w:eastAsiaTheme="minorEastAsia"/>
                <w:color w:val="000000" w:themeColor="text1"/>
                <w:sz w:val="21"/>
                <w:szCs w:val="21"/>
                <w14:textFill>
                  <w14:solidFill>
                    <w14:schemeClr w14:val="tx1"/>
                  </w14:solidFill>
                </w14:textFill>
              </w:rPr>
              <w:t>08</w:t>
            </w:r>
            <w:r>
              <w:rPr>
                <w:rFonts w:ascii="Times New Roman" w:cs="Times New Roman" w:eastAsiaTheme="minorEastAsia"/>
                <w:color w:val="000000" w:themeColor="text1"/>
                <w:sz w:val="21"/>
                <w:szCs w:val="21"/>
                <w14:textFill>
                  <w14:solidFill>
                    <w14:schemeClr w14:val="tx1"/>
                  </w14:solidFill>
                </w14:textFill>
              </w:rPr>
              <w:t>年</w:t>
            </w:r>
          </w:p>
        </w:tc>
        <w:tc>
          <w:tcPr>
            <w:tcW w:w="1545" w:type="dxa"/>
            <w:gridSpan w:val="3"/>
            <w:vAlign w:val="center"/>
          </w:tcPr>
          <w:p w14:paraId="06178033">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设计生产能力</w:t>
            </w:r>
          </w:p>
        </w:tc>
        <w:tc>
          <w:tcPr>
            <w:tcW w:w="2541" w:type="dxa"/>
            <w:gridSpan w:val="2"/>
            <w:vAlign w:val="center"/>
          </w:tcPr>
          <w:p w14:paraId="34D59F18">
            <w:pPr>
              <w:widowControl w:val="0"/>
              <w:rPr>
                <w:rFonts w:eastAsia="宋体" w:cs="Times New Roman"/>
                <w:color w:val="000000" w:themeColor="text1"/>
                <w14:textFill>
                  <w14:solidFill>
                    <w14:schemeClr w14:val="tx1"/>
                  </w14:solidFill>
                </w14:textFill>
              </w:rPr>
            </w:pPr>
            <w:r>
              <w:rPr>
                <w:rFonts w:hint="eastAsia" w:eastAsia="宋体" w:cs="Times New Roman"/>
                <w:bCs/>
                <w:color w:val="000000" w:themeColor="text1"/>
                <w:kern w:val="0"/>
                <w14:textFill>
                  <w14:solidFill>
                    <w14:schemeClr w14:val="tx1"/>
                  </w14:solidFill>
                </w14:textFill>
              </w:rPr>
              <w:t>0.05</w:t>
            </w:r>
            <w:r>
              <w:rPr>
                <w:rFonts w:eastAsia="宋体" w:cs="Times New Roman"/>
                <w:bCs/>
                <w:color w:val="000000" w:themeColor="text1"/>
                <w:kern w:val="0"/>
                <w14:textFill>
                  <w14:solidFill>
                    <w14:schemeClr w14:val="tx1"/>
                  </w14:solidFill>
                </w14:textFill>
              </w:rPr>
              <w:t>万</w:t>
            </w:r>
            <w:r>
              <w:rPr>
                <w:rFonts w:hint="eastAsia" w:eastAsia="宋体" w:cs="Times New Roman"/>
                <w:bCs/>
                <w:color w:val="000000" w:themeColor="text1"/>
                <w:kern w:val="0"/>
                <w14:textFill>
                  <w14:solidFill>
                    <w14:schemeClr w14:val="tx1"/>
                  </w14:solidFill>
                </w14:textFill>
              </w:rPr>
              <w:t>吨</w:t>
            </w:r>
            <w:r>
              <w:rPr>
                <w:rFonts w:eastAsia="宋体" w:cs="Times New Roman"/>
                <w:bCs/>
                <w:color w:val="000000" w:themeColor="text1"/>
                <w:kern w:val="0"/>
                <w14:textFill>
                  <w14:solidFill>
                    <w14:schemeClr w14:val="tx1"/>
                  </w14:solidFill>
                </w14:textFill>
              </w:rPr>
              <w:t>/年</w:t>
            </w:r>
          </w:p>
        </w:tc>
      </w:tr>
      <w:tr w14:paraId="3D1B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Align w:val="center"/>
          </w:tcPr>
          <w:p w14:paraId="44C522A6">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设计服务年限</w:t>
            </w:r>
          </w:p>
        </w:tc>
        <w:tc>
          <w:tcPr>
            <w:tcW w:w="2992" w:type="dxa"/>
            <w:gridSpan w:val="2"/>
            <w:vAlign w:val="center"/>
          </w:tcPr>
          <w:p w14:paraId="0530B160">
            <w:pPr>
              <w:pStyle w:val="2"/>
              <w:jc w:val="center"/>
              <w:rPr>
                <w:rFonts w:ascii="Times New Roman" w:cs="Times New Roman"/>
                <w:color w:val="000000" w:themeColor="text1"/>
                <w:sz w:val="21"/>
                <w:szCs w:val="21"/>
                <w14:textFill>
                  <w14:solidFill>
                    <w14:schemeClr w14:val="tx1"/>
                  </w14:solidFill>
                </w14:textFill>
              </w:rPr>
            </w:pPr>
            <w:r>
              <w:rPr>
                <w:rFonts w:hint="eastAsia" w:ascii="Times New Roman" w:cs="Times New Roman" w:eastAsiaTheme="minorEastAsia"/>
                <w:color w:val="000000" w:themeColor="text1"/>
                <w:sz w:val="21"/>
                <w:szCs w:val="21"/>
                <w14:textFill>
                  <w14:solidFill>
                    <w14:schemeClr w14:val="tx1"/>
                  </w14:solidFill>
                </w14:textFill>
              </w:rPr>
              <w:t>1042</w:t>
            </w:r>
            <w:r>
              <w:rPr>
                <w:rFonts w:ascii="Times New Roman" w:cs="Times New Roman" w:eastAsiaTheme="minorEastAsia"/>
                <w:color w:val="000000" w:themeColor="text1"/>
                <w:sz w:val="21"/>
                <w:szCs w:val="21"/>
                <w14:textFill>
                  <w14:solidFill>
                    <w14:schemeClr w14:val="tx1"/>
                  </w14:solidFill>
                </w14:textFill>
              </w:rPr>
              <w:t>年</w:t>
            </w:r>
          </w:p>
        </w:tc>
        <w:tc>
          <w:tcPr>
            <w:tcW w:w="1545" w:type="dxa"/>
            <w:gridSpan w:val="3"/>
            <w:vAlign w:val="center"/>
          </w:tcPr>
          <w:p w14:paraId="7242CE3F">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实际生产能力</w:t>
            </w:r>
          </w:p>
        </w:tc>
        <w:tc>
          <w:tcPr>
            <w:tcW w:w="2541" w:type="dxa"/>
            <w:gridSpan w:val="2"/>
            <w:vAlign w:val="center"/>
          </w:tcPr>
          <w:p w14:paraId="4F751FF5">
            <w:pPr>
              <w:widowControl w:val="0"/>
              <w:rPr>
                <w:rFonts w:eastAsia="宋体" w:cs="Times New Roman"/>
                <w:color w:val="000000" w:themeColor="text1"/>
                <w14:textFill>
                  <w14:solidFill>
                    <w14:schemeClr w14:val="tx1"/>
                  </w14:solidFill>
                </w14:textFill>
              </w:rPr>
            </w:pPr>
            <w:r>
              <w:rPr>
                <w:rFonts w:hint="eastAsia" w:eastAsia="宋体" w:cs="Times New Roman"/>
                <w:bCs/>
                <w:color w:val="000000" w:themeColor="text1"/>
                <w:kern w:val="0"/>
                <w14:textFill>
                  <w14:solidFill>
                    <w14:schemeClr w14:val="tx1"/>
                  </w14:solidFill>
                </w14:textFill>
              </w:rPr>
              <w:t>/</w:t>
            </w:r>
          </w:p>
        </w:tc>
      </w:tr>
      <w:tr w14:paraId="0846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Align w:val="center"/>
          </w:tcPr>
          <w:p w14:paraId="11CC7AA7">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剩余服务年限</w:t>
            </w:r>
          </w:p>
        </w:tc>
        <w:tc>
          <w:tcPr>
            <w:tcW w:w="2992" w:type="dxa"/>
            <w:gridSpan w:val="2"/>
            <w:vAlign w:val="center"/>
          </w:tcPr>
          <w:p w14:paraId="2ED63BF8">
            <w:pPr>
              <w:pStyle w:val="2"/>
              <w:jc w:val="center"/>
              <w:rPr>
                <w:rFonts w:ascii="Times New Roman" w:cs="Times New Roman"/>
                <w:color w:val="000000" w:themeColor="text1"/>
                <w:sz w:val="21"/>
                <w:szCs w:val="21"/>
                <w14:textFill>
                  <w14:solidFill>
                    <w14:schemeClr w14:val="tx1"/>
                  </w14:solidFill>
                </w14:textFill>
              </w:rPr>
            </w:pPr>
            <w:r>
              <w:rPr>
                <w:rFonts w:hint="eastAsia" w:ascii="Times New Roman" w:cs="Times New Roman" w:eastAsiaTheme="minorEastAsia"/>
                <w:color w:val="000000" w:themeColor="text1"/>
                <w:sz w:val="21"/>
                <w:szCs w:val="21"/>
                <w14:textFill>
                  <w14:solidFill>
                    <w14:schemeClr w14:val="tx1"/>
                  </w14:solidFill>
                </w14:textFill>
              </w:rPr>
              <w:t>1042</w:t>
            </w:r>
            <w:r>
              <w:rPr>
                <w:rFonts w:ascii="Times New Roman" w:cs="Times New Roman" w:eastAsiaTheme="minorEastAsia"/>
                <w:color w:val="000000" w:themeColor="text1"/>
                <w:sz w:val="21"/>
                <w:szCs w:val="21"/>
                <w14:textFill>
                  <w14:solidFill>
                    <w14:schemeClr w14:val="tx1"/>
                  </w14:solidFill>
                </w14:textFill>
              </w:rPr>
              <w:t>年</w:t>
            </w:r>
          </w:p>
        </w:tc>
        <w:tc>
          <w:tcPr>
            <w:tcW w:w="1545" w:type="dxa"/>
            <w:gridSpan w:val="3"/>
            <w:vAlign w:val="center"/>
          </w:tcPr>
          <w:p w14:paraId="2E97537B">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开采深度</w:t>
            </w:r>
          </w:p>
        </w:tc>
        <w:tc>
          <w:tcPr>
            <w:tcW w:w="2541" w:type="dxa"/>
            <w:gridSpan w:val="2"/>
            <w:vAlign w:val="center"/>
          </w:tcPr>
          <w:p w14:paraId="0E17E66A">
            <w:pPr>
              <w:widowControl w:val="0"/>
              <w:rPr>
                <w:rFonts w:eastAsia="宋体" w:cs="Times New Roman"/>
                <w:color w:val="000000" w:themeColor="text1"/>
                <w14:textFill>
                  <w14:solidFill>
                    <w14:schemeClr w14:val="tx1"/>
                  </w14:solidFill>
                </w14:textFill>
              </w:rPr>
            </w:pPr>
            <w:r>
              <w:rPr>
                <w:rFonts w:hint="eastAsia" w:eastAsia="宋体" w:cs="Times New Roman"/>
                <w:color w:val="000000" w:themeColor="text1"/>
                <w:kern w:val="0"/>
                <w14:textFill>
                  <w14:solidFill>
                    <w14:schemeClr w14:val="tx1"/>
                  </w14:solidFill>
                </w14:textFill>
              </w:rPr>
              <w:t>880</w:t>
            </w:r>
            <w:r>
              <w:rPr>
                <w:rFonts w:eastAsia="宋体" w:cs="Times New Roman"/>
                <w:color w:val="000000" w:themeColor="text1"/>
                <w:kern w:val="0"/>
                <w14:textFill>
                  <w14:solidFill>
                    <w14:schemeClr w14:val="tx1"/>
                  </w14:solidFill>
                </w14:textFill>
              </w:rPr>
              <w:t>m至</w:t>
            </w:r>
            <w:r>
              <w:rPr>
                <w:rFonts w:hint="eastAsia" w:eastAsia="宋体" w:cs="Times New Roman"/>
                <w:color w:val="000000" w:themeColor="text1"/>
                <w:kern w:val="0"/>
                <w14:textFill>
                  <w14:solidFill>
                    <w14:schemeClr w14:val="tx1"/>
                  </w14:solidFill>
                </w14:textFill>
              </w:rPr>
              <w:t>550</w:t>
            </w:r>
            <w:r>
              <w:rPr>
                <w:rFonts w:eastAsia="宋体" w:cs="Times New Roman"/>
                <w:color w:val="000000" w:themeColor="text1"/>
                <w:kern w:val="0"/>
                <w14:textFill>
                  <w14:solidFill>
                    <w14:schemeClr w14:val="tx1"/>
                  </w14:solidFill>
                </w14:textFill>
              </w:rPr>
              <w:t>m</w:t>
            </w:r>
          </w:p>
        </w:tc>
      </w:tr>
      <w:tr w14:paraId="5652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Align w:val="center"/>
          </w:tcPr>
          <w:p w14:paraId="58604CDB">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查明资源储量</w:t>
            </w:r>
          </w:p>
        </w:tc>
        <w:tc>
          <w:tcPr>
            <w:tcW w:w="2992" w:type="dxa"/>
            <w:gridSpan w:val="2"/>
            <w:vAlign w:val="center"/>
          </w:tcPr>
          <w:p w14:paraId="3874C8E5">
            <w:pPr>
              <w:pStyle w:val="2"/>
              <w:jc w:val="center"/>
              <w:rPr>
                <w:rFonts w:ascii="Times New Roman" w:cs="Times New Roman" w:eastAsiaTheme="minorEastAsia"/>
                <w:color w:val="000000" w:themeColor="text1"/>
                <w:sz w:val="21"/>
                <w:szCs w:val="21"/>
                <w14:textFill>
                  <w14:solidFill>
                    <w14:schemeClr w14:val="tx1"/>
                  </w14:solidFill>
                </w14:textFill>
              </w:rPr>
            </w:pPr>
            <w:r>
              <w:rPr>
                <w:rFonts w:hint="eastAsia" w:ascii="Times New Roman" w:cs="Times New Roman" w:eastAsiaTheme="minorEastAsia"/>
                <w:color w:val="000000" w:themeColor="text1"/>
                <w:sz w:val="21"/>
                <w:szCs w:val="21"/>
                <w14:textFill>
                  <w14:solidFill>
                    <w14:schemeClr w14:val="tx1"/>
                  </w14:solidFill>
                </w14:textFill>
              </w:rPr>
              <w:t>568.55</w:t>
            </w:r>
            <w:r>
              <w:rPr>
                <w:rFonts w:ascii="Times New Roman" w:cs="Times New Roman" w:eastAsiaTheme="minorEastAsia"/>
                <w:color w:val="000000" w:themeColor="text1"/>
                <w:sz w:val="21"/>
                <w:szCs w:val="21"/>
                <w14:textFill>
                  <w14:solidFill>
                    <w14:schemeClr w14:val="tx1"/>
                  </w14:solidFill>
                </w14:textFill>
              </w:rPr>
              <w:t>×10</w:t>
            </w:r>
            <w:r>
              <w:rPr>
                <w:rFonts w:ascii="Times New Roman" w:cs="Times New Roman" w:eastAsiaTheme="minorEastAsia"/>
                <w:color w:val="000000" w:themeColor="text1"/>
                <w:sz w:val="21"/>
                <w:szCs w:val="21"/>
                <w:vertAlign w:val="superscript"/>
                <w14:textFill>
                  <w14:solidFill>
                    <w14:schemeClr w14:val="tx1"/>
                  </w14:solidFill>
                </w14:textFill>
              </w:rPr>
              <w:t>4</w:t>
            </w:r>
            <w:r>
              <w:rPr>
                <w:rFonts w:hint="eastAsia" w:ascii="Times New Roman" w:cs="Times New Roman" w:eastAsiaTheme="minorEastAsia"/>
                <w:color w:val="000000" w:themeColor="text1"/>
                <w:szCs w:val="21"/>
                <w14:textFill>
                  <w14:solidFill>
                    <w14:schemeClr w14:val="tx1"/>
                  </w14:solidFill>
                </w14:textFill>
              </w:rPr>
              <w:t>t</w:t>
            </w:r>
          </w:p>
        </w:tc>
        <w:tc>
          <w:tcPr>
            <w:tcW w:w="1545" w:type="dxa"/>
            <w:gridSpan w:val="3"/>
            <w:vAlign w:val="center"/>
          </w:tcPr>
          <w:p w14:paraId="4CFDDBFB">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剩余资源储量</w:t>
            </w:r>
          </w:p>
        </w:tc>
        <w:tc>
          <w:tcPr>
            <w:tcW w:w="2541" w:type="dxa"/>
            <w:gridSpan w:val="2"/>
            <w:vAlign w:val="center"/>
          </w:tcPr>
          <w:p w14:paraId="64F3828E">
            <w:pPr>
              <w:widowControl w:val="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568.55</w:t>
            </w:r>
            <w:r>
              <w:rPr>
                <w:rFonts w:cs="Times New Roman"/>
                <w:color w:val="000000" w:themeColor="text1"/>
                <w14:textFill>
                  <w14:solidFill>
                    <w14:schemeClr w14:val="tx1"/>
                  </w14:solidFill>
                </w14:textFill>
              </w:rPr>
              <w:t>×10</w:t>
            </w:r>
            <w:r>
              <w:rPr>
                <w:rFonts w:cs="Times New Roman"/>
                <w:color w:val="000000" w:themeColor="text1"/>
                <w:vertAlign w:val="superscript"/>
                <w14:textFill>
                  <w14:solidFill>
                    <w14:schemeClr w14:val="tx1"/>
                  </w14:solidFill>
                </w14:textFill>
              </w:rPr>
              <w:t>4</w:t>
            </w:r>
            <w:r>
              <w:rPr>
                <w:rFonts w:hint="eastAsia" w:cs="Times New Roman"/>
                <w:color w:val="000000" w:themeColor="text1"/>
                <w14:textFill>
                  <w14:solidFill>
                    <w14:schemeClr w14:val="tx1"/>
                  </w14:solidFill>
                </w14:textFill>
              </w:rPr>
              <w:t>t</w:t>
            </w:r>
          </w:p>
        </w:tc>
      </w:tr>
      <w:tr w14:paraId="2674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Merge w:val="restart"/>
            <w:vAlign w:val="center"/>
          </w:tcPr>
          <w:p w14:paraId="6014964D">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矿区范围</w:t>
            </w:r>
          </w:p>
          <w:p w14:paraId="7D49B065">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拐点坐标</w:t>
            </w:r>
          </w:p>
        </w:tc>
        <w:tc>
          <w:tcPr>
            <w:tcW w:w="7078" w:type="dxa"/>
            <w:gridSpan w:val="7"/>
            <w:vAlign w:val="center"/>
          </w:tcPr>
          <w:p w14:paraId="168BACBC">
            <w:pPr>
              <w:widowControl w:val="0"/>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2000国家大地</w:t>
            </w:r>
            <w:r>
              <w:rPr>
                <w:rFonts w:eastAsia="宋体" w:cs="Times New Roman"/>
                <w:color w:val="000000" w:themeColor="text1"/>
                <w14:textFill>
                  <w14:solidFill>
                    <w14:schemeClr w14:val="tx1"/>
                  </w14:solidFill>
                </w14:textFill>
              </w:rPr>
              <w:t>坐标系</w:t>
            </w:r>
          </w:p>
        </w:tc>
      </w:tr>
      <w:tr w14:paraId="4217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Merge w:val="continue"/>
            <w:vAlign w:val="center"/>
          </w:tcPr>
          <w:p w14:paraId="2C23ECF7">
            <w:pPr>
              <w:widowControl w:val="0"/>
              <w:rPr>
                <w:rFonts w:eastAsia="宋体" w:cs="Times New Roman"/>
                <w:color w:val="000000" w:themeColor="text1"/>
                <w14:textFill>
                  <w14:solidFill>
                    <w14:schemeClr w14:val="tx1"/>
                  </w14:solidFill>
                </w14:textFill>
              </w:rPr>
            </w:pPr>
          </w:p>
        </w:tc>
        <w:tc>
          <w:tcPr>
            <w:tcW w:w="1882" w:type="dxa"/>
            <w:vAlign w:val="center"/>
          </w:tcPr>
          <w:p w14:paraId="70283769">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拐点编号</w:t>
            </w:r>
          </w:p>
        </w:tc>
        <w:tc>
          <w:tcPr>
            <w:tcW w:w="2598" w:type="dxa"/>
            <w:gridSpan w:val="3"/>
            <w:vAlign w:val="center"/>
          </w:tcPr>
          <w:p w14:paraId="268745B7">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X</w:t>
            </w:r>
          </w:p>
        </w:tc>
        <w:tc>
          <w:tcPr>
            <w:tcW w:w="2598" w:type="dxa"/>
            <w:gridSpan w:val="3"/>
            <w:vAlign w:val="center"/>
          </w:tcPr>
          <w:p w14:paraId="7D915DAE">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Y</w:t>
            </w:r>
          </w:p>
        </w:tc>
      </w:tr>
      <w:tr w14:paraId="372FC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Merge w:val="continue"/>
            <w:vAlign w:val="center"/>
          </w:tcPr>
          <w:p w14:paraId="073BA7FF">
            <w:pPr>
              <w:widowControl w:val="0"/>
              <w:rPr>
                <w:rFonts w:eastAsia="宋体" w:cs="Times New Roman"/>
                <w:color w:val="000000" w:themeColor="text1"/>
                <w14:textFill>
                  <w14:solidFill>
                    <w14:schemeClr w14:val="tx1"/>
                  </w14:solidFill>
                </w14:textFill>
              </w:rPr>
            </w:pPr>
          </w:p>
        </w:tc>
        <w:tc>
          <w:tcPr>
            <w:tcW w:w="1882" w:type="dxa"/>
            <w:vAlign w:val="center"/>
          </w:tcPr>
          <w:p w14:paraId="363A80D5">
            <w:pPr>
              <w:widowControl/>
              <w:adjustRightInd/>
              <w:snapToGrid/>
              <w:rPr>
                <w:rFonts w:eastAsia="宋体" w:cs="Times New Roman"/>
                <w:color w:val="000000" w:themeColor="text1"/>
                <w14:textFill>
                  <w14:solidFill>
                    <w14:schemeClr w14:val="tx1"/>
                  </w14:solidFill>
                </w14:textFill>
              </w:rPr>
            </w:pPr>
            <w:r>
              <w:rPr>
                <w:rFonts w:cs="Times New Roman"/>
                <w:color w:val="000000" w:themeColor="text1"/>
                <w:kern w:val="0"/>
                <w14:textFill>
                  <w14:solidFill>
                    <w14:schemeClr w14:val="tx1"/>
                  </w14:solidFill>
                </w14:textFill>
              </w:rPr>
              <w:t>1</w:t>
            </w:r>
          </w:p>
        </w:tc>
        <w:tc>
          <w:tcPr>
            <w:tcW w:w="2598" w:type="dxa"/>
            <w:gridSpan w:val="3"/>
            <w:vAlign w:val="center"/>
          </w:tcPr>
          <w:p w14:paraId="7F0A0D2E">
            <w:pPr>
              <w:widowControl/>
              <w:adjustRightInd/>
              <w:snapToGrid/>
              <w:rPr>
                <w:rFonts w:eastAsia="宋体" w:cs="Times New Roman"/>
                <w:color w:val="000000" w:themeColor="text1"/>
                <w14:textFill>
                  <w14:solidFill>
                    <w14:schemeClr w14:val="tx1"/>
                  </w14:solidFill>
                </w14:textFill>
              </w:rPr>
            </w:pPr>
            <w:r>
              <w:rPr>
                <w:rFonts w:hint="eastAsia" w:eastAsia="宋体" w:cs="Times New Roman"/>
                <w:color w:val="000000" w:themeColor="text1"/>
                <w:kern w:val="0"/>
                <w14:textFill>
                  <w14:solidFill>
                    <w14:schemeClr w14:val="tx1"/>
                  </w14:solidFill>
                </w14:textFill>
              </w:rPr>
              <w:t>4699050.2316</w:t>
            </w:r>
          </w:p>
        </w:tc>
        <w:tc>
          <w:tcPr>
            <w:tcW w:w="2598" w:type="dxa"/>
            <w:gridSpan w:val="3"/>
            <w:vAlign w:val="center"/>
          </w:tcPr>
          <w:p w14:paraId="7665E38F">
            <w:pPr>
              <w:widowControl/>
              <w:adjustRightInd/>
              <w:snapToGrid/>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40391055.8845</w:t>
            </w:r>
          </w:p>
        </w:tc>
      </w:tr>
      <w:tr w14:paraId="3F54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Merge w:val="continue"/>
            <w:vAlign w:val="center"/>
          </w:tcPr>
          <w:p w14:paraId="0FD610C2">
            <w:pPr>
              <w:widowControl w:val="0"/>
              <w:rPr>
                <w:rFonts w:eastAsia="宋体" w:cs="Times New Roman"/>
                <w:color w:val="000000" w:themeColor="text1"/>
                <w14:textFill>
                  <w14:solidFill>
                    <w14:schemeClr w14:val="tx1"/>
                  </w14:solidFill>
                </w14:textFill>
              </w:rPr>
            </w:pPr>
          </w:p>
        </w:tc>
        <w:tc>
          <w:tcPr>
            <w:tcW w:w="1882" w:type="dxa"/>
            <w:vAlign w:val="center"/>
          </w:tcPr>
          <w:p w14:paraId="4FB9E591">
            <w:pPr>
              <w:widowControl/>
              <w:adjustRightInd/>
              <w:snapToGrid/>
              <w:rPr>
                <w:rFonts w:eastAsia="宋体" w:cs="Times New Roman"/>
                <w:color w:val="000000" w:themeColor="text1"/>
                <w14:textFill>
                  <w14:solidFill>
                    <w14:schemeClr w14:val="tx1"/>
                  </w14:solidFill>
                </w14:textFill>
              </w:rPr>
            </w:pPr>
            <w:r>
              <w:rPr>
                <w:rFonts w:cs="Times New Roman"/>
                <w:color w:val="000000" w:themeColor="text1"/>
                <w:kern w:val="0"/>
                <w14:textFill>
                  <w14:solidFill>
                    <w14:schemeClr w14:val="tx1"/>
                  </w14:solidFill>
                </w14:textFill>
              </w:rPr>
              <w:t>2</w:t>
            </w:r>
          </w:p>
        </w:tc>
        <w:tc>
          <w:tcPr>
            <w:tcW w:w="2598" w:type="dxa"/>
            <w:gridSpan w:val="3"/>
            <w:vAlign w:val="center"/>
          </w:tcPr>
          <w:p w14:paraId="749C16A0">
            <w:pPr>
              <w:widowControl/>
              <w:adjustRightInd/>
              <w:snapToGrid/>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4699046.0018</w:t>
            </w:r>
          </w:p>
        </w:tc>
        <w:tc>
          <w:tcPr>
            <w:tcW w:w="2598" w:type="dxa"/>
            <w:gridSpan w:val="3"/>
            <w:vAlign w:val="center"/>
          </w:tcPr>
          <w:p w14:paraId="1102D6FF">
            <w:pPr>
              <w:widowControl/>
              <w:adjustRightInd/>
              <w:snapToGrid/>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40391175.8048</w:t>
            </w:r>
          </w:p>
        </w:tc>
      </w:tr>
      <w:tr w14:paraId="0657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Merge w:val="continue"/>
            <w:vAlign w:val="center"/>
          </w:tcPr>
          <w:p w14:paraId="08BDB4AE">
            <w:pPr>
              <w:widowControl w:val="0"/>
              <w:rPr>
                <w:rFonts w:eastAsia="宋体" w:cs="Times New Roman"/>
                <w:color w:val="000000" w:themeColor="text1"/>
                <w14:textFill>
                  <w14:solidFill>
                    <w14:schemeClr w14:val="tx1"/>
                  </w14:solidFill>
                </w14:textFill>
              </w:rPr>
            </w:pPr>
          </w:p>
        </w:tc>
        <w:tc>
          <w:tcPr>
            <w:tcW w:w="1882" w:type="dxa"/>
            <w:vAlign w:val="center"/>
          </w:tcPr>
          <w:p w14:paraId="44446B78">
            <w:pPr>
              <w:widowControl/>
              <w:adjustRightInd/>
              <w:snapToGrid/>
              <w:rPr>
                <w:rFonts w:eastAsia="宋体" w:cs="Times New Roman"/>
                <w:color w:val="000000" w:themeColor="text1"/>
                <w14:textFill>
                  <w14:solidFill>
                    <w14:schemeClr w14:val="tx1"/>
                  </w14:solidFill>
                </w14:textFill>
              </w:rPr>
            </w:pPr>
            <w:r>
              <w:rPr>
                <w:rFonts w:cs="Times New Roman"/>
                <w:color w:val="000000" w:themeColor="text1"/>
                <w:kern w:val="0"/>
                <w14:textFill>
                  <w14:solidFill>
                    <w14:schemeClr w14:val="tx1"/>
                  </w14:solidFill>
                </w14:textFill>
              </w:rPr>
              <w:t>3</w:t>
            </w:r>
          </w:p>
        </w:tc>
        <w:tc>
          <w:tcPr>
            <w:tcW w:w="2598" w:type="dxa"/>
            <w:gridSpan w:val="3"/>
            <w:vAlign w:val="center"/>
          </w:tcPr>
          <w:p w14:paraId="1E377522">
            <w:pPr>
              <w:widowControl/>
              <w:adjustRightInd/>
              <w:snapToGrid/>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4699195.8921</w:t>
            </w:r>
          </w:p>
        </w:tc>
        <w:tc>
          <w:tcPr>
            <w:tcW w:w="2598" w:type="dxa"/>
            <w:gridSpan w:val="3"/>
            <w:vAlign w:val="center"/>
          </w:tcPr>
          <w:p w14:paraId="4AC53AD5">
            <w:pPr>
              <w:widowControl/>
              <w:adjustRightInd/>
              <w:snapToGrid/>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40391181.0945</w:t>
            </w:r>
          </w:p>
        </w:tc>
      </w:tr>
      <w:tr w14:paraId="0661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Merge w:val="continue"/>
            <w:vAlign w:val="center"/>
          </w:tcPr>
          <w:p w14:paraId="2C1858DB">
            <w:pPr>
              <w:widowControl w:val="0"/>
              <w:rPr>
                <w:rFonts w:eastAsia="宋体" w:cs="Times New Roman"/>
                <w:color w:val="000000" w:themeColor="text1"/>
                <w14:textFill>
                  <w14:solidFill>
                    <w14:schemeClr w14:val="tx1"/>
                  </w14:solidFill>
                </w14:textFill>
              </w:rPr>
            </w:pPr>
          </w:p>
        </w:tc>
        <w:tc>
          <w:tcPr>
            <w:tcW w:w="1882" w:type="dxa"/>
            <w:vAlign w:val="center"/>
          </w:tcPr>
          <w:p w14:paraId="52912DBE">
            <w:pPr>
              <w:widowControl/>
              <w:adjustRightInd/>
              <w:snapToGrid/>
              <w:rPr>
                <w:rFonts w:eastAsia="宋体" w:cs="Times New Roman"/>
                <w:color w:val="000000" w:themeColor="text1"/>
                <w14:textFill>
                  <w14:solidFill>
                    <w14:schemeClr w14:val="tx1"/>
                  </w14:solidFill>
                </w14:textFill>
              </w:rPr>
            </w:pPr>
            <w:r>
              <w:rPr>
                <w:rFonts w:cs="Times New Roman"/>
                <w:color w:val="000000" w:themeColor="text1"/>
                <w:kern w:val="0"/>
                <w14:textFill>
                  <w14:solidFill>
                    <w14:schemeClr w14:val="tx1"/>
                  </w14:solidFill>
                </w14:textFill>
              </w:rPr>
              <w:t>4</w:t>
            </w:r>
          </w:p>
        </w:tc>
        <w:tc>
          <w:tcPr>
            <w:tcW w:w="2598" w:type="dxa"/>
            <w:gridSpan w:val="3"/>
            <w:vAlign w:val="center"/>
          </w:tcPr>
          <w:p w14:paraId="1B957E56">
            <w:pPr>
              <w:widowControl/>
              <w:adjustRightInd/>
              <w:snapToGrid/>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4699200.1318</w:t>
            </w:r>
          </w:p>
        </w:tc>
        <w:tc>
          <w:tcPr>
            <w:tcW w:w="2598" w:type="dxa"/>
            <w:gridSpan w:val="3"/>
            <w:vAlign w:val="center"/>
          </w:tcPr>
          <w:p w14:paraId="79C07577">
            <w:pPr>
              <w:widowControl/>
              <w:adjustRightInd/>
              <w:snapToGrid/>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40391061.1842</w:t>
            </w:r>
          </w:p>
        </w:tc>
      </w:tr>
      <w:tr w14:paraId="1BF0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Merge w:val="continue"/>
            <w:vAlign w:val="center"/>
          </w:tcPr>
          <w:p w14:paraId="46DF8F6C">
            <w:pPr>
              <w:widowControl w:val="0"/>
              <w:rPr>
                <w:rFonts w:eastAsia="宋体" w:cs="Times New Roman"/>
                <w:color w:val="000000" w:themeColor="text1"/>
                <w14:textFill>
                  <w14:solidFill>
                    <w14:schemeClr w14:val="tx1"/>
                  </w14:solidFill>
                </w14:textFill>
              </w:rPr>
            </w:pPr>
          </w:p>
        </w:tc>
        <w:tc>
          <w:tcPr>
            <w:tcW w:w="7078" w:type="dxa"/>
            <w:gridSpan w:val="7"/>
            <w:vAlign w:val="center"/>
          </w:tcPr>
          <w:p w14:paraId="6332FAB5">
            <w:pPr>
              <w:widowControl/>
              <w:adjustRightInd/>
              <w:snapToGrid/>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开采深度：880m至550m标高</w:t>
            </w:r>
          </w:p>
        </w:tc>
      </w:tr>
      <w:tr w14:paraId="5818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Align w:val="center"/>
          </w:tcPr>
          <w:p w14:paraId="1957DD6B">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基金计提</w:t>
            </w:r>
          </w:p>
        </w:tc>
        <w:tc>
          <w:tcPr>
            <w:tcW w:w="2992" w:type="dxa"/>
            <w:gridSpan w:val="2"/>
            <w:vAlign w:val="center"/>
          </w:tcPr>
          <w:p w14:paraId="6A6C9F20">
            <w:pPr>
              <w:widowControl w:val="0"/>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未计提</w:t>
            </w:r>
          </w:p>
        </w:tc>
        <w:tc>
          <w:tcPr>
            <w:tcW w:w="1545" w:type="dxa"/>
            <w:gridSpan w:val="3"/>
            <w:vAlign w:val="center"/>
          </w:tcPr>
          <w:p w14:paraId="4002001D">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基金使用</w:t>
            </w:r>
          </w:p>
        </w:tc>
        <w:tc>
          <w:tcPr>
            <w:tcW w:w="2541" w:type="dxa"/>
            <w:gridSpan w:val="2"/>
            <w:vAlign w:val="center"/>
          </w:tcPr>
          <w:p w14:paraId="6A4F6896">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未使用</w:t>
            </w:r>
          </w:p>
        </w:tc>
      </w:tr>
      <w:tr w14:paraId="69495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724" w:type="dxa"/>
            <w:gridSpan w:val="8"/>
            <w:vAlign w:val="center"/>
          </w:tcPr>
          <w:p w14:paraId="12D68715">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矿山企业联系方式</w:t>
            </w:r>
          </w:p>
        </w:tc>
      </w:tr>
      <w:tr w14:paraId="4AAF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shd w:val="clear" w:color="auto" w:fill="auto"/>
            <w:vAlign w:val="center"/>
          </w:tcPr>
          <w:p w14:paraId="7791CC87">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联系人</w:t>
            </w:r>
          </w:p>
        </w:tc>
        <w:tc>
          <w:tcPr>
            <w:tcW w:w="3900" w:type="dxa"/>
            <w:gridSpan w:val="3"/>
            <w:shd w:val="clear" w:color="auto" w:fill="auto"/>
            <w:vAlign w:val="center"/>
          </w:tcPr>
          <w:p w14:paraId="40A3A7B0">
            <w:pPr>
              <w:pStyle w:val="2"/>
              <w:ind w:firstLine="420"/>
              <w:jc w:val="center"/>
              <w:rPr>
                <w:rFonts w:ascii="Times New Roman"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郭平</w:t>
            </w:r>
          </w:p>
        </w:tc>
        <w:tc>
          <w:tcPr>
            <w:tcW w:w="1159" w:type="dxa"/>
            <w:gridSpan w:val="3"/>
            <w:vAlign w:val="center"/>
          </w:tcPr>
          <w:p w14:paraId="79ABCCE9">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手机号</w:t>
            </w:r>
          </w:p>
        </w:tc>
        <w:tc>
          <w:tcPr>
            <w:tcW w:w="2019" w:type="dxa"/>
            <w:vAlign w:val="center"/>
          </w:tcPr>
          <w:p w14:paraId="1F883798">
            <w:pPr>
              <w:widowControl/>
              <w:adjustRightInd/>
              <w:snapToGrid/>
              <w:rPr>
                <w:rFonts w:cs="Times New Roman"/>
                <w:color w:val="000000" w:themeColor="text1"/>
                <w:kern w:val="0"/>
                <w14:textFill>
                  <w14:solidFill>
                    <w14:schemeClr w14:val="tx1"/>
                  </w14:solidFill>
                </w14:textFill>
              </w:rPr>
            </w:pPr>
            <w:r>
              <w:rPr>
                <w:rFonts w:hint="eastAsia" w:cs="Times New Roman"/>
                <w:color w:val="000000" w:themeColor="text1"/>
                <w:kern w:val="0"/>
                <w14:textFill>
                  <w14:solidFill>
                    <w14:schemeClr w14:val="tx1"/>
                  </w14:solidFill>
                </w14:textFill>
              </w:rPr>
              <w:t>15774955557</w:t>
            </w:r>
          </w:p>
        </w:tc>
      </w:tr>
      <w:tr w14:paraId="60FE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Align w:val="center"/>
          </w:tcPr>
          <w:p w14:paraId="42576C5A">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通讯地址</w:t>
            </w:r>
          </w:p>
        </w:tc>
        <w:tc>
          <w:tcPr>
            <w:tcW w:w="3900" w:type="dxa"/>
            <w:gridSpan w:val="3"/>
            <w:vAlign w:val="center"/>
          </w:tcPr>
          <w:p w14:paraId="5FC39D83">
            <w:pPr>
              <w:pStyle w:val="2"/>
              <w:jc w:val="center"/>
              <w:rPr>
                <w:rFonts w:ascii="Times New Roman" w:cs="Times New Roman"/>
                <w:color w:val="000000" w:themeColor="text1"/>
                <w:sz w:val="21"/>
                <w:szCs w:val="21"/>
                <w14:textFill>
                  <w14:solidFill>
                    <w14:schemeClr w14:val="tx1"/>
                  </w14:solidFill>
                </w14:textFill>
              </w:rPr>
            </w:pPr>
            <w:r>
              <w:rPr>
                <w:rFonts w:ascii="Times New Roman" w:cs="Times New Roman"/>
                <w:bCs/>
                <w:color w:val="000000" w:themeColor="text1"/>
                <w:sz w:val="21"/>
                <w:szCs w:val="21"/>
                <w14:textFill>
                  <w14:solidFill>
                    <w14:schemeClr w14:val="tx1"/>
                  </w14:solidFill>
                </w14:textFill>
              </w:rPr>
              <w:t>赤峰市松山区关家营</w:t>
            </w:r>
            <w:r>
              <w:rPr>
                <w:rFonts w:hint="eastAsia" w:cs="Times New Roman"/>
                <w:bCs/>
                <w:color w:val="000000" w:themeColor="text1"/>
                <w:sz w:val="21"/>
                <w:szCs w:val="21"/>
                <w14:textFill>
                  <w14:solidFill>
                    <w14:schemeClr w14:val="tx1"/>
                  </w14:solidFill>
                </w14:textFill>
              </w:rPr>
              <w:t>镇</w:t>
            </w:r>
          </w:p>
        </w:tc>
        <w:tc>
          <w:tcPr>
            <w:tcW w:w="1159" w:type="dxa"/>
            <w:gridSpan w:val="3"/>
            <w:vAlign w:val="center"/>
          </w:tcPr>
          <w:p w14:paraId="769206BD">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邮编</w:t>
            </w:r>
          </w:p>
        </w:tc>
        <w:tc>
          <w:tcPr>
            <w:tcW w:w="2019" w:type="dxa"/>
            <w:vAlign w:val="center"/>
          </w:tcPr>
          <w:p w14:paraId="2DD06171">
            <w:pPr>
              <w:widowControl/>
              <w:adjustRightInd/>
              <w:snapToGrid/>
              <w:rPr>
                <w:rFonts w:cs="Times New Roman"/>
                <w:color w:val="000000" w:themeColor="text1"/>
                <w:kern w:val="0"/>
                <w14:textFill>
                  <w14:solidFill>
                    <w14:schemeClr w14:val="tx1"/>
                  </w14:solidFill>
                </w14:textFill>
              </w:rPr>
            </w:pPr>
            <w:r>
              <w:rPr>
                <w:rFonts w:hint="eastAsia" w:cs="Times New Roman"/>
                <w:color w:val="000000" w:themeColor="text1"/>
                <w:kern w:val="0"/>
                <w14:textFill>
                  <w14:solidFill>
                    <w14:schemeClr w14:val="tx1"/>
                  </w14:solidFill>
                </w14:textFill>
              </w:rPr>
              <w:t>025150</w:t>
            </w:r>
          </w:p>
        </w:tc>
      </w:tr>
      <w:tr w14:paraId="3449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Align w:val="center"/>
          </w:tcPr>
          <w:p w14:paraId="0A5A17C1">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固定电话</w:t>
            </w:r>
          </w:p>
        </w:tc>
        <w:tc>
          <w:tcPr>
            <w:tcW w:w="2992" w:type="dxa"/>
            <w:gridSpan w:val="2"/>
            <w:vAlign w:val="center"/>
          </w:tcPr>
          <w:p w14:paraId="3697BF95">
            <w:pPr>
              <w:widowControl w:val="0"/>
              <w:rPr>
                <w:rFonts w:eastAsia="宋体" w:cs="Times New Roman"/>
                <w:color w:val="000000" w:themeColor="text1"/>
                <w14:textFill>
                  <w14:solidFill>
                    <w14:schemeClr w14:val="tx1"/>
                  </w14:solidFill>
                </w14:textFill>
              </w:rPr>
            </w:pPr>
          </w:p>
        </w:tc>
        <w:tc>
          <w:tcPr>
            <w:tcW w:w="1545" w:type="dxa"/>
            <w:gridSpan w:val="3"/>
            <w:vAlign w:val="center"/>
          </w:tcPr>
          <w:p w14:paraId="16AEA216">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E-mail</w:t>
            </w:r>
          </w:p>
        </w:tc>
        <w:tc>
          <w:tcPr>
            <w:tcW w:w="2541" w:type="dxa"/>
            <w:gridSpan w:val="2"/>
            <w:vAlign w:val="center"/>
          </w:tcPr>
          <w:p w14:paraId="00240046">
            <w:pPr>
              <w:widowControl w:val="0"/>
              <w:rPr>
                <w:rFonts w:eastAsia="宋体" w:cs="Times New Roman"/>
                <w:color w:val="000000" w:themeColor="text1"/>
                <w14:textFill>
                  <w14:solidFill>
                    <w14:schemeClr w14:val="tx1"/>
                  </w14:solidFill>
                </w14:textFill>
              </w:rPr>
            </w:pPr>
          </w:p>
        </w:tc>
      </w:tr>
    </w:tbl>
    <w:p w14:paraId="2E61A414">
      <w:pPr>
        <w:rPr>
          <w:rFonts w:eastAsia="宋体" w:cs="Times New Roman"/>
          <w:color w:val="FF0000"/>
          <w:sz w:val="28"/>
          <w:szCs w:val="28"/>
        </w:rPr>
      </w:pPr>
      <w:r>
        <w:rPr>
          <w:rFonts w:eastAsia="宋体" w:cs="Times New Roman"/>
          <w:color w:val="FF0000"/>
          <w:sz w:val="28"/>
          <w:szCs w:val="28"/>
        </w:rPr>
        <w:br w:type="page"/>
      </w:r>
    </w:p>
    <w:p w14:paraId="425B5B59">
      <w:pPr>
        <w:numPr>
          <w:ilvl w:val="0"/>
          <w:numId w:val="1"/>
        </w:numPr>
        <w:spacing w:line="360" w:lineRule="auto"/>
        <w:outlineLvl w:val="0"/>
        <w:rPr>
          <w:rFonts w:eastAsia="宋体" w:cs="Times New Roman"/>
          <w:b/>
          <w:bCs/>
          <w:color w:val="000000" w:themeColor="text1"/>
          <w:sz w:val="36"/>
          <w:szCs w:val="36"/>
          <w14:textFill>
            <w14:solidFill>
              <w14:schemeClr w14:val="tx1"/>
            </w14:solidFill>
          </w14:textFill>
        </w:rPr>
      </w:pPr>
      <w:r>
        <w:rPr>
          <w:rFonts w:eastAsia="宋体" w:cs="Times New Roman"/>
          <w:b/>
          <w:bCs/>
          <w:color w:val="000000" w:themeColor="text1"/>
          <w:sz w:val="36"/>
          <w:szCs w:val="36"/>
          <w14:textFill>
            <w14:solidFill>
              <w14:schemeClr w14:val="tx1"/>
            </w14:solidFill>
          </w14:textFill>
        </w:rPr>
        <w:t xml:space="preserve"> </w:t>
      </w:r>
      <w:bookmarkStart w:id="5" w:name="_Toc5378"/>
      <w:bookmarkStart w:id="6" w:name="_Toc5509"/>
      <w:r>
        <w:rPr>
          <w:rFonts w:eastAsia="宋体" w:cs="Times New Roman"/>
          <w:b/>
          <w:bCs/>
          <w:color w:val="000000" w:themeColor="text1"/>
          <w:sz w:val="36"/>
          <w:szCs w:val="36"/>
          <w14:textFill>
            <w14:solidFill>
              <w14:schemeClr w14:val="tx1"/>
            </w14:solidFill>
          </w14:textFill>
        </w:rPr>
        <w:t>矿山地质环境治理方案的编制与执行情况</w:t>
      </w:r>
      <w:bookmarkEnd w:id="5"/>
      <w:bookmarkEnd w:id="6"/>
    </w:p>
    <w:p w14:paraId="387E43A5">
      <w:pPr>
        <w:numPr>
          <w:ilvl w:val="0"/>
          <w:numId w:val="2"/>
        </w:numPr>
        <w:spacing w:line="360" w:lineRule="auto"/>
        <w:jc w:val="both"/>
        <w:outlineLvl w:val="1"/>
        <w:rPr>
          <w:rFonts w:eastAsia="宋体" w:cs="Times New Roman"/>
          <w:b/>
          <w:bCs/>
          <w:color w:val="000000" w:themeColor="text1"/>
          <w:sz w:val="32"/>
          <w:szCs w:val="32"/>
          <w14:textFill>
            <w14:solidFill>
              <w14:schemeClr w14:val="tx1"/>
            </w14:solidFill>
          </w14:textFill>
        </w:rPr>
      </w:pPr>
      <w:bookmarkStart w:id="7" w:name="_Toc14881"/>
      <w:bookmarkStart w:id="8" w:name="_Toc20413"/>
      <w:r>
        <w:rPr>
          <w:rFonts w:eastAsia="宋体" w:cs="Times New Roman"/>
          <w:b/>
          <w:bCs/>
          <w:color w:val="000000" w:themeColor="text1"/>
          <w:sz w:val="32"/>
          <w:szCs w:val="32"/>
          <w14:textFill>
            <w14:solidFill>
              <w14:schemeClr w14:val="tx1"/>
            </w14:solidFill>
          </w14:textFill>
        </w:rPr>
        <w:t>方案编制概况</w:t>
      </w:r>
      <w:bookmarkEnd w:id="7"/>
      <w:bookmarkEnd w:id="8"/>
    </w:p>
    <w:p w14:paraId="6FBCFC85">
      <w:pPr>
        <w:pStyle w:val="2"/>
        <w:spacing w:line="360" w:lineRule="auto"/>
        <w:ind w:firstLine="480" w:firstLineChars="200"/>
        <w:rPr>
          <w:rFonts w:ascii="Times New Roman" w:cs="Times New Roman"/>
          <w:color w:val="000000" w:themeColor="text1"/>
          <w14:textFill>
            <w14:solidFill>
              <w14:schemeClr w14:val="tx1"/>
            </w14:solidFill>
          </w14:textFill>
        </w:rPr>
      </w:pPr>
      <w:r>
        <w:rPr>
          <w:rFonts w:hint="eastAsia" w:ascii="Times New Roman" w:cs="Times New Roman"/>
          <w:color w:val="000000" w:themeColor="text1"/>
          <w14:textFill>
            <w14:solidFill>
              <w14:schemeClr w14:val="tx1"/>
            </w14:solidFill>
          </w14:textFill>
        </w:rPr>
        <w:t>1、2012年5月，委托赤峰冠诚地质勘查有限责任公司编制的《内蒙古自治区赤峰市松山区关家营矿区（赤峰市松山区关家营环球钼矿有限责任公司）钼矿矿山地质环境保护与治理恢复方案》；</w:t>
      </w:r>
    </w:p>
    <w:p w14:paraId="0B27FD65">
      <w:pPr>
        <w:pStyle w:val="2"/>
        <w:spacing w:line="360" w:lineRule="auto"/>
        <w:ind w:firstLine="480" w:firstLineChars="200"/>
        <w:rPr>
          <w:rFonts w:ascii="Times New Roman" w:cs="Times New Roman"/>
          <w:color w:val="000000" w:themeColor="text1"/>
          <w14:textFill>
            <w14:solidFill>
              <w14:schemeClr w14:val="tx1"/>
            </w14:solidFill>
          </w14:textFill>
        </w:rPr>
      </w:pPr>
      <w:r>
        <w:rPr>
          <w:rFonts w:hint="eastAsia" w:ascii="Times New Roman" w:cs="Times New Roman"/>
          <w:color w:val="000000" w:themeColor="text1"/>
          <w14:textFill>
            <w14:solidFill>
              <w14:schemeClr w14:val="tx1"/>
            </w14:solidFill>
          </w14:textFill>
        </w:rPr>
        <w:t>2、2014年7月，委托赤峰冠诚地质勘查有限责任公司编制的《内蒙古自治区赤峰市松山区关家营矿区（赤峰市松山区关家营环球钼矿有限责任公司）钼矿矿山地质环境分期治理及土地复垦方案（2013.1.1-2014.8.1）》；</w:t>
      </w:r>
    </w:p>
    <w:p w14:paraId="5CE898AA">
      <w:pPr>
        <w:pStyle w:val="2"/>
        <w:spacing w:line="360" w:lineRule="auto"/>
        <w:ind w:firstLine="480" w:firstLineChars="200"/>
        <w:rPr>
          <w:rFonts w:ascii="Times New Roman" w:cs="Times New Roman"/>
          <w:color w:val="000000" w:themeColor="text1"/>
          <w14:textFill>
            <w14:solidFill>
              <w14:schemeClr w14:val="tx1"/>
            </w14:solidFill>
          </w14:textFill>
        </w:rPr>
      </w:pPr>
      <w:r>
        <w:rPr>
          <w:rFonts w:hint="eastAsia" w:ascii="Times New Roman" w:cs="Times New Roman"/>
          <w:color w:val="000000" w:themeColor="text1"/>
          <w14:textFill>
            <w14:solidFill>
              <w14:schemeClr w14:val="tx1"/>
            </w14:solidFill>
          </w14:textFill>
        </w:rPr>
        <w:t>3、2018年3月1日委托内蒙古龙旺地质勘查有限责任公司编制《赤峰市松山区关家营环球钼矿有限责任公司钼矿矿山地质环境分期治理方案</w:t>
      </w:r>
    </w:p>
    <w:p w14:paraId="5DB51A4E">
      <w:pPr>
        <w:pStyle w:val="2"/>
        <w:spacing w:line="360" w:lineRule="auto"/>
        <w:rPr>
          <w:rFonts w:ascii="Times New Roman" w:cs="Times New Roman"/>
          <w:color w:val="000000" w:themeColor="text1"/>
          <w14:textFill>
            <w14:solidFill>
              <w14:schemeClr w14:val="tx1"/>
            </w14:solidFill>
          </w14:textFill>
        </w:rPr>
      </w:pPr>
      <w:r>
        <w:rPr>
          <w:rFonts w:hint="eastAsia" w:ascii="Times New Roman" w:cs="Times New Roman"/>
          <w:color w:val="000000" w:themeColor="text1"/>
          <w14:textFill>
            <w14:solidFill>
              <w14:schemeClr w14:val="tx1"/>
            </w14:solidFill>
          </w14:textFill>
        </w:rPr>
        <w:t>（2014.8.1-2017.7.31）》。</w:t>
      </w:r>
    </w:p>
    <w:p w14:paraId="39DC02E0">
      <w:pPr>
        <w:pStyle w:val="2"/>
        <w:spacing w:line="360" w:lineRule="auto"/>
        <w:ind w:firstLine="480" w:firstLineChars="200"/>
        <w:rPr>
          <w:rFonts w:ascii="Times New Roman" w:cs="Times New Roman"/>
          <w:color w:val="000000" w:themeColor="text1"/>
          <w14:textFill>
            <w14:solidFill>
              <w14:schemeClr w14:val="tx1"/>
            </w14:solidFill>
          </w14:textFill>
        </w:rPr>
      </w:pPr>
      <w:r>
        <w:rPr>
          <w:rFonts w:hint="eastAsia" w:ascii="Times New Roman" w:cs="Times New Roman"/>
          <w:color w:val="000000" w:themeColor="text1"/>
          <w14:textFill>
            <w14:solidFill>
              <w14:schemeClr w14:val="tx1"/>
            </w14:solidFill>
          </w14:textFill>
        </w:rPr>
        <w:t>4、2020年4月，矿权人自行编制了《赤峰市松山区关家营环球钼矿有限责任公司钼矿2020年度矿山地质环境治理计划书》。</w:t>
      </w:r>
    </w:p>
    <w:p w14:paraId="5E58F482">
      <w:pPr>
        <w:pStyle w:val="2"/>
        <w:spacing w:line="360" w:lineRule="auto"/>
        <w:ind w:firstLine="480" w:firstLineChars="200"/>
        <w:rPr>
          <w:rFonts w:ascii="Times New Roman" w:cs="Times New Roman"/>
          <w:color w:val="000000" w:themeColor="text1"/>
          <w14:textFill>
            <w14:solidFill>
              <w14:schemeClr w14:val="tx1"/>
            </w14:solidFill>
          </w14:textFill>
        </w:rPr>
      </w:pPr>
      <w:r>
        <w:rPr>
          <w:rFonts w:hint="eastAsia" w:ascii="Times New Roman" w:cs="Times New Roman"/>
          <w:color w:val="000000" w:themeColor="text1"/>
          <w14:textFill>
            <w14:solidFill>
              <w14:schemeClr w14:val="tx1"/>
            </w14:solidFill>
          </w14:textFill>
        </w:rPr>
        <w:t>5、2021年3月，矿权人自行编制了《赤峰市松山区关家营环球钼矿有限责任公司钼矿2021年度矿山地质环境治理计划书》。</w:t>
      </w:r>
    </w:p>
    <w:p w14:paraId="0A55E9C6">
      <w:pPr>
        <w:pStyle w:val="2"/>
        <w:spacing w:line="360" w:lineRule="auto"/>
        <w:ind w:firstLine="480" w:firstLineChars="200"/>
        <w:rPr>
          <w:rFonts w:ascii="Times New Roman" w:cs="Times New Roman"/>
          <w:color w:val="000000" w:themeColor="text1"/>
          <w14:textFill>
            <w14:solidFill>
              <w14:schemeClr w14:val="tx1"/>
            </w14:solidFill>
          </w14:textFill>
        </w:rPr>
      </w:pPr>
      <w:r>
        <w:rPr>
          <w:rFonts w:hint="eastAsia" w:ascii="Times New Roman" w:cs="Times New Roman"/>
          <w:color w:val="000000" w:themeColor="text1"/>
          <w14:textFill>
            <w14:solidFill>
              <w14:schemeClr w14:val="tx1"/>
            </w14:solidFill>
          </w14:textFill>
        </w:rPr>
        <w:t>6、2022年3月，矿权人自行编制了《赤峰市松山区关家营环球钼矿有限责任公司钼矿二〇二二年度矿山地质环境治理计划书》。</w:t>
      </w:r>
    </w:p>
    <w:p w14:paraId="2B576878">
      <w:pPr>
        <w:pStyle w:val="2"/>
        <w:spacing w:line="360" w:lineRule="auto"/>
        <w:ind w:firstLine="480" w:firstLineChars="200"/>
        <w:rPr>
          <w:rFonts w:hint="eastAsia" w:ascii="Times New Roman" w:cs="Times New Roman"/>
          <w:color w:val="000000" w:themeColor="text1"/>
          <w14:textFill>
            <w14:solidFill>
              <w14:schemeClr w14:val="tx1"/>
            </w14:solidFill>
          </w14:textFill>
        </w:rPr>
      </w:pPr>
      <w:r>
        <w:rPr>
          <w:rFonts w:hint="eastAsia" w:ascii="Times New Roman" w:cs="Times New Roman"/>
          <w:color w:val="000000" w:themeColor="text1"/>
          <w14:textFill>
            <w14:solidFill>
              <w14:schemeClr w14:val="tx1"/>
            </w14:solidFill>
          </w14:textFill>
        </w:rPr>
        <w:t>7、2023年3月，矿权人自行编制了《赤峰市松山区关家营环球钼矿有限责任公司钼矿二〇二三年度矿山地质环境治理计划书》。</w:t>
      </w:r>
    </w:p>
    <w:p w14:paraId="46D4ABFE">
      <w:pPr>
        <w:pStyle w:val="2"/>
        <w:spacing w:line="360" w:lineRule="auto"/>
        <w:ind w:firstLine="480" w:firstLineChars="200"/>
        <w:rPr>
          <w:rFonts w:ascii="Times New Roman" w:cs="Times New Roman"/>
          <w:color w:val="000000" w:themeColor="text1"/>
          <w14:textFill>
            <w14:solidFill>
              <w14:schemeClr w14:val="tx1"/>
            </w14:solidFill>
          </w14:textFill>
        </w:rPr>
      </w:pPr>
      <w:r>
        <w:rPr>
          <w:rFonts w:hint="eastAsia" w:ascii="Times New Roman" w:cs="Times New Roman"/>
          <w:color w:val="000000" w:themeColor="text1"/>
          <w14:textFill>
            <w14:solidFill>
              <w14:schemeClr w14:val="tx1"/>
            </w14:solidFill>
          </w14:textFill>
        </w:rPr>
        <w:t>8、2024年11月，矿权人自行编制了《赤峰市松山区关家营环球钼矿有限责任公司钼矿二〇二三年度矿山地质环境治理计划书》。</w:t>
      </w:r>
    </w:p>
    <w:p w14:paraId="187F80AE">
      <w:pPr>
        <w:spacing w:line="360" w:lineRule="auto"/>
        <w:jc w:val="both"/>
        <w:outlineLvl w:val="1"/>
        <w:rPr>
          <w:rFonts w:eastAsia="宋体" w:cs="Times New Roman"/>
          <w:color w:val="000000" w:themeColor="text1"/>
          <w:sz w:val="24"/>
          <w:szCs w:val="24"/>
          <w14:textFill>
            <w14:solidFill>
              <w14:schemeClr w14:val="tx1"/>
            </w14:solidFill>
          </w14:textFill>
        </w:rPr>
      </w:pPr>
      <w:bookmarkStart w:id="9" w:name="_Toc19289"/>
      <w:bookmarkStart w:id="10" w:name="_Toc17411"/>
      <w:r>
        <w:rPr>
          <w:rFonts w:eastAsia="宋体" w:cs="Times New Roman"/>
          <w:b/>
          <w:bCs/>
          <w:color w:val="000000" w:themeColor="text1"/>
          <w:sz w:val="32"/>
          <w:szCs w:val="32"/>
          <w14:textFill>
            <w14:solidFill>
              <w14:schemeClr w14:val="tx1"/>
            </w14:solidFill>
          </w14:textFill>
        </w:rPr>
        <w:t>二、治理方案规划的近期治理工程内容</w:t>
      </w:r>
      <w:bookmarkEnd w:id="9"/>
      <w:bookmarkEnd w:id="10"/>
    </w:p>
    <w:p w14:paraId="5B01859E">
      <w:pPr>
        <w:spacing w:line="360" w:lineRule="auto"/>
        <w:ind w:firstLine="481"/>
        <w:jc w:val="both"/>
        <w:rPr>
          <w:rFonts w:eastAsia="宋体" w:cs="Times New Roman"/>
          <w:b/>
          <w:bCs/>
          <w:color w:val="000000" w:themeColor="text1"/>
          <w:sz w:val="24"/>
          <w:szCs w:val="24"/>
          <w14:textFill>
            <w14:solidFill>
              <w14:schemeClr w14:val="tx1"/>
            </w14:solidFill>
          </w14:textFill>
        </w:rPr>
      </w:pPr>
      <w:r>
        <w:rPr>
          <w:rFonts w:hint="eastAsia" w:eastAsia="宋体" w:cs="Times New Roman"/>
          <w:b/>
          <w:bCs/>
          <w:color w:val="000000" w:themeColor="text1"/>
          <w:sz w:val="24"/>
          <w:szCs w:val="24"/>
          <w14:textFill>
            <w14:solidFill>
              <w14:schemeClr w14:val="tx1"/>
            </w14:solidFill>
          </w14:textFill>
        </w:rPr>
        <w:t>（一）《一分期治理方案》</w:t>
      </w:r>
    </w:p>
    <w:p w14:paraId="014937B4">
      <w:pPr>
        <w:spacing w:line="360" w:lineRule="auto"/>
        <w:ind w:firstLine="481"/>
        <w:jc w:val="both"/>
        <w:rPr>
          <w:rFonts w:eastAsia="宋体" w:cs="Times New Roman"/>
          <w:color w:val="000000" w:themeColor="text1"/>
          <w:sz w:val="24"/>
          <w:szCs w:val="24"/>
          <w14:textFill>
            <w14:solidFill>
              <w14:schemeClr w14:val="tx1"/>
            </w14:solidFill>
          </w14:textFill>
        </w:rPr>
      </w:pPr>
      <w:r>
        <w:rPr>
          <w:rFonts w:hint="eastAsia" w:eastAsia="宋体" w:cs="Times New Roman"/>
          <w:color w:val="000000" w:themeColor="text1"/>
          <w:sz w:val="24"/>
          <w:szCs w:val="24"/>
          <w14:textFill>
            <w14:solidFill>
              <w14:schemeClr w14:val="tx1"/>
            </w14:solidFill>
          </w14:textFill>
        </w:rPr>
        <w:t>《</w:t>
      </w:r>
      <w:r>
        <w:rPr>
          <w:rFonts w:eastAsia="宋体" w:cs="Times New Roman"/>
          <w:color w:val="000000" w:themeColor="text1"/>
          <w:sz w:val="24"/>
          <w:szCs w:val="24"/>
          <w14:textFill>
            <w14:solidFill>
              <w14:schemeClr w14:val="tx1"/>
            </w14:solidFill>
          </w14:textFill>
        </w:rPr>
        <w:t>一分期</w:t>
      </w:r>
      <w:r>
        <w:rPr>
          <w:rFonts w:hint="eastAsia" w:eastAsia="宋体" w:cs="Times New Roman"/>
          <w:color w:val="000000" w:themeColor="text1"/>
          <w:sz w:val="24"/>
          <w:szCs w:val="24"/>
          <w14:textFill>
            <w14:solidFill>
              <w14:schemeClr w14:val="tx1"/>
            </w14:solidFill>
          </w14:textFill>
        </w:rPr>
        <w:t>》</w:t>
      </w:r>
      <w:r>
        <w:rPr>
          <w:rFonts w:eastAsia="宋体" w:cs="Times New Roman"/>
          <w:color w:val="000000" w:themeColor="text1"/>
          <w:sz w:val="24"/>
          <w:szCs w:val="24"/>
          <w14:textFill>
            <w14:solidFill>
              <w14:schemeClr w14:val="tx1"/>
            </w14:solidFill>
          </w14:textFill>
        </w:rPr>
        <w:t>设计治理内容为：对探槽回填完毕后撒播牧草恢复植被；在废石堆外围设置挡石墙。采矿权人根据设计完成了对探槽的回填、恢复植被工作，对废石堆外围设置了挡石墙。</w:t>
      </w:r>
    </w:p>
    <w:p w14:paraId="46A83301">
      <w:pP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br w:type="page"/>
      </w:r>
    </w:p>
    <w:p w14:paraId="5416E464">
      <w:pPr>
        <w:spacing w:line="360" w:lineRule="auto"/>
        <w:contextualSpacing/>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表2-1  《一分期治理方案》治理措施及工程量表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493"/>
        <w:gridCol w:w="885"/>
        <w:gridCol w:w="1365"/>
        <w:gridCol w:w="1410"/>
        <w:gridCol w:w="1395"/>
        <w:gridCol w:w="990"/>
      </w:tblGrid>
      <w:tr w14:paraId="4F1C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90" w:type="dxa"/>
            <w:vAlign w:val="center"/>
          </w:tcPr>
          <w:p w14:paraId="24946A5E">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实施年度</w:t>
            </w:r>
          </w:p>
        </w:tc>
        <w:tc>
          <w:tcPr>
            <w:tcW w:w="1493" w:type="dxa"/>
            <w:vAlign w:val="center"/>
          </w:tcPr>
          <w:p w14:paraId="53006654">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治理及复垦</w:t>
            </w:r>
          </w:p>
          <w:p w14:paraId="62A2DF10">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责任分区名称</w:t>
            </w:r>
          </w:p>
        </w:tc>
        <w:tc>
          <w:tcPr>
            <w:tcW w:w="885" w:type="dxa"/>
            <w:vAlign w:val="center"/>
          </w:tcPr>
          <w:p w14:paraId="2099EA07">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面积（m</w:t>
            </w:r>
            <w:r>
              <w:rPr>
                <w:rFonts w:hint="eastAsia" w:cs="Times New Roman"/>
                <w:color w:val="000000" w:themeColor="text1"/>
                <w:vertAlign w:val="superscript"/>
                <w14:textFill>
                  <w14:solidFill>
                    <w14:schemeClr w14:val="tx1"/>
                  </w14:solidFill>
                </w14:textFill>
              </w:rPr>
              <w:t>2</w:t>
            </w:r>
            <w:r>
              <w:rPr>
                <w:rFonts w:hint="eastAsia" w:cs="Times New Roman"/>
                <w:color w:val="000000" w:themeColor="text1"/>
                <w14:textFill>
                  <w14:solidFill>
                    <w14:schemeClr w14:val="tx1"/>
                  </w14:solidFill>
                </w14:textFill>
              </w:rPr>
              <w:t>）</w:t>
            </w:r>
          </w:p>
        </w:tc>
        <w:tc>
          <w:tcPr>
            <w:tcW w:w="2775" w:type="dxa"/>
            <w:gridSpan w:val="2"/>
            <w:vAlign w:val="center"/>
          </w:tcPr>
          <w:p w14:paraId="2487994D">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设计治理内容及工程量</w:t>
            </w:r>
          </w:p>
        </w:tc>
        <w:tc>
          <w:tcPr>
            <w:tcW w:w="2385" w:type="dxa"/>
            <w:gridSpan w:val="2"/>
            <w:vAlign w:val="center"/>
          </w:tcPr>
          <w:p w14:paraId="129091F6">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完成治理内容及工程量</w:t>
            </w:r>
          </w:p>
        </w:tc>
      </w:tr>
      <w:tr w14:paraId="3416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90" w:type="dxa"/>
            <w:vMerge w:val="restart"/>
            <w:vAlign w:val="center"/>
          </w:tcPr>
          <w:p w14:paraId="5248FCF6">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2009.6</w:t>
            </w:r>
          </w:p>
          <w:p w14:paraId="0DFCA6DF">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w:t>
            </w:r>
          </w:p>
          <w:p w14:paraId="15F493FA">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2014.7.31</w:t>
            </w:r>
          </w:p>
        </w:tc>
        <w:tc>
          <w:tcPr>
            <w:tcW w:w="1493" w:type="dxa"/>
            <w:vAlign w:val="center"/>
          </w:tcPr>
          <w:p w14:paraId="5348F6B2">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废石堆</w:t>
            </w:r>
          </w:p>
        </w:tc>
        <w:tc>
          <w:tcPr>
            <w:tcW w:w="885" w:type="dxa"/>
            <w:vAlign w:val="center"/>
          </w:tcPr>
          <w:p w14:paraId="20AB77BB">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1096</w:t>
            </w:r>
          </w:p>
        </w:tc>
        <w:tc>
          <w:tcPr>
            <w:tcW w:w="1365" w:type="dxa"/>
            <w:vAlign w:val="center"/>
          </w:tcPr>
          <w:p w14:paraId="661501AB">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挡石墙修建</w:t>
            </w:r>
          </w:p>
        </w:tc>
        <w:tc>
          <w:tcPr>
            <w:tcW w:w="1410" w:type="dxa"/>
            <w:vAlign w:val="center"/>
          </w:tcPr>
          <w:p w14:paraId="7568502D">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80m</w:t>
            </w:r>
            <w:r>
              <w:rPr>
                <w:rFonts w:hint="eastAsia" w:cs="Times New Roman"/>
                <w:color w:val="000000" w:themeColor="text1"/>
                <w:vertAlign w:val="superscript"/>
                <w14:textFill>
                  <w14:solidFill>
                    <w14:schemeClr w14:val="tx1"/>
                  </w14:solidFill>
                </w14:textFill>
              </w:rPr>
              <w:t>3</w:t>
            </w:r>
            <w:r>
              <w:rPr>
                <w:rFonts w:hint="eastAsia" w:cs="Times New Roman"/>
                <w:color w:val="000000" w:themeColor="text1"/>
                <w14:textFill>
                  <w14:solidFill>
                    <w14:schemeClr w14:val="tx1"/>
                  </w14:solidFill>
                </w14:textFill>
              </w:rPr>
              <w:t>（100m）</w:t>
            </w:r>
          </w:p>
        </w:tc>
        <w:tc>
          <w:tcPr>
            <w:tcW w:w="1395" w:type="dxa"/>
            <w:vAlign w:val="center"/>
          </w:tcPr>
          <w:p w14:paraId="760CC1A7">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挡石墙修建</w:t>
            </w:r>
          </w:p>
        </w:tc>
        <w:tc>
          <w:tcPr>
            <w:tcW w:w="990" w:type="dxa"/>
            <w:vAlign w:val="center"/>
          </w:tcPr>
          <w:p w14:paraId="7E711620">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100m</w:t>
            </w:r>
          </w:p>
        </w:tc>
      </w:tr>
      <w:tr w14:paraId="099E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90" w:type="dxa"/>
            <w:vMerge w:val="continue"/>
            <w:vAlign w:val="center"/>
          </w:tcPr>
          <w:p w14:paraId="5542E482">
            <w:pPr>
              <w:widowControl/>
              <w:contextualSpacing/>
              <w:rPr>
                <w:rFonts w:cs="Times New Roman"/>
                <w:color w:val="FF0000"/>
              </w:rPr>
            </w:pPr>
          </w:p>
        </w:tc>
        <w:tc>
          <w:tcPr>
            <w:tcW w:w="1493" w:type="dxa"/>
            <w:vMerge w:val="restart"/>
            <w:vAlign w:val="center"/>
          </w:tcPr>
          <w:p w14:paraId="6553A254">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探槽</w:t>
            </w:r>
          </w:p>
        </w:tc>
        <w:tc>
          <w:tcPr>
            <w:tcW w:w="885" w:type="dxa"/>
            <w:vMerge w:val="restart"/>
            <w:vAlign w:val="center"/>
          </w:tcPr>
          <w:p w14:paraId="28DBD7E4">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108</w:t>
            </w:r>
          </w:p>
        </w:tc>
        <w:tc>
          <w:tcPr>
            <w:tcW w:w="1365" w:type="dxa"/>
            <w:vAlign w:val="center"/>
          </w:tcPr>
          <w:p w14:paraId="24BAE93F">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回填</w:t>
            </w:r>
          </w:p>
        </w:tc>
        <w:tc>
          <w:tcPr>
            <w:tcW w:w="1410" w:type="dxa"/>
            <w:vAlign w:val="center"/>
          </w:tcPr>
          <w:p w14:paraId="239BEF8D">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108m</w:t>
            </w:r>
            <w:r>
              <w:rPr>
                <w:rFonts w:hint="eastAsia" w:cs="Times New Roman"/>
                <w:color w:val="000000" w:themeColor="text1"/>
                <w:vertAlign w:val="superscript"/>
                <w14:textFill>
                  <w14:solidFill>
                    <w14:schemeClr w14:val="tx1"/>
                  </w14:solidFill>
                </w14:textFill>
              </w:rPr>
              <w:t>3</w:t>
            </w:r>
          </w:p>
        </w:tc>
        <w:tc>
          <w:tcPr>
            <w:tcW w:w="1395" w:type="dxa"/>
            <w:vAlign w:val="center"/>
          </w:tcPr>
          <w:p w14:paraId="2DB3B00F">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回填</w:t>
            </w:r>
          </w:p>
        </w:tc>
        <w:tc>
          <w:tcPr>
            <w:tcW w:w="990" w:type="dxa"/>
            <w:vAlign w:val="center"/>
          </w:tcPr>
          <w:p w14:paraId="1010F63C">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108m</w:t>
            </w:r>
            <w:r>
              <w:rPr>
                <w:rFonts w:hint="eastAsia" w:cs="Times New Roman"/>
                <w:color w:val="000000" w:themeColor="text1"/>
                <w:vertAlign w:val="superscript"/>
                <w14:textFill>
                  <w14:solidFill>
                    <w14:schemeClr w14:val="tx1"/>
                  </w14:solidFill>
                </w14:textFill>
              </w:rPr>
              <w:t>3</w:t>
            </w:r>
          </w:p>
        </w:tc>
      </w:tr>
      <w:tr w14:paraId="5277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90" w:type="dxa"/>
            <w:vMerge w:val="continue"/>
            <w:vAlign w:val="center"/>
          </w:tcPr>
          <w:p w14:paraId="5CB89FB1">
            <w:pPr>
              <w:widowControl/>
              <w:contextualSpacing/>
              <w:rPr>
                <w:rFonts w:cs="Times New Roman"/>
                <w:color w:val="FF0000"/>
              </w:rPr>
            </w:pPr>
          </w:p>
        </w:tc>
        <w:tc>
          <w:tcPr>
            <w:tcW w:w="1493" w:type="dxa"/>
            <w:vMerge w:val="continue"/>
            <w:vAlign w:val="center"/>
          </w:tcPr>
          <w:p w14:paraId="32058D6C">
            <w:pPr>
              <w:widowControl/>
              <w:contextualSpacing/>
              <w:rPr>
                <w:rFonts w:cs="Times New Roman"/>
                <w:color w:val="000000" w:themeColor="text1"/>
                <w14:textFill>
                  <w14:solidFill>
                    <w14:schemeClr w14:val="tx1"/>
                  </w14:solidFill>
                </w14:textFill>
              </w:rPr>
            </w:pPr>
          </w:p>
        </w:tc>
        <w:tc>
          <w:tcPr>
            <w:tcW w:w="885" w:type="dxa"/>
            <w:vMerge w:val="continue"/>
            <w:vAlign w:val="center"/>
          </w:tcPr>
          <w:p w14:paraId="525BFED8">
            <w:pPr>
              <w:widowControl/>
              <w:contextualSpacing/>
              <w:rPr>
                <w:rFonts w:cs="Times New Roman"/>
                <w:color w:val="000000" w:themeColor="text1"/>
                <w14:textFill>
                  <w14:solidFill>
                    <w14:schemeClr w14:val="tx1"/>
                  </w14:solidFill>
                </w14:textFill>
              </w:rPr>
            </w:pPr>
          </w:p>
        </w:tc>
        <w:tc>
          <w:tcPr>
            <w:tcW w:w="1365" w:type="dxa"/>
            <w:vAlign w:val="center"/>
          </w:tcPr>
          <w:p w14:paraId="77175E7A">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种植灌木</w:t>
            </w:r>
          </w:p>
        </w:tc>
        <w:tc>
          <w:tcPr>
            <w:tcW w:w="1410" w:type="dxa"/>
            <w:vAlign w:val="center"/>
          </w:tcPr>
          <w:p w14:paraId="4C7042B8">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300株</w:t>
            </w:r>
          </w:p>
        </w:tc>
        <w:tc>
          <w:tcPr>
            <w:tcW w:w="1395" w:type="dxa"/>
            <w:vAlign w:val="center"/>
          </w:tcPr>
          <w:p w14:paraId="1909DCB4">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种植灌木</w:t>
            </w:r>
          </w:p>
        </w:tc>
        <w:tc>
          <w:tcPr>
            <w:tcW w:w="990" w:type="dxa"/>
            <w:vAlign w:val="center"/>
          </w:tcPr>
          <w:p w14:paraId="61579BE1">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300株</w:t>
            </w:r>
          </w:p>
        </w:tc>
      </w:tr>
      <w:tr w14:paraId="300F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90" w:type="dxa"/>
            <w:vMerge w:val="continue"/>
            <w:vAlign w:val="center"/>
          </w:tcPr>
          <w:p w14:paraId="1D6D3D98">
            <w:pPr>
              <w:widowControl/>
              <w:contextualSpacing/>
              <w:rPr>
                <w:rFonts w:cs="Times New Roman"/>
                <w:color w:val="FF0000"/>
              </w:rPr>
            </w:pPr>
          </w:p>
        </w:tc>
        <w:tc>
          <w:tcPr>
            <w:tcW w:w="1493" w:type="dxa"/>
            <w:vMerge w:val="continue"/>
            <w:vAlign w:val="center"/>
          </w:tcPr>
          <w:p w14:paraId="2B1B8D4D">
            <w:pPr>
              <w:widowControl/>
              <w:contextualSpacing/>
              <w:rPr>
                <w:rFonts w:cs="Times New Roman"/>
                <w:color w:val="000000" w:themeColor="text1"/>
                <w14:textFill>
                  <w14:solidFill>
                    <w14:schemeClr w14:val="tx1"/>
                  </w14:solidFill>
                </w14:textFill>
              </w:rPr>
            </w:pPr>
          </w:p>
        </w:tc>
        <w:tc>
          <w:tcPr>
            <w:tcW w:w="885" w:type="dxa"/>
            <w:vMerge w:val="continue"/>
            <w:vAlign w:val="center"/>
          </w:tcPr>
          <w:p w14:paraId="3A290D31">
            <w:pPr>
              <w:widowControl/>
              <w:contextualSpacing/>
              <w:rPr>
                <w:rFonts w:cs="Times New Roman"/>
                <w:color w:val="000000" w:themeColor="text1"/>
                <w14:textFill>
                  <w14:solidFill>
                    <w14:schemeClr w14:val="tx1"/>
                  </w14:solidFill>
                </w14:textFill>
              </w:rPr>
            </w:pPr>
          </w:p>
        </w:tc>
        <w:tc>
          <w:tcPr>
            <w:tcW w:w="1365" w:type="dxa"/>
            <w:vAlign w:val="center"/>
          </w:tcPr>
          <w:p w14:paraId="322E0BB3">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撒播种草</w:t>
            </w:r>
          </w:p>
        </w:tc>
        <w:tc>
          <w:tcPr>
            <w:tcW w:w="1410" w:type="dxa"/>
            <w:vAlign w:val="center"/>
          </w:tcPr>
          <w:p w14:paraId="6A75B6B9">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196m</w:t>
            </w:r>
            <w:r>
              <w:rPr>
                <w:rFonts w:hint="eastAsia" w:cs="Times New Roman"/>
                <w:color w:val="000000" w:themeColor="text1"/>
                <w:vertAlign w:val="superscript"/>
                <w14:textFill>
                  <w14:solidFill>
                    <w14:schemeClr w14:val="tx1"/>
                  </w14:solidFill>
                </w14:textFill>
              </w:rPr>
              <w:t>2</w:t>
            </w:r>
          </w:p>
        </w:tc>
        <w:tc>
          <w:tcPr>
            <w:tcW w:w="1395" w:type="dxa"/>
            <w:vAlign w:val="center"/>
          </w:tcPr>
          <w:p w14:paraId="225742B5">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撒播种草</w:t>
            </w:r>
          </w:p>
        </w:tc>
        <w:tc>
          <w:tcPr>
            <w:tcW w:w="990" w:type="dxa"/>
            <w:vAlign w:val="center"/>
          </w:tcPr>
          <w:p w14:paraId="3AAA35EB">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196m</w:t>
            </w:r>
            <w:r>
              <w:rPr>
                <w:rFonts w:hint="eastAsia" w:cs="Times New Roman"/>
                <w:color w:val="000000" w:themeColor="text1"/>
                <w:vertAlign w:val="superscript"/>
                <w14:textFill>
                  <w14:solidFill>
                    <w14:schemeClr w14:val="tx1"/>
                  </w14:solidFill>
                </w14:textFill>
              </w:rPr>
              <w:t>2</w:t>
            </w:r>
          </w:p>
        </w:tc>
      </w:tr>
      <w:tr w14:paraId="58851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90" w:type="dxa"/>
            <w:vMerge w:val="continue"/>
            <w:vAlign w:val="center"/>
          </w:tcPr>
          <w:p w14:paraId="4CD5EFDF">
            <w:pPr>
              <w:widowControl/>
              <w:contextualSpacing/>
              <w:rPr>
                <w:rFonts w:cs="Times New Roman"/>
                <w:color w:val="FF0000"/>
              </w:rPr>
            </w:pPr>
          </w:p>
        </w:tc>
        <w:tc>
          <w:tcPr>
            <w:tcW w:w="1493" w:type="dxa"/>
            <w:vMerge w:val="continue"/>
            <w:vAlign w:val="center"/>
          </w:tcPr>
          <w:p w14:paraId="785A58C8">
            <w:pPr>
              <w:widowControl/>
              <w:contextualSpacing/>
              <w:rPr>
                <w:rFonts w:cs="Times New Roman"/>
                <w:color w:val="000000" w:themeColor="text1"/>
                <w14:textFill>
                  <w14:solidFill>
                    <w14:schemeClr w14:val="tx1"/>
                  </w14:solidFill>
                </w14:textFill>
              </w:rPr>
            </w:pPr>
          </w:p>
        </w:tc>
        <w:tc>
          <w:tcPr>
            <w:tcW w:w="885" w:type="dxa"/>
            <w:vMerge w:val="continue"/>
            <w:vAlign w:val="center"/>
          </w:tcPr>
          <w:p w14:paraId="44EC9F8F">
            <w:pPr>
              <w:widowControl/>
              <w:contextualSpacing/>
              <w:rPr>
                <w:rFonts w:cs="Times New Roman"/>
                <w:color w:val="000000" w:themeColor="text1"/>
                <w14:textFill>
                  <w14:solidFill>
                    <w14:schemeClr w14:val="tx1"/>
                  </w14:solidFill>
                </w14:textFill>
              </w:rPr>
            </w:pPr>
          </w:p>
        </w:tc>
        <w:tc>
          <w:tcPr>
            <w:tcW w:w="1365" w:type="dxa"/>
            <w:vAlign w:val="center"/>
          </w:tcPr>
          <w:p w14:paraId="3A3CC026">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管护</w:t>
            </w:r>
          </w:p>
        </w:tc>
        <w:tc>
          <w:tcPr>
            <w:tcW w:w="1410" w:type="dxa"/>
            <w:vAlign w:val="center"/>
          </w:tcPr>
          <w:p w14:paraId="09B2B65F">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24次</w:t>
            </w:r>
          </w:p>
        </w:tc>
        <w:tc>
          <w:tcPr>
            <w:tcW w:w="1395" w:type="dxa"/>
            <w:vAlign w:val="center"/>
          </w:tcPr>
          <w:p w14:paraId="39E6D206">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管护</w:t>
            </w:r>
          </w:p>
        </w:tc>
        <w:tc>
          <w:tcPr>
            <w:tcW w:w="990" w:type="dxa"/>
            <w:vAlign w:val="center"/>
          </w:tcPr>
          <w:p w14:paraId="71433876">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24次</w:t>
            </w:r>
          </w:p>
        </w:tc>
      </w:tr>
    </w:tbl>
    <w:p w14:paraId="19035123">
      <w:pPr>
        <w:spacing w:before="156" w:beforeLines="50"/>
        <w:contextualSpacing/>
        <w:rPr>
          <w:rFonts w:hint="eastAsia" w:cs="Times New Roman" w:eastAsiaTheme="minorEastAsia"/>
          <w:color w:val="FF0000"/>
          <w:sz w:val="24"/>
          <w:szCs w:val="24"/>
          <w:lang w:eastAsia="zh-CN"/>
        </w:rPr>
      </w:pPr>
      <w:r>
        <w:rPr>
          <w:rFonts w:hint="eastAsia"/>
          <w:lang w:eastAsia="zh-CN"/>
        </w:rPr>
        <w:t xml:space="preserve">      </w:t>
      </w:r>
    </w:p>
    <w:p w14:paraId="39131F95">
      <w:pPr>
        <w:spacing w:line="360" w:lineRule="auto"/>
        <w:contextualSpacing/>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照片2-1  修筑挡墙治理效果</w:t>
      </w:r>
    </w:p>
    <w:p w14:paraId="1FDB7FC6">
      <w:pPr>
        <w:spacing w:line="360" w:lineRule="auto"/>
        <w:ind w:firstLine="482" w:firstLineChars="200"/>
        <w:contextualSpacing/>
        <w:jc w:val="left"/>
        <w:rPr>
          <w:rFonts w:cs="Times New Roman"/>
          <w:b/>
          <w:bCs/>
          <w:color w:val="FF0000"/>
          <w:sz w:val="24"/>
          <w:szCs w:val="24"/>
        </w:rPr>
      </w:pPr>
      <w:r>
        <w:rPr>
          <w:rFonts w:hint="eastAsia" w:eastAsia="宋体" w:cs="Times New Roman"/>
          <w:b/>
          <w:bCs/>
          <w:color w:val="000000" w:themeColor="text1"/>
          <w:sz w:val="24"/>
          <w:szCs w:val="24"/>
          <w14:textFill>
            <w14:solidFill>
              <w14:schemeClr w14:val="tx1"/>
            </w14:solidFill>
          </w14:textFill>
        </w:rPr>
        <w:t>（二）《二分期治理方案》</w:t>
      </w:r>
    </w:p>
    <w:p w14:paraId="6A3B107F">
      <w:pPr>
        <w:spacing w:line="360" w:lineRule="auto"/>
        <w:ind w:firstLine="480" w:firstLineChars="200"/>
        <w:contextualSpacing/>
        <w:jc w:val="lef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二分期设计治理内容为：对废渣堆1：清运、覆土、整平、种树。对废渣堆2：清运、覆土、整平、种树。对废渣堆3：清运、覆土、整平、种树。对选厂切坡进行削坡整形、种草。对办公生活区切坡进行削坡整形、种草。对矿区道路切坡进行整形、种草。</w:t>
      </w:r>
    </w:p>
    <w:p w14:paraId="2CBE0B9F">
      <w:pPr>
        <w:spacing w:line="360" w:lineRule="auto"/>
        <w:contextualSpacing/>
        <w:rPr>
          <w:rFonts w:cs="Times New Roman"/>
          <w:color w:val="FF0000"/>
          <w:sz w:val="24"/>
          <w:szCs w:val="24"/>
        </w:rPr>
      </w:pPr>
      <w:r>
        <w:rPr>
          <w:rFonts w:hint="eastAsia" w:ascii="黑体" w:hAnsi="黑体" w:eastAsia="黑体" w:cs="黑体"/>
          <w:color w:val="000000" w:themeColor="text1"/>
          <w:sz w:val="24"/>
          <w:szCs w:val="24"/>
          <w14:textFill>
            <w14:solidFill>
              <w14:schemeClr w14:val="tx1"/>
            </w14:solidFill>
          </w14:textFill>
        </w:rPr>
        <w:t>表2-2  《二分期治理方案》治理措施及工程量表</w:t>
      </w:r>
    </w:p>
    <w:tbl>
      <w:tblPr>
        <w:tblStyle w:val="14"/>
        <w:tblW w:w="84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95"/>
        <w:gridCol w:w="848"/>
        <w:gridCol w:w="848"/>
        <w:gridCol w:w="848"/>
        <w:gridCol w:w="848"/>
        <w:gridCol w:w="848"/>
        <w:gridCol w:w="848"/>
        <w:gridCol w:w="852"/>
      </w:tblGrid>
      <w:tr w14:paraId="4D19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40" w:type="dxa"/>
            <w:vMerge w:val="restart"/>
            <w:vAlign w:val="center"/>
          </w:tcPr>
          <w:p w14:paraId="0E542CD9">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治理单元</w:t>
            </w:r>
          </w:p>
        </w:tc>
        <w:tc>
          <w:tcPr>
            <w:tcW w:w="795" w:type="dxa"/>
            <w:vMerge w:val="restart"/>
            <w:vAlign w:val="center"/>
          </w:tcPr>
          <w:p w14:paraId="714304A4">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面积（m</w:t>
            </w:r>
            <w:r>
              <w:rPr>
                <w:rFonts w:hint="eastAsia" w:cs="Times New Roman"/>
                <w:color w:val="000000" w:themeColor="text1"/>
                <w:vertAlign w:val="superscript"/>
                <w14:textFill>
                  <w14:solidFill>
                    <w14:schemeClr w14:val="tx1"/>
                  </w14:solidFill>
                </w14:textFill>
              </w:rPr>
              <w:t>2</w:t>
            </w:r>
            <w:r>
              <w:rPr>
                <w:rFonts w:hint="eastAsia" w:cs="Times New Roman"/>
                <w:color w:val="000000" w:themeColor="text1"/>
                <w14:textFill>
                  <w14:solidFill>
                    <w14:schemeClr w14:val="tx1"/>
                  </w14:solidFill>
                </w14:textFill>
              </w:rPr>
              <w:t>）</w:t>
            </w:r>
          </w:p>
        </w:tc>
        <w:tc>
          <w:tcPr>
            <w:tcW w:w="5940" w:type="dxa"/>
            <w:gridSpan w:val="7"/>
            <w:vAlign w:val="center"/>
          </w:tcPr>
          <w:p w14:paraId="187CF6D7">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治理措施</w:t>
            </w:r>
          </w:p>
        </w:tc>
      </w:tr>
      <w:tr w14:paraId="3657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40" w:type="dxa"/>
            <w:vMerge w:val="continue"/>
            <w:vAlign w:val="center"/>
          </w:tcPr>
          <w:p w14:paraId="18D87A6F">
            <w:pPr>
              <w:widowControl/>
              <w:contextualSpacing/>
              <w:rPr>
                <w:rFonts w:cs="Times New Roman"/>
                <w:color w:val="000000" w:themeColor="text1"/>
                <w14:textFill>
                  <w14:solidFill>
                    <w14:schemeClr w14:val="tx1"/>
                  </w14:solidFill>
                </w14:textFill>
              </w:rPr>
            </w:pPr>
          </w:p>
        </w:tc>
        <w:tc>
          <w:tcPr>
            <w:tcW w:w="795" w:type="dxa"/>
            <w:vMerge w:val="continue"/>
            <w:vAlign w:val="center"/>
          </w:tcPr>
          <w:p w14:paraId="73B52748">
            <w:pPr>
              <w:widowControl/>
              <w:contextualSpacing/>
              <w:rPr>
                <w:rFonts w:cs="Times New Roman"/>
                <w:color w:val="000000" w:themeColor="text1"/>
                <w14:textFill>
                  <w14:solidFill>
                    <w14:schemeClr w14:val="tx1"/>
                  </w14:solidFill>
                </w14:textFill>
              </w:rPr>
            </w:pPr>
          </w:p>
        </w:tc>
        <w:tc>
          <w:tcPr>
            <w:tcW w:w="848" w:type="dxa"/>
            <w:vAlign w:val="center"/>
          </w:tcPr>
          <w:p w14:paraId="0361D3DA">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削坡</w:t>
            </w:r>
          </w:p>
        </w:tc>
        <w:tc>
          <w:tcPr>
            <w:tcW w:w="848" w:type="dxa"/>
            <w:vAlign w:val="center"/>
          </w:tcPr>
          <w:p w14:paraId="7BB5BC74">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整形</w:t>
            </w:r>
          </w:p>
        </w:tc>
        <w:tc>
          <w:tcPr>
            <w:tcW w:w="848" w:type="dxa"/>
            <w:vAlign w:val="center"/>
          </w:tcPr>
          <w:p w14:paraId="32587593">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清运</w:t>
            </w:r>
          </w:p>
        </w:tc>
        <w:tc>
          <w:tcPr>
            <w:tcW w:w="848" w:type="dxa"/>
            <w:vAlign w:val="center"/>
          </w:tcPr>
          <w:p w14:paraId="15678C8C">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覆土</w:t>
            </w:r>
          </w:p>
        </w:tc>
        <w:tc>
          <w:tcPr>
            <w:tcW w:w="848" w:type="dxa"/>
            <w:vAlign w:val="center"/>
          </w:tcPr>
          <w:p w14:paraId="04B96C18">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整平</w:t>
            </w:r>
          </w:p>
        </w:tc>
        <w:tc>
          <w:tcPr>
            <w:tcW w:w="848" w:type="dxa"/>
            <w:vAlign w:val="center"/>
          </w:tcPr>
          <w:p w14:paraId="531D8865">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种草</w:t>
            </w:r>
          </w:p>
        </w:tc>
        <w:tc>
          <w:tcPr>
            <w:tcW w:w="852" w:type="dxa"/>
            <w:vAlign w:val="center"/>
          </w:tcPr>
          <w:p w14:paraId="18394A79">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种树</w:t>
            </w:r>
          </w:p>
        </w:tc>
      </w:tr>
      <w:tr w14:paraId="59FF2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40" w:type="dxa"/>
            <w:vMerge w:val="continue"/>
            <w:vAlign w:val="center"/>
          </w:tcPr>
          <w:p w14:paraId="3FD339D2">
            <w:pPr>
              <w:widowControl/>
              <w:contextualSpacing/>
              <w:rPr>
                <w:rFonts w:cs="Times New Roman"/>
                <w:color w:val="000000" w:themeColor="text1"/>
                <w14:textFill>
                  <w14:solidFill>
                    <w14:schemeClr w14:val="tx1"/>
                  </w14:solidFill>
                </w14:textFill>
              </w:rPr>
            </w:pPr>
          </w:p>
        </w:tc>
        <w:tc>
          <w:tcPr>
            <w:tcW w:w="795" w:type="dxa"/>
            <w:vMerge w:val="continue"/>
            <w:vAlign w:val="center"/>
          </w:tcPr>
          <w:p w14:paraId="33640220">
            <w:pPr>
              <w:widowControl/>
              <w:contextualSpacing/>
              <w:rPr>
                <w:rFonts w:cs="Times New Roman"/>
                <w:color w:val="000000" w:themeColor="text1"/>
                <w14:textFill>
                  <w14:solidFill>
                    <w14:schemeClr w14:val="tx1"/>
                  </w14:solidFill>
                </w14:textFill>
              </w:rPr>
            </w:pPr>
          </w:p>
        </w:tc>
        <w:tc>
          <w:tcPr>
            <w:tcW w:w="848" w:type="dxa"/>
            <w:vAlign w:val="center"/>
          </w:tcPr>
          <w:p w14:paraId="57E6F2D6">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（m</w:t>
            </w:r>
            <w:r>
              <w:rPr>
                <w:rFonts w:hint="eastAsia" w:cs="Times New Roman"/>
                <w:color w:val="000000" w:themeColor="text1"/>
                <w:vertAlign w:val="superscript"/>
                <w14:textFill>
                  <w14:solidFill>
                    <w14:schemeClr w14:val="tx1"/>
                  </w14:solidFill>
                </w14:textFill>
              </w:rPr>
              <w:t>3</w:t>
            </w:r>
            <w:r>
              <w:rPr>
                <w:rFonts w:hint="eastAsia" w:cs="Times New Roman"/>
                <w:color w:val="000000" w:themeColor="text1"/>
                <w14:textFill>
                  <w14:solidFill>
                    <w14:schemeClr w14:val="tx1"/>
                  </w14:solidFill>
                </w14:textFill>
              </w:rPr>
              <w:t>）</w:t>
            </w:r>
          </w:p>
        </w:tc>
        <w:tc>
          <w:tcPr>
            <w:tcW w:w="848" w:type="dxa"/>
            <w:vAlign w:val="center"/>
          </w:tcPr>
          <w:p w14:paraId="658E8EF3">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（m</w:t>
            </w:r>
            <w:r>
              <w:rPr>
                <w:rFonts w:hint="eastAsia" w:cs="Times New Roman"/>
                <w:color w:val="000000" w:themeColor="text1"/>
                <w:vertAlign w:val="superscript"/>
                <w14:textFill>
                  <w14:solidFill>
                    <w14:schemeClr w14:val="tx1"/>
                  </w14:solidFill>
                </w14:textFill>
              </w:rPr>
              <w:t>3</w:t>
            </w:r>
            <w:r>
              <w:rPr>
                <w:rFonts w:hint="eastAsia" w:cs="Times New Roman"/>
                <w:color w:val="000000" w:themeColor="text1"/>
                <w14:textFill>
                  <w14:solidFill>
                    <w14:schemeClr w14:val="tx1"/>
                  </w14:solidFill>
                </w14:textFill>
              </w:rPr>
              <w:t>）</w:t>
            </w:r>
          </w:p>
        </w:tc>
        <w:tc>
          <w:tcPr>
            <w:tcW w:w="848" w:type="dxa"/>
            <w:vAlign w:val="center"/>
          </w:tcPr>
          <w:p w14:paraId="10C786C6">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（m</w:t>
            </w:r>
            <w:r>
              <w:rPr>
                <w:rFonts w:hint="eastAsia" w:cs="Times New Roman"/>
                <w:color w:val="000000" w:themeColor="text1"/>
                <w:vertAlign w:val="superscript"/>
                <w14:textFill>
                  <w14:solidFill>
                    <w14:schemeClr w14:val="tx1"/>
                  </w14:solidFill>
                </w14:textFill>
              </w:rPr>
              <w:t>3</w:t>
            </w:r>
            <w:r>
              <w:rPr>
                <w:rFonts w:hint="eastAsia" w:cs="Times New Roman"/>
                <w:color w:val="000000" w:themeColor="text1"/>
                <w14:textFill>
                  <w14:solidFill>
                    <w14:schemeClr w14:val="tx1"/>
                  </w14:solidFill>
                </w14:textFill>
              </w:rPr>
              <w:t>）</w:t>
            </w:r>
          </w:p>
        </w:tc>
        <w:tc>
          <w:tcPr>
            <w:tcW w:w="848" w:type="dxa"/>
            <w:vAlign w:val="center"/>
          </w:tcPr>
          <w:p w14:paraId="4E5721E0">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（m</w:t>
            </w:r>
            <w:r>
              <w:rPr>
                <w:rFonts w:hint="eastAsia" w:cs="Times New Roman"/>
                <w:color w:val="000000" w:themeColor="text1"/>
                <w:vertAlign w:val="superscript"/>
                <w14:textFill>
                  <w14:solidFill>
                    <w14:schemeClr w14:val="tx1"/>
                  </w14:solidFill>
                </w14:textFill>
              </w:rPr>
              <w:t>3</w:t>
            </w:r>
            <w:r>
              <w:rPr>
                <w:rFonts w:hint="eastAsia" w:cs="Times New Roman"/>
                <w:color w:val="000000" w:themeColor="text1"/>
                <w14:textFill>
                  <w14:solidFill>
                    <w14:schemeClr w14:val="tx1"/>
                  </w14:solidFill>
                </w14:textFill>
              </w:rPr>
              <w:t>）</w:t>
            </w:r>
          </w:p>
        </w:tc>
        <w:tc>
          <w:tcPr>
            <w:tcW w:w="848" w:type="dxa"/>
            <w:vAlign w:val="center"/>
          </w:tcPr>
          <w:p w14:paraId="3E16F76F">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（m</w:t>
            </w:r>
            <w:r>
              <w:rPr>
                <w:rFonts w:hint="eastAsia" w:cs="Times New Roman"/>
                <w:color w:val="000000" w:themeColor="text1"/>
                <w:vertAlign w:val="superscript"/>
                <w14:textFill>
                  <w14:solidFill>
                    <w14:schemeClr w14:val="tx1"/>
                  </w14:solidFill>
                </w14:textFill>
              </w:rPr>
              <w:t>3</w:t>
            </w:r>
            <w:r>
              <w:rPr>
                <w:rFonts w:hint="eastAsia" w:cs="Times New Roman"/>
                <w:color w:val="000000" w:themeColor="text1"/>
                <w14:textFill>
                  <w14:solidFill>
                    <w14:schemeClr w14:val="tx1"/>
                  </w14:solidFill>
                </w14:textFill>
              </w:rPr>
              <w:t>）</w:t>
            </w:r>
          </w:p>
        </w:tc>
        <w:tc>
          <w:tcPr>
            <w:tcW w:w="848" w:type="dxa"/>
            <w:vAlign w:val="center"/>
          </w:tcPr>
          <w:p w14:paraId="1AB7171D">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（m</w:t>
            </w:r>
            <w:r>
              <w:rPr>
                <w:rFonts w:hint="eastAsia" w:cs="Times New Roman"/>
                <w:color w:val="000000" w:themeColor="text1"/>
                <w:vertAlign w:val="superscript"/>
                <w14:textFill>
                  <w14:solidFill>
                    <w14:schemeClr w14:val="tx1"/>
                  </w14:solidFill>
                </w14:textFill>
              </w:rPr>
              <w:t>2</w:t>
            </w:r>
            <w:r>
              <w:rPr>
                <w:rFonts w:hint="eastAsia" w:cs="Times New Roman"/>
                <w:color w:val="000000" w:themeColor="text1"/>
                <w14:textFill>
                  <w14:solidFill>
                    <w14:schemeClr w14:val="tx1"/>
                  </w14:solidFill>
                </w14:textFill>
              </w:rPr>
              <w:t>）</w:t>
            </w:r>
          </w:p>
        </w:tc>
        <w:tc>
          <w:tcPr>
            <w:tcW w:w="852" w:type="dxa"/>
            <w:vAlign w:val="center"/>
          </w:tcPr>
          <w:p w14:paraId="564801B3">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株</w:t>
            </w:r>
          </w:p>
        </w:tc>
      </w:tr>
      <w:tr w14:paraId="57FF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40" w:type="dxa"/>
            <w:vAlign w:val="center"/>
          </w:tcPr>
          <w:p w14:paraId="119DAD55">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废渣堆1</w:t>
            </w:r>
          </w:p>
        </w:tc>
        <w:tc>
          <w:tcPr>
            <w:tcW w:w="795" w:type="dxa"/>
            <w:vAlign w:val="center"/>
          </w:tcPr>
          <w:p w14:paraId="4D66E5DD">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78</w:t>
            </w:r>
          </w:p>
        </w:tc>
        <w:tc>
          <w:tcPr>
            <w:tcW w:w="848" w:type="dxa"/>
            <w:vAlign w:val="center"/>
          </w:tcPr>
          <w:p w14:paraId="4385606B">
            <w:pPr>
              <w:widowControl/>
              <w:contextualSpacing/>
              <w:rPr>
                <w:rFonts w:cs="Times New Roman"/>
                <w:color w:val="000000" w:themeColor="text1"/>
                <w14:textFill>
                  <w14:solidFill>
                    <w14:schemeClr w14:val="tx1"/>
                  </w14:solidFill>
                </w14:textFill>
              </w:rPr>
            </w:pPr>
          </w:p>
        </w:tc>
        <w:tc>
          <w:tcPr>
            <w:tcW w:w="848" w:type="dxa"/>
            <w:vAlign w:val="center"/>
          </w:tcPr>
          <w:p w14:paraId="7216EADA">
            <w:pPr>
              <w:widowControl/>
              <w:contextualSpacing/>
              <w:rPr>
                <w:rFonts w:cs="Times New Roman"/>
                <w:color w:val="000000" w:themeColor="text1"/>
                <w14:textFill>
                  <w14:solidFill>
                    <w14:schemeClr w14:val="tx1"/>
                  </w14:solidFill>
                </w14:textFill>
              </w:rPr>
            </w:pPr>
          </w:p>
        </w:tc>
        <w:tc>
          <w:tcPr>
            <w:tcW w:w="848" w:type="dxa"/>
            <w:vAlign w:val="center"/>
          </w:tcPr>
          <w:p w14:paraId="2F7B4111">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126</w:t>
            </w:r>
          </w:p>
        </w:tc>
        <w:tc>
          <w:tcPr>
            <w:tcW w:w="848" w:type="dxa"/>
            <w:vAlign w:val="center"/>
          </w:tcPr>
          <w:p w14:paraId="2B557F70">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39</w:t>
            </w:r>
          </w:p>
        </w:tc>
        <w:tc>
          <w:tcPr>
            <w:tcW w:w="848" w:type="dxa"/>
            <w:vAlign w:val="center"/>
          </w:tcPr>
          <w:p w14:paraId="58137C23">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39</w:t>
            </w:r>
          </w:p>
        </w:tc>
        <w:tc>
          <w:tcPr>
            <w:tcW w:w="848" w:type="dxa"/>
            <w:vAlign w:val="center"/>
          </w:tcPr>
          <w:p w14:paraId="6DBFC0C7">
            <w:pPr>
              <w:widowControl/>
              <w:contextualSpacing/>
              <w:rPr>
                <w:rFonts w:cs="Times New Roman"/>
                <w:color w:val="000000" w:themeColor="text1"/>
                <w14:textFill>
                  <w14:solidFill>
                    <w14:schemeClr w14:val="tx1"/>
                  </w14:solidFill>
                </w14:textFill>
              </w:rPr>
            </w:pPr>
          </w:p>
        </w:tc>
        <w:tc>
          <w:tcPr>
            <w:tcW w:w="852" w:type="dxa"/>
            <w:vAlign w:val="center"/>
          </w:tcPr>
          <w:p w14:paraId="57F0F56E">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20</w:t>
            </w:r>
          </w:p>
        </w:tc>
      </w:tr>
      <w:tr w14:paraId="4038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40" w:type="dxa"/>
            <w:vAlign w:val="center"/>
          </w:tcPr>
          <w:p w14:paraId="11B8582C">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废渣堆2</w:t>
            </w:r>
          </w:p>
        </w:tc>
        <w:tc>
          <w:tcPr>
            <w:tcW w:w="795" w:type="dxa"/>
            <w:vAlign w:val="center"/>
          </w:tcPr>
          <w:p w14:paraId="210B967E">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45</w:t>
            </w:r>
          </w:p>
        </w:tc>
        <w:tc>
          <w:tcPr>
            <w:tcW w:w="848" w:type="dxa"/>
            <w:vAlign w:val="center"/>
          </w:tcPr>
          <w:p w14:paraId="19D4B599">
            <w:pPr>
              <w:widowControl/>
              <w:contextualSpacing/>
              <w:rPr>
                <w:rFonts w:cs="Times New Roman"/>
                <w:color w:val="000000" w:themeColor="text1"/>
                <w14:textFill>
                  <w14:solidFill>
                    <w14:schemeClr w14:val="tx1"/>
                  </w14:solidFill>
                </w14:textFill>
              </w:rPr>
            </w:pPr>
          </w:p>
        </w:tc>
        <w:tc>
          <w:tcPr>
            <w:tcW w:w="848" w:type="dxa"/>
            <w:vAlign w:val="center"/>
          </w:tcPr>
          <w:p w14:paraId="7E9F12A1">
            <w:pPr>
              <w:widowControl/>
              <w:contextualSpacing/>
              <w:rPr>
                <w:rFonts w:cs="Times New Roman"/>
                <w:color w:val="000000" w:themeColor="text1"/>
                <w14:textFill>
                  <w14:solidFill>
                    <w14:schemeClr w14:val="tx1"/>
                  </w14:solidFill>
                </w14:textFill>
              </w:rPr>
            </w:pPr>
          </w:p>
        </w:tc>
        <w:tc>
          <w:tcPr>
            <w:tcW w:w="848" w:type="dxa"/>
            <w:vAlign w:val="center"/>
          </w:tcPr>
          <w:p w14:paraId="70E9543D">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80</w:t>
            </w:r>
          </w:p>
        </w:tc>
        <w:tc>
          <w:tcPr>
            <w:tcW w:w="848" w:type="dxa"/>
            <w:vAlign w:val="center"/>
          </w:tcPr>
          <w:p w14:paraId="769AAC5D">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23</w:t>
            </w:r>
          </w:p>
        </w:tc>
        <w:tc>
          <w:tcPr>
            <w:tcW w:w="848" w:type="dxa"/>
            <w:vAlign w:val="center"/>
          </w:tcPr>
          <w:p w14:paraId="0AF68915">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23</w:t>
            </w:r>
          </w:p>
        </w:tc>
        <w:tc>
          <w:tcPr>
            <w:tcW w:w="848" w:type="dxa"/>
            <w:vAlign w:val="center"/>
          </w:tcPr>
          <w:p w14:paraId="3E996088">
            <w:pPr>
              <w:widowControl/>
              <w:contextualSpacing/>
              <w:rPr>
                <w:rFonts w:cs="Times New Roman"/>
                <w:color w:val="000000" w:themeColor="text1"/>
                <w14:textFill>
                  <w14:solidFill>
                    <w14:schemeClr w14:val="tx1"/>
                  </w14:solidFill>
                </w14:textFill>
              </w:rPr>
            </w:pPr>
          </w:p>
        </w:tc>
        <w:tc>
          <w:tcPr>
            <w:tcW w:w="852" w:type="dxa"/>
            <w:vAlign w:val="center"/>
          </w:tcPr>
          <w:p w14:paraId="56C44B51">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12</w:t>
            </w:r>
          </w:p>
        </w:tc>
      </w:tr>
      <w:tr w14:paraId="602B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40" w:type="dxa"/>
            <w:vAlign w:val="center"/>
          </w:tcPr>
          <w:p w14:paraId="4CAD07B6">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废渣堆3</w:t>
            </w:r>
          </w:p>
        </w:tc>
        <w:tc>
          <w:tcPr>
            <w:tcW w:w="795" w:type="dxa"/>
            <w:vAlign w:val="center"/>
          </w:tcPr>
          <w:p w14:paraId="7FD1EA85">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37</w:t>
            </w:r>
          </w:p>
        </w:tc>
        <w:tc>
          <w:tcPr>
            <w:tcW w:w="848" w:type="dxa"/>
            <w:vAlign w:val="center"/>
          </w:tcPr>
          <w:p w14:paraId="0308DBA9">
            <w:pPr>
              <w:widowControl/>
              <w:contextualSpacing/>
              <w:rPr>
                <w:rFonts w:cs="Times New Roman"/>
                <w:color w:val="000000" w:themeColor="text1"/>
                <w14:textFill>
                  <w14:solidFill>
                    <w14:schemeClr w14:val="tx1"/>
                  </w14:solidFill>
                </w14:textFill>
              </w:rPr>
            </w:pPr>
          </w:p>
        </w:tc>
        <w:tc>
          <w:tcPr>
            <w:tcW w:w="848" w:type="dxa"/>
            <w:vAlign w:val="center"/>
          </w:tcPr>
          <w:p w14:paraId="28597FFC">
            <w:pPr>
              <w:widowControl/>
              <w:contextualSpacing/>
              <w:rPr>
                <w:rFonts w:cs="Times New Roman"/>
                <w:color w:val="000000" w:themeColor="text1"/>
                <w14:textFill>
                  <w14:solidFill>
                    <w14:schemeClr w14:val="tx1"/>
                  </w14:solidFill>
                </w14:textFill>
              </w:rPr>
            </w:pPr>
          </w:p>
        </w:tc>
        <w:tc>
          <w:tcPr>
            <w:tcW w:w="848" w:type="dxa"/>
            <w:vAlign w:val="center"/>
          </w:tcPr>
          <w:p w14:paraId="7A85A4A2">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59</w:t>
            </w:r>
          </w:p>
        </w:tc>
        <w:tc>
          <w:tcPr>
            <w:tcW w:w="848" w:type="dxa"/>
            <w:vAlign w:val="center"/>
          </w:tcPr>
          <w:p w14:paraId="5833400C">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19</w:t>
            </w:r>
          </w:p>
        </w:tc>
        <w:tc>
          <w:tcPr>
            <w:tcW w:w="848" w:type="dxa"/>
            <w:vAlign w:val="center"/>
          </w:tcPr>
          <w:p w14:paraId="22C89258">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19</w:t>
            </w:r>
          </w:p>
        </w:tc>
        <w:tc>
          <w:tcPr>
            <w:tcW w:w="848" w:type="dxa"/>
            <w:vAlign w:val="center"/>
          </w:tcPr>
          <w:p w14:paraId="7C79B412">
            <w:pPr>
              <w:widowControl/>
              <w:contextualSpacing/>
              <w:rPr>
                <w:rFonts w:cs="Times New Roman"/>
                <w:color w:val="000000" w:themeColor="text1"/>
                <w14:textFill>
                  <w14:solidFill>
                    <w14:schemeClr w14:val="tx1"/>
                  </w14:solidFill>
                </w14:textFill>
              </w:rPr>
            </w:pPr>
          </w:p>
        </w:tc>
        <w:tc>
          <w:tcPr>
            <w:tcW w:w="852" w:type="dxa"/>
            <w:vAlign w:val="center"/>
          </w:tcPr>
          <w:p w14:paraId="2B836293">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10</w:t>
            </w:r>
          </w:p>
        </w:tc>
      </w:tr>
      <w:tr w14:paraId="5241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40" w:type="dxa"/>
            <w:vAlign w:val="center"/>
          </w:tcPr>
          <w:p w14:paraId="51AEEC55">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选厂切坡</w:t>
            </w:r>
          </w:p>
        </w:tc>
        <w:tc>
          <w:tcPr>
            <w:tcW w:w="795" w:type="dxa"/>
            <w:vAlign w:val="center"/>
          </w:tcPr>
          <w:p w14:paraId="1FC340D9">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280</w:t>
            </w:r>
          </w:p>
        </w:tc>
        <w:tc>
          <w:tcPr>
            <w:tcW w:w="848" w:type="dxa"/>
            <w:vAlign w:val="center"/>
          </w:tcPr>
          <w:p w14:paraId="312CEC42">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149</w:t>
            </w:r>
          </w:p>
        </w:tc>
        <w:tc>
          <w:tcPr>
            <w:tcW w:w="848" w:type="dxa"/>
            <w:vAlign w:val="center"/>
          </w:tcPr>
          <w:p w14:paraId="0A5EBFD0">
            <w:pPr>
              <w:widowControl/>
              <w:contextualSpacing/>
              <w:rPr>
                <w:rFonts w:cs="Times New Roman"/>
                <w:color w:val="000000" w:themeColor="text1"/>
                <w14:textFill>
                  <w14:solidFill>
                    <w14:schemeClr w14:val="tx1"/>
                  </w14:solidFill>
                </w14:textFill>
              </w:rPr>
            </w:pPr>
          </w:p>
        </w:tc>
        <w:tc>
          <w:tcPr>
            <w:tcW w:w="848" w:type="dxa"/>
            <w:vAlign w:val="center"/>
          </w:tcPr>
          <w:p w14:paraId="4E379D9C">
            <w:pPr>
              <w:widowControl/>
              <w:contextualSpacing/>
              <w:rPr>
                <w:rFonts w:cs="Times New Roman"/>
                <w:color w:val="000000" w:themeColor="text1"/>
                <w14:textFill>
                  <w14:solidFill>
                    <w14:schemeClr w14:val="tx1"/>
                  </w14:solidFill>
                </w14:textFill>
              </w:rPr>
            </w:pPr>
          </w:p>
        </w:tc>
        <w:tc>
          <w:tcPr>
            <w:tcW w:w="848" w:type="dxa"/>
            <w:vAlign w:val="center"/>
          </w:tcPr>
          <w:p w14:paraId="5D747762">
            <w:pPr>
              <w:widowControl/>
              <w:contextualSpacing/>
              <w:rPr>
                <w:rFonts w:cs="Times New Roman"/>
                <w:color w:val="000000" w:themeColor="text1"/>
                <w14:textFill>
                  <w14:solidFill>
                    <w14:schemeClr w14:val="tx1"/>
                  </w14:solidFill>
                </w14:textFill>
              </w:rPr>
            </w:pPr>
          </w:p>
        </w:tc>
        <w:tc>
          <w:tcPr>
            <w:tcW w:w="848" w:type="dxa"/>
            <w:vAlign w:val="center"/>
          </w:tcPr>
          <w:p w14:paraId="3F6B681A">
            <w:pPr>
              <w:widowControl/>
              <w:contextualSpacing/>
              <w:rPr>
                <w:rFonts w:cs="Times New Roman"/>
                <w:color w:val="000000" w:themeColor="text1"/>
                <w14:textFill>
                  <w14:solidFill>
                    <w14:schemeClr w14:val="tx1"/>
                  </w14:solidFill>
                </w14:textFill>
              </w:rPr>
            </w:pPr>
          </w:p>
        </w:tc>
        <w:tc>
          <w:tcPr>
            <w:tcW w:w="848" w:type="dxa"/>
            <w:vAlign w:val="center"/>
          </w:tcPr>
          <w:p w14:paraId="19A8E5BD">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280</w:t>
            </w:r>
          </w:p>
        </w:tc>
        <w:tc>
          <w:tcPr>
            <w:tcW w:w="852" w:type="dxa"/>
            <w:vAlign w:val="center"/>
          </w:tcPr>
          <w:p w14:paraId="5C6A1B43">
            <w:pPr>
              <w:widowControl/>
              <w:contextualSpacing/>
              <w:rPr>
                <w:rFonts w:cs="Times New Roman"/>
                <w:color w:val="000000" w:themeColor="text1"/>
                <w14:textFill>
                  <w14:solidFill>
                    <w14:schemeClr w14:val="tx1"/>
                  </w14:solidFill>
                </w14:textFill>
              </w:rPr>
            </w:pPr>
          </w:p>
        </w:tc>
      </w:tr>
      <w:tr w14:paraId="5B5A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40" w:type="dxa"/>
            <w:vAlign w:val="center"/>
          </w:tcPr>
          <w:p w14:paraId="4AEE7912">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办公生活区切坡</w:t>
            </w:r>
          </w:p>
        </w:tc>
        <w:tc>
          <w:tcPr>
            <w:tcW w:w="795" w:type="dxa"/>
            <w:vAlign w:val="center"/>
          </w:tcPr>
          <w:p w14:paraId="7A2D213B">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775</w:t>
            </w:r>
          </w:p>
        </w:tc>
        <w:tc>
          <w:tcPr>
            <w:tcW w:w="848" w:type="dxa"/>
            <w:vAlign w:val="center"/>
          </w:tcPr>
          <w:p w14:paraId="0183EB5A">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207</w:t>
            </w:r>
          </w:p>
        </w:tc>
        <w:tc>
          <w:tcPr>
            <w:tcW w:w="848" w:type="dxa"/>
            <w:vAlign w:val="center"/>
          </w:tcPr>
          <w:p w14:paraId="444343E6">
            <w:pPr>
              <w:widowControl/>
              <w:contextualSpacing/>
              <w:rPr>
                <w:rFonts w:cs="Times New Roman"/>
                <w:color w:val="000000" w:themeColor="text1"/>
                <w14:textFill>
                  <w14:solidFill>
                    <w14:schemeClr w14:val="tx1"/>
                  </w14:solidFill>
                </w14:textFill>
              </w:rPr>
            </w:pPr>
          </w:p>
        </w:tc>
        <w:tc>
          <w:tcPr>
            <w:tcW w:w="848" w:type="dxa"/>
            <w:vAlign w:val="center"/>
          </w:tcPr>
          <w:p w14:paraId="310B916E">
            <w:pPr>
              <w:widowControl/>
              <w:contextualSpacing/>
              <w:rPr>
                <w:rFonts w:cs="Times New Roman"/>
                <w:color w:val="000000" w:themeColor="text1"/>
                <w14:textFill>
                  <w14:solidFill>
                    <w14:schemeClr w14:val="tx1"/>
                  </w14:solidFill>
                </w14:textFill>
              </w:rPr>
            </w:pPr>
          </w:p>
        </w:tc>
        <w:tc>
          <w:tcPr>
            <w:tcW w:w="848" w:type="dxa"/>
            <w:vAlign w:val="center"/>
          </w:tcPr>
          <w:p w14:paraId="203605E1">
            <w:pPr>
              <w:widowControl/>
              <w:contextualSpacing/>
              <w:rPr>
                <w:rFonts w:cs="Times New Roman"/>
                <w:color w:val="000000" w:themeColor="text1"/>
                <w14:textFill>
                  <w14:solidFill>
                    <w14:schemeClr w14:val="tx1"/>
                  </w14:solidFill>
                </w14:textFill>
              </w:rPr>
            </w:pPr>
          </w:p>
        </w:tc>
        <w:tc>
          <w:tcPr>
            <w:tcW w:w="848" w:type="dxa"/>
            <w:vAlign w:val="center"/>
          </w:tcPr>
          <w:p w14:paraId="291A50D2">
            <w:pPr>
              <w:widowControl/>
              <w:contextualSpacing/>
              <w:rPr>
                <w:rFonts w:cs="Times New Roman"/>
                <w:color w:val="000000" w:themeColor="text1"/>
                <w14:textFill>
                  <w14:solidFill>
                    <w14:schemeClr w14:val="tx1"/>
                  </w14:solidFill>
                </w14:textFill>
              </w:rPr>
            </w:pPr>
          </w:p>
        </w:tc>
        <w:tc>
          <w:tcPr>
            <w:tcW w:w="848" w:type="dxa"/>
            <w:vAlign w:val="center"/>
          </w:tcPr>
          <w:p w14:paraId="2540291C">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775</w:t>
            </w:r>
          </w:p>
        </w:tc>
        <w:tc>
          <w:tcPr>
            <w:tcW w:w="852" w:type="dxa"/>
            <w:vAlign w:val="center"/>
          </w:tcPr>
          <w:p w14:paraId="21161332">
            <w:pPr>
              <w:widowControl/>
              <w:contextualSpacing/>
              <w:rPr>
                <w:rFonts w:cs="Times New Roman"/>
                <w:color w:val="000000" w:themeColor="text1"/>
                <w14:textFill>
                  <w14:solidFill>
                    <w14:schemeClr w14:val="tx1"/>
                  </w14:solidFill>
                </w14:textFill>
              </w:rPr>
            </w:pPr>
          </w:p>
        </w:tc>
      </w:tr>
      <w:tr w14:paraId="6A47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40" w:type="dxa"/>
            <w:vAlign w:val="center"/>
          </w:tcPr>
          <w:p w14:paraId="2056D6A4">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部分道路及切坡</w:t>
            </w:r>
          </w:p>
        </w:tc>
        <w:tc>
          <w:tcPr>
            <w:tcW w:w="795" w:type="dxa"/>
            <w:vAlign w:val="center"/>
          </w:tcPr>
          <w:p w14:paraId="59BB7ABC">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320</w:t>
            </w:r>
          </w:p>
        </w:tc>
        <w:tc>
          <w:tcPr>
            <w:tcW w:w="848" w:type="dxa"/>
            <w:vAlign w:val="center"/>
          </w:tcPr>
          <w:p w14:paraId="4F790E63">
            <w:pPr>
              <w:widowControl/>
              <w:contextualSpacing/>
              <w:rPr>
                <w:rFonts w:cs="Times New Roman"/>
                <w:color w:val="000000" w:themeColor="text1"/>
                <w14:textFill>
                  <w14:solidFill>
                    <w14:schemeClr w14:val="tx1"/>
                  </w14:solidFill>
                </w14:textFill>
              </w:rPr>
            </w:pPr>
          </w:p>
        </w:tc>
        <w:tc>
          <w:tcPr>
            <w:tcW w:w="848" w:type="dxa"/>
            <w:vAlign w:val="center"/>
          </w:tcPr>
          <w:p w14:paraId="12FC68AC">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293</w:t>
            </w:r>
          </w:p>
        </w:tc>
        <w:tc>
          <w:tcPr>
            <w:tcW w:w="848" w:type="dxa"/>
            <w:vAlign w:val="center"/>
          </w:tcPr>
          <w:p w14:paraId="23FE871B">
            <w:pPr>
              <w:widowControl/>
              <w:contextualSpacing/>
              <w:rPr>
                <w:rFonts w:cs="Times New Roman"/>
                <w:color w:val="000000" w:themeColor="text1"/>
                <w14:textFill>
                  <w14:solidFill>
                    <w14:schemeClr w14:val="tx1"/>
                  </w14:solidFill>
                </w14:textFill>
              </w:rPr>
            </w:pPr>
          </w:p>
        </w:tc>
        <w:tc>
          <w:tcPr>
            <w:tcW w:w="848" w:type="dxa"/>
            <w:vAlign w:val="center"/>
          </w:tcPr>
          <w:p w14:paraId="657F4A10">
            <w:pPr>
              <w:widowControl/>
              <w:contextualSpacing/>
              <w:rPr>
                <w:rFonts w:cs="Times New Roman"/>
                <w:color w:val="000000" w:themeColor="text1"/>
                <w14:textFill>
                  <w14:solidFill>
                    <w14:schemeClr w14:val="tx1"/>
                  </w14:solidFill>
                </w14:textFill>
              </w:rPr>
            </w:pPr>
          </w:p>
        </w:tc>
        <w:tc>
          <w:tcPr>
            <w:tcW w:w="848" w:type="dxa"/>
            <w:vAlign w:val="center"/>
          </w:tcPr>
          <w:p w14:paraId="1082521F">
            <w:pPr>
              <w:widowControl/>
              <w:contextualSpacing/>
              <w:rPr>
                <w:rFonts w:cs="Times New Roman"/>
                <w:color w:val="000000" w:themeColor="text1"/>
                <w14:textFill>
                  <w14:solidFill>
                    <w14:schemeClr w14:val="tx1"/>
                  </w14:solidFill>
                </w14:textFill>
              </w:rPr>
            </w:pPr>
          </w:p>
        </w:tc>
        <w:tc>
          <w:tcPr>
            <w:tcW w:w="848" w:type="dxa"/>
            <w:vAlign w:val="center"/>
          </w:tcPr>
          <w:p w14:paraId="25490262">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320</w:t>
            </w:r>
          </w:p>
        </w:tc>
        <w:tc>
          <w:tcPr>
            <w:tcW w:w="852" w:type="dxa"/>
            <w:vAlign w:val="center"/>
          </w:tcPr>
          <w:p w14:paraId="4407CC9A">
            <w:pPr>
              <w:widowControl/>
              <w:contextualSpacing/>
              <w:rPr>
                <w:rFonts w:cs="Times New Roman"/>
                <w:color w:val="000000" w:themeColor="text1"/>
                <w14:textFill>
                  <w14:solidFill>
                    <w14:schemeClr w14:val="tx1"/>
                  </w14:solidFill>
                </w14:textFill>
              </w:rPr>
            </w:pPr>
          </w:p>
        </w:tc>
      </w:tr>
      <w:tr w14:paraId="2CAE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40" w:type="dxa"/>
            <w:vAlign w:val="center"/>
          </w:tcPr>
          <w:p w14:paraId="144BDC4F">
            <w:pPr>
              <w:widowControl/>
              <w:contextualSpacing/>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合 计</w:t>
            </w:r>
          </w:p>
        </w:tc>
        <w:tc>
          <w:tcPr>
            <w:tcW w:w="795" w:type="dxa"/>
            <w:vAlign w:val="center"/>
          </w:tcPr>
          <w:p w14:paraId="74274B45">
            <w:pPr>
              <w:widowControl/>
              <w:contextualSpacing/>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1535</w:t>
            </w:r>
          </w:p>
        </w:tc>
        <w:tc>
          <w:tcPr>
            <w:tcW w:w="848" w:type="dxa"/>
            <w:vAlign w:val="center"/>
          </w:tcPr>
          <w:p w14:paraId="7821D07C">
            <w:pPr>
              <w:widowControl/>
              <w:contextualSpacing/>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356</w:t>
            </w:r>
          </w:p>
        </w:tc>
        <w:tc>
          <w:tcPr>
            <w:tcW w:w="848" w:type="dxa"/>
            <w:vAlign w:val="center"/>
          </w:tcPr>
          <w:p w14:paraId="27D6CB80">
            <w:pPr>
              <w:widowControl/>
              <w:contextualSpacing/>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293</w:t>
            </w:r>
          </w:p>
        </w:tc>
        <w:tc>
          <w:tcPr>
            <w:tcW w:w="848" w:type="dxa"/>
            <w:vAlign w:val="center"/>
          </w:tcPr>
          <w:p w14:paraId="28DE03DF">
            <w:pPr>
              <w:widowControl/>
              <w:contextualSpacing/>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265</w:t>
            </w:r>
          </w:p>
        </w:tc>
        <w:tc>
          <w:tcPr>
            <w:tcW w:w="848" w:type="dxa"/>
            <w:vAlign w:val="center"/>
          </w:tcPr>
          <w:p w14:paraId="738126FC">
            <w:pPr>
              <w:widowControl/>
              <w:contextualSpacing/>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81</w:t>
            </w:r>
          </w:p>
        </w:tc>
        <w:tc>
          <w:tcPr>
            <w:tcW w:w="848" w:type="dxa"/>
            <w:vAlign w:val="center"/>
          </w:tcPr>
          <w:p w14:paraId="68B086C4">
            <w:pPr>
              <w:widowControl/>
              <w:contextualSpacing/>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81</w:t>
            </w:r>
          </w:p>
        </w:tc>
        <w:tc>
          <w:tcPr>
            <w:tcW w:w="848" w:type="dxa"/>
            <w:vAlign w:val="center"/>
          </w:tcPr>
          <w:p w14:paraId="6A62D8F8">
            <w:pPr>
              <w:widowControl/>
              <w:contextualSpacing/>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1375</w:t>
            </w:r>
          </w:p>
        </w:tc>
        <w:tc>
          <w:tcPr>
            <w:tcW w:w="852" w:type="dxa"/>
            <w:vAlign w:val="center"/>
          </w:tcPr>
          <w:p w14:paraId="1437AC4C">
            <w:pPr>
              <w:widowControl/>
              <w:contextualSpacing/>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42</w:t>
            </w:r>
          </w:p>
        </w:tc>
      </w:tr>
    </w:tbl>
    <w:p w14:paraId="2ABFAC40">
      <w:pPr>
        <w:spacing w:before="156" w:beforeLines="50"/>
        <w:contextualSpacing/>
        <w:rPr>
          <w:rFonts w:hint="eastAsia" w:cs="Times New Roman" w:eastAsiaTheme="minorEastAsia"/>
          <w:color w:val="FF0000"/>
          <w:sz w:val="24"/>
          <w:szCs w:val="24"/>
          <w:lang w:eastAsia="zh-CN"/>
        </w:rPr>
      </w:pPr>
      <w:r>
        <w:rPr>
          <w:rFonts w:hint="eastAsia"/>
          <w:lang w:eastAsia="zh-CN"/>
        </w:rPr>
        <w:t xml:space="preserve">      </w:t>
      </w:r>
    </w:p>
    <w:p w14:paraId="14709E58">
      <w:pPr>
        <w:spacing w:line="360" w:lineRule="auto"/>
        <w:contextualSpacing/>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照片2-2  废渣堆治理效果</w:t>
      </w:r>
    </w:p>
    <w:p w14:paraId="78304DAC">
      <w:pPr>
        <w:contextualSpacing/>
        <w:rPr>
          <w:rFonts w:hint="eastAsia" w:cs="Times New Roman" w:eastAsiaTheme="minorEastAsia"/>
          <w:color w:val="FF0000"/>
          <w:sz w:val="24"/>
          <w:szCs w:val="24"/>
          <w:lang w:eastAsia="zh-CN"/>
        </w:rPr>
      </w:pPr>
      <w:r>
        <w:rPr>
          <w:rFonts w:hint="eastAsia"/>
          <w:lang w:eastAsia="zh-CN"/>
        </w:rPr>
        <w:t xml:space="preserve">      </w:t>
      </w:r>
    </w:p>
    <w:p w14:paraId="49D5DA1A">
      <w:pPr>
        <w:spacing w:line="360" w:lineRule="auto"/>
        <w:contextualSpacing/>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照片2-3  办公生活区切坡治理效果</w:t>
      </w:r>
    </w:p>
    <w:p w14:paraId="760ACDED">
      <w:pPr>
        <w:spacing w:line="360" w:lineRule="auto"/>
        <w:ind w:firstLine="482" w:firstLineChars="200"/>
        <w:contextualSpacing/>
        <w:jc w:val="left"/>
        <w:rPr>
          <w:rFonts w:cs="Times New Roman"/>
          <w:b/>
          <w:bCs/>
          <w:color w:val="000000" w:themeColor="text1"/>
          <w:sz w:val="24"/>
          <w:szCs w:val="24"/>
          <w14:textFill>
            <w14:solidFill>
              <w14:schemeClr w14:val="tx1"/>
            </w14:solidFill>
          </w14:textFill>
        </w:rPr>
      </w:pPr>
      <w:r>
        <w:rPr>
          <w:rFonts w:hint="eastAsia" w:cs="Times New Roman"/>
          <w:b/>
          <w:bCs/>
          <w:color w:val="000000" w:themeColor="text1"/>
          <w:sz w:val="24"/>
          <w:szCs w:val="24"/>
          <w14:textFill>
            <w14:solidFill>
              <w14:schemeClr w14:val="tx1"/>
            </w14:solidFill>
          </w14:textFill>
        </w:rPr>
        <w:t>（三）2020年度治理计划书</w:t>
      </w:r>
    </w:p>
    <w:p w14:paraId="17BCE4E8">
      <w:pPr>
        <w:spacing w:line="360" w:lineRule="auto"/>
        <w:ind w:firstLine="480" w:firstLineChars="200"/>
        <w:contextualSpacing/>
        <w:jc w:val="lef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《2020年度治理计划书》设计治理内容为继续完成“二分期”设计治理内容。</w:t>
      </w:r>
    </w:p>
    <w:p w14:paraId="7AF073B2">
      <w:pPr>
        <w:spacing w:line="360" w:lineRule="auto"/>
        <w:ind w:firstLine="482" w:firstLineChars="200"/>
        <w:contextualSpacing/>
        <w:jc w:val="left"/>
        <w:rPr>
          <w:rFonts w:cs="Times New Roman"/>
          <w:b/>
          <w:bCs/>
          <w:color w:val="000000" w:themeColor="text1"/>
          <w:sz w:val="24"/>
          <w:szCs w:val="24"/>
          <w14:textFill>
            <w14:solidFill>
              <w14:schemeClr w14:val="tx1"/>
            </w14:solidFill>
          </w14:textFill>
        </w:rPr>
      </w:pPr>
      <w:r>
        <w:rPr>
          <w:rFonts w:hint="eastAsia" w:cs="Times New Roman"/>
          <w:b/>
          <w:bCs/>
          <w:color w:val="000000" w:themeColor="text1"/>
          <w:sz w:val="24"/>
          <w:szCs w:val="24"/>
          <w14:textFill>
            <w14:solidFill>
              <w14:schemeClr w14:val="tx1"/>
            </w14:solidFill>
          </w14:textFill>
        </w:rPr>
        <w:t>（四）2021年度治理计划书</w:t>
      </w:r>
    </w:p>
    <w:p w14:paraId="29476520">
      <w:pPr>
        <w:spacing w:line="360" w:lineRule="auto"/>
        <w:ind w:firstLine="480" w:firstLineChars="200"/>
        <w:contextualSpacing/>
        <w:jc w:val="lef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《2021年度治理计划书》设计治理内容为：对办公生活区周边种植景观树，总种树工程量67株。</w:t>
      </w:r>
    </w:p>
    <w:p w14:paraId="593C2136">
      <w:pPr>
        <w:rPr>
          <w:rFonts w:cs="Times New Roman"/>
          <w:b/>
          <w:bCs/>
          <w:color w:val="FF0000"/>
          <w:sz w:val="24"/>
          <w:szCs w:val="24"/>
        </w:rPr>
      </w:pPr>
      <w:r>
        <w:rPr>
          <w:rFonts w:hint="eastAsia" w:cs="Times New Roman"/>
          <w:b/>
          <w:bCs/>
          <w:color w:val="FF0000"/>
          <w:sz w:val="24"/>
          <w:szCs w:val="24"/>
        </w:rPr>
        <w:br w:type="page"/>
      </w:r>
    </w:p>
    <w:p w14:paraId="1305AC0B">
      <w:pPr>
        <w:contextualSpacing/>
        <w:rPr>
          <w:rFonts w:hint="eastAsia" w:cs="Times New Roman" w:eastAsiaTheme="minorEastAsia"/>
          <w:color w:val="FF0000"/>
          <w:sz w:val="24"/>
          <w:szCs w:val="24"/>
          <w:lang w:eastAsia="zh-CN"/>
        </w:rPr>
      </w:pPr>
      <w:r>
        <w:rPr>
          <w:rFonts w:hint="eastAsia"/>
          <w:lang w:eastAsia="zh-CN"/>
        </w:rPr>
        <w:t xml:space="preserve">      </w:t>
      </w:r>
    </w:p>
    <w:p w14:paraId="4ADBC97A">
      <w:pPr>
        <w:spacing w:line="360" w:lineRule="auto"/>
        <w:contextualSpacing/>
        <w:rPr>
          <w:rFonts w:cs="Times New Roman"/>
          <w:color w:val="FF0000"/>
          <w:sz w:val="24"/>
          <w:szCs w:val="24"/>
        </w:rPr>
      </w:pPr>
      <w:r>
        <w:rPr>
          <w:rFonts w:hint="eastAsia" w:ascii="黑体" w:hAnsi="黑体" w:eastAsia="黑体" w:cs="黑体"/>
          <w:color w:val="000000" w:themeColor="text1"/>
          <w:sz w:val="24"/>
          <w:szCs w:val="24"/>
          <w14:textFill>
            <w14:solidFill>
              <w14:schemeClr w14:val="tx1"/>
            </w14:solidFill>
          </w14:textFill>
        </w:rPr>
        <w:t>照片2-4  办公生活区周边种树治理效果</w:t>
      </w:r>
    </w:p>
    <w:p w14:paraId="3450F1E4">
      <w:pPr>
        <w:spacing w:line="360" w:lineRule="auto"/>
        <w:ind w:firstLine="482" w:firstLineChars="200"/>
        <w:contextualSpacing/>
        <w:jc w:val="left"/>
        <w:rPr>
          <w:rFonts w:cs="Times New Roman"/>
          <w:b/>
          <w:bCs/>
          <w:color w:val="000000" w:themeColor="text1"/>
          <w:sz w:val="24"/>
          <w:szCs w:val="24"/>
          <w14:textFill>
            <w14:solidFill>
              <w14:schemeClr w14:val="tx1"/>
            </w14:solidFill>
          </w14:textFill>
        </w:rPr>
      </w:pPr>
      <w:bookmarkStart w:id="11" w:name="_Toc27023"/>
      <w:r>
        <w:rPr>
          <w:rFonts w:hint="eastAsia" w:cs="Times New Roman"/>
          <w:b/>
          <w:bCs/>
          <w:color w:val="000000" w:themeColor="text1"/>
          <w:sz w:val="24"/>
          <w:szCs w:val="24"/>
          <w14:textFill>
            <w14:solidFill>
              <w14:schemeClr w14:val="tx1"/>
            </w14:solidFill>
          </w14:textFill>
        </w:rPr>
        <w:t>（五）2022年度治理计划书</w:t>
      </w:r>
    </w:p>
    <w:p w14:paraId="5B348D4E">
      <w:pPr>
        <w:spacing w:line="360" w:lineRule="auto"/>
        <w:ind w:firstLine="480" w:firstLineChars="200"/>
        <w:jc w:val="both"/>
        <w:outlineLvl w:val="1"/>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《2022年度治理计划书》设计治理内容为：对选厂周边种植松树，总种树工程量88株。</w:t>
      </w:r>
    </w:p>
    <w:p w14:paraId="4ED15879">
      <w:pPr>
        <w:spacing w:line="360" w:lineRule="auto"/>
        <w:ind w:firstLine="482" w:firstLineChars="200"/>
        <w:contextualSpacing/>
        <w:jc w:val="left"/>
        <w:rPr>
          <w:rFonts w:cs="Times New Roman"/>
          <w:b/>
          <w:bCs/>
          <w:color w:val="000000" w:themeColor="text1"/>
          <w:sz w:val="24"/>
          <w:szCs w:val="24"/>
          <w14:textFill>
            <w14:solidFill>
              <w14:schemeClr w14:val="tx1"/>
            </w14:solidFill>
          </w14:textFill>
        </w:rPr>
      </w:pPr>
      <w:r>
        <w:rPr>
          <w:rFonts w:hint="eastAsia" w:cs="Times New Roman"/>
          <w:b/>
          <w:bCs/>
          <w:color w:val="000000" w:themeColor="text1"/>
          <w:sz w:val="24"/>
          <w:szCs w:val="24"/>
          <w14:textFill>
            <w14:solidFill>
              <w14:schemeClr w14:val="tx1"/>
            </w14:solidFill>
          </w14:textFill>
        </w:rPr>
        <w:t>（六）2023年度治理计划书</w:t>
      </w:r>
    </w:p>
    <w:p w14:paraId="456C5B29">
      <w:pPr>
        <w:spacing w:line="360" w:lineRule="auto"/>
        <w:ind w:firstLine="480" w:firstLineChars="200"/>
        <w:jc w:val="both"/>
        <w:outlineLvl w:val="1"/>
        <w:rPr>
          <w:rFonts w:hint="eastAsia"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《2023年度治理计划书》设计治理内容为：对矿山进行监测，对前期植被恢复效果不佳的区域进行补种补植、管护。</w:t>
      </w:r>
    </w:p>
    <w:p w14:paraId="68960A43">
      <w:pPr>
        <w:spacing w:line="360" w:lineRule="auto"/>
        <w:ind w:firstLine="482" w:firstLineChars="200"/>
        <w:contextualSpacing/>
        <w:jc w:val="left"/>
        <w:rPr>
          <w:rFonts w:cs="Times New Roman"/>
          <w:b/>
          <w:bCs/>
          <w:color w:val="000000" w:themeColor="text1"/>
          <w:sz w:val="24"/>
          <w:szCs w:val="24"/>
          <w14:textFill>
            <w14:solidFill>
              <w14:schemeClr w14:val="tx1"/>
            </w14:solidFill>
          </w14:textFill>
        </w:rPr>
      </w:pPr>
      <w:r>
        <w:rPr>
          <w:rFonts w:hint="eastAsia" w:cs="Times New Roman"/>
          <w:b/>
          <w:bCs/>
          <w:color w:val="000000" w:themeColor="text1"/>
          <w:sz w:val="24"/>
          <w:szCs w:val="24"/>
          <w14:textFill>
            <w14:solidFill>
              <w14:schemeClr w14:val="tx1"/>
            </w14:solidFill>
          </w14:textFill>
        </w:rPr>
        <w:t>（七）2024年度治理计划书</w:t>
      </w:r>
    </w:p>
    <w:p w14:paraId="1227D176">
      <w:pPr>
        <w:spacing w:line="360" w:lineRule="auto"/>
        <w:ind w:firstLine="480" w:firstLineChars="200"/>
        <w:jc w:val="both"/>
        <w:outlineLvl w:val="1"/>
      </w:pPr>
      <w:r>
        <w:rPr>
          <w:rFonts w:hint="eastAsia" w:cs="Times New Roman"/>
          <w:color w:val="000000" w:themeColor="text1"/>
          <w:sz w:val="24"/>
          <w:szCs w:val="24"/>
          <w14:textFill>
            <w14:solidFill>
              <w14:schemeClr w14:val="tx1"/>
            </w14:solidFill>
          </w14:textFill>
        </w:rPr>
        <w:t>《2024年度治理计划书》设计治理内容为：对矿山进行监测，对前期植被进行管护。</w:t>
      </w:r>
    </w:p>
    <w:p w14:paraId="21FE85ED">
      <w:pPr>
        <w:spacing w:line="360" w:lineRule="auto"/>
        <w:jc w:val="both"/>
        <w:outlineLvl w:val="1"/>
        <w:rPr>
          <w:rFonts w:eastAsia="宋体" w:cs="Times New Roman"/>
          <w:b/>
          <w:bCs/>
          <w:color w:val="000000" w:themeColor="text1"/>
          <w:sz w:val="32"/>
          <w:szCs w:val="32"/>
          <w14:textFill>
            <w14:solidFill>
              <w14:schemeClr w14:val="tx1"/>
            </w14:solidFill>
          </w14:textFill>
        </w:rPr>
      </w:pPr>
      <w:r>
        <w:rPr>
          <w:rFonts w:eastAsia="宋体" w:cs="Times New Roman"/>
          <w:b/>
          <w:bCs/>
          <w:color w:val="000000" w:themeColor="text1"/>
          <w:sz w:val="32"/>
          <w:szCs w:val="32"/>
          <w14:textFill>
            <w14:solidFill>
              <w14:schemeClr w14:val="tx1"/>
            </w14:solidFill>
          </w14:textFill>
        </w:rPr>
        <w:t>三、矿山地质环境治理方案执行情况</w:t>
      </w:r>
      <w:bookmarkEnd w:id="11"/>
    </w:p>
    <w:p w14:paraId="67BD7C69">
      <w:pPr>
        <w:spacing w:line="360" w:lineRule="auto"/>
        <w:ind w:firstLine="482"/>
        <w:jc w:val="left"/>
        <w:rPr>
          <w:rFonts w:eastAsia="宋体" w:cs="Times New Roman"/>
          <w:b/>
          <w:bCs/>
          <w:color w:val="000000" w:themeColor="text1"/>
          <w:sz w:val="24"/>
          <w:szCs w:val="24"/>
          <w14:textFill>
            <w14:solidFill>
              <w14:schemeClr w14:val="tx1"/>
            </w14:solidFill>
          </w14:textFill>
        </w:rPr>
      </w:pPr>
      <w:r>
        <w:rPr>
          <w:rFonts w:eastAsia="宋体" w:cs="Times New Roman"/>
          <w:b/>
          <w:bCs/>
          <w:color w:val="000000" w:themeColor="text1"/>
          <w:sz w:val="24"/>
          <w:szCs w:val="24"/>
          <w14:textFill>
            <w14:solidFill>
              <w14:schemeClr w14:val="tx1"/>
            </w14:solidFill>
          </w14:textFill>
        </w:rPr>
        <w:t>（一）治理方案完成情况</w:t>
      </w:r>
    </w:p>
    <w:p w14:paraId="662CD27D">
      <w:pPr>
        <w:spacing w:line="360" w:lineRule="auto"/>
        <w:ind w:firstLine="482"/>
        <w:jc w:val="left"/>
        <w:rPr>
          <w:rFonts w:eastAsia="宋体" w:cs="Times New Roman"/>
          <w:b/>
          <w:bCs/>
          <w:color w:val="000000" w:themeColor="text1"/>
          <w:sz w:val="24"/>
          <w:szCs w:val="24"/>
          <w14:textFill>
            <w14:solidFill>
              <w14:schemeClr w14:val="tx1"/>
            </w14:solidFill>
          </w14:textFill>
        </w:rPr>
      </w:pPr>
      <w:r>
        <w:rPr>
          <w:rFonts w:eastAsia="宋体" w:cs="Times New Roman"/>
          <w:b/>
          <w:bCs/>
          <w:color w:val="000000" w:themeColor="text1"/>
          <w:sz w:val="24"/>
          <w:szCs w:val="24"/>
          <w14:textFill>
            <w14:solidFill>
              <w14:schemeClr w14:val="tx1"/>
            </w14:solidFill>
          </w14:textFill>
        </w:rPr>
        <w:t>1、</w:t>
      </w:r>
      <w:r>
        <w:rPr>
          <w:rFonts w:hint="eastAsia" w:eastAsia="宋体" w:cs="Times New Roman"/>
          <w:b/>
          <w:bCs/>
          <w:color w:val="000000" w:themeColor="text1"/>
          <w:sz w:val="24"/>
          <w:szCs w:val="24"/>
          <w14:textFill>
            <w14:solidFill>
              <w14:schemeClr w14:val="tx1"/>
            </w14:solidFill>
          </w14:textFill>
        </w:rPr>
        <w:t>《</w:t>
      </w:r>
      <w:r>
        <w:rPr>
          <w:rFonts w:eastAsia="宋体" w:cs="Times New Roman"/>
          <w:b/>
          <w:bCs/>
          <w:color w:val="000000" w:themeColor="text1"/>
          <w:sz w:val="24"/>
          <w:szCs w:val="24"/>
          <w14:textFill>
            <w14:solidFill>
              <w14:schemeClr w14:val="tx1"/>
            </w14:solidFill>
          </w14:textFill>
        </w:rPr>
        <w:t>一分期治理方案</w:t>
      </w:r>
      <w:r>
        <w:rPr>
          <w:rFonts w:hint="eastAsia" w:eastAsia="宋体" w:cs="Times New Roman"/>
          <w:b/>
          <w:bCs/>
          <w:color w:val="000000" w:themeColor="text1"/>
          <w:sz w:val="24"/>
          <w:szCs w:val="24"/>
          <w14:textFill>
            <w14:solidFill>
              <w14:schemeClr w14:val="tx1"/>
            </w14:solidFill>
          </w14:textFill>
        </w:rPr>
        <w:t>》</w:t>
      </w:r>
      <w:r>
        <w:rPr>
          <w:rFonts w:eastAsia="宋体" w:cs="Times New Roman"/>
          <w:b/>
          <w:bCs/>
          <w:color w:val="000000" w:themeColor="text1"/>
          <w:sz w:val="24"/>
          <w:szCs w:val="24"/>
          <w14:textFill>
            <w14:solidFill>
              <w14:schemeClr w14:val="tx1"/>
            </w14:solidFill>
          </w14:textFill>
        </w:rPr>
        <w:t>完成情况</w:t>
      </w:r>
    </w:p>
    <w:p w14:paraId="1B798281">
      <w:pPr>
        <w:spacing w:line="360" w:lineRule="auto"/>
        <w:ind w:firstLine="482"/>
        <w:jc w:val="left"/>
        <w:rPr>
          <w:rFonts w:eastAsia="宋体" w:cs="Times New Roman"/>
          <w:color w:val="000000" w:themeColor="text1"/>
          <w:sz w:val="24"/>
          <w:szCs w:val="24"/>
          <w14:textFill>
            <w14:solidFill>
              <w14:schemeClr w14:val="tx1"/>
            </w14:solidFill>
          </w14:textFill>
        </w:rPr>
      </w:pPr>
      <w:r>
        <w:rPr>
          <w:rFonts w:hint="eastAsia" w:eastAsia="宋体" w:cs="Times New Roman"/>
          <w:b/>
          <w:bCs/>
          <w:color w:val="000000" w:themeColor="text1"/>
          <w:sz w:val="24"/>
          <w:szCs w:val="24"/>
          <w14:textFill>
            <w14:solidFill>
              <w14:schemeClr w14:val="tx1"/>
            </w14:solidFill>
          </w14:textFill>
        </w:rPr>
        <w:t>《</w:t>
      </w:r>
      <w:r>
        <w:rPr>
          <w:rFonts w:eastAsia="宋体" w:cs="Times New Roman"/>
          <w:b/>
          <w:bCs/>
          <w:color w:val="000000" w:themeColor="text1"/>
          <w:sz w:val="24"/>
          <w:szCs w:val="24"/>
          <w14:textFill>
            <w14:solidFill>
              <w14:schemeClr w14:val="tx1"/>
            </w14:solidFill>
          </w14:textFill>
        </w:rPr>
        <w:t>一分期</w:t>
      </w:r>
      <w:r>
        <w:rPr>
          <w:rFonts w:hint="eastAsia" w:eastAsia="宋体" w:cs="Times New Roman"/>
          <w:b/>
          <w:bCs/>
          <w:color w:val="000000" w:themeColor="text1"/>
          <w:sz w:val="24"/>
          <w:szCs w:val="24"/>
          <w14:textFill>
            <w14:solidFill>
              <w14:schemeClr w14:val="tx1"/>
            </w14:solidFill>
          </w14:textFill>
        </w:rPr>
        <w:t>》</w:t>
      </w:r>
      <w:r>
        <w:rPr>
          <w:rFonts w:eastAsia="宋体" w:cs="Times New Roman"/>
          <w:color w:val="000000" w:themeColor="text1"/>
          <w:sz w:val="24"/>
          <w:szCs w:val="24"/>
          <w14:textFill>
            <w14:solidFill>
              <w14:schemeClr w14:val="tx1"/>
            </w14:solidFill>
          </w14:textFill>
        </w:rPr>
        <w:t>治理工程已完成，并通过验收，验收意见书编号：15078号。</w:t>
      </w:r>
    </w:p>
    <w:p w14:paraId="6BFD47F6">
      <w:pPr>
        <w:spacing w:line="360" w:lineRule="auto"/>
        <w:ind w:firstLine="482"/>
        <w:jc w:val="left"/>
        <w:rPr>
          <w:rFonts w:eastAsia="宋体" w:cs="Times New Roman"/>
          <w:b/>
          <w:bCs/>
          <w:color w:val="000000" w:themeColor="text1"/>
          <w:sz w:val="24"/>
          <w:szCs w:val="24"/>
          <w14:textFill>
            <w14:solidFill>
              <w14:schemeClr w14:val="tx1"/>
            </w14:solidFill>
          </w14:textFill>
        </w:rPr>
      </w:pPr>
      <w:r>
        <w:rPr>
          <w:rFonts w:eastAsia="宋体" w:cs="Times New Roman"/>
          <w:b/>
          <w:bCs/>
          <w:color w:val="000000" w:themeColor="text1"/>
          <w:sz w:val="24"/>
          <w:szCs w:val="24"/>
          <w14:textFill>
            <w14:solidFill>
              <w14:schemeClr w14:val="tx1"/>
            </w14:solidFill>
          </w14:textFill>
        </w:rPr>
        <w:t>2、</w:t>
      </w:r>
      <w:r>
        <w:rPr>
          <w:rFonts w:hint="eastAsia" w:eastAsia="宋体" w:cs="Times New Roman"/>
          <w:b/>
          <w:bCs/>
          <w:color w:val="000000" w:themeColor="text1"/>
          <w:sz w:val="24"/>
          <w:szCs w:val="24"/>
          <w14:textFill>
            <w14:solidFill>
              <w14:schemeClr w14:val="tx1"/>
            </w14:solidFill>
          </w14:textFill>
        </w:rPr>
        <w:t>《二</w:t>
      </w:r>
      <w:r>
        <w:rPr>
          <w:rFonts w:eastAsia="宋体" w:cs="Times New Roman"/>
          <w:b/>
          <w:bCs/>
          <w:color w:val="000000" w:themeColor="text1"/>
          <w:sz w:val="24"/>
          <w:szCs w:val="24"/>
          <w14:textFill>
            <w14:solidFill>
              <w14:schemeClr w14:val="tx1"/>
            </w14:solidFill>
          </w14:textFill>
        </w:rPr>
        <w:t>分期治理方案</w:t>
      </w:r>
      <w:r>
        <w:rPr>
          <w:rFonts w:hint="eastAsia" w:eastAsia="宋体" w:cs="Times New Roman"/>
          <w:b/>
          <w:bCs/>
          <w:color w:val="000000" w:themeColor="text1"/>
          <w:sz w:val="24"/>
          <w:szCs w:val="24"/>
          <w14:textFill>
            <w14:solidFill>
              <w14:schemeClr w14:val="tx1"/>
            </w14:solidFill>
          </w14:textFill>
        </w:rPr>
        <w:t>》</w:t>
      </w:r>
      <w:r>
        <w:rPr>
          <w:rFonts w:eastAsia="宋体" w:cs="Times New Roman"/>
          <w:b/>
          <w:bCs/>
          <w:color w:val="000000" w:themeColor="text1"/>
          <w:sz w:val="24"/>
          <w:szCs w:val="24"/>
          <w14:textFill>
            <w14:solidFill>
              <w14:schemeClr w14:val="tx1"/>
            </w14:solidFill>
          </w14:textFill>
        </w:rPr>
        <w:t>完成情况</w:t>
      </w:r>
    </w:p>
    <w:p w14:paraId="047372FE">
      <w:pPr>
        <w:spacing w:line="360" w:lineRule="auto"/>
        <w:ind w:firstLine="482"/>
        <w:jc w:val="left"/>
        <w:rPr>
          <w:rFonts w:eastAsia="宋体" w:cs="Times New Roman"/>
          <w:color w:val="000000" w:themeColor="text1"/>
          <w:sz w:val="24"/>
          <w:szCs w:val="24"/>
          <w14:textFill>
            <w14:solidFill>
              <w14:schemeClr w14:val="tx1"/>
            </w14:solidFill>
          </w14:textFill>
        </w:rPr>
      </w:pPr>
      <w:r>
        <w:rPr>
          <w:rFonts w:hint="eastAsia" w:eastAsia="宋体" w:cs="Times New Roman"/>
          <w:b/>
          <w:bCs/>
          <w:color w:val="000000" w:themeColor="text1"/>
          <w:sz w:val="24"/>
          <w:szCs w:val="24"/>
          <w14:textFill>
            <w14:solidFill>
              <w14:schemeClr w14:val="tx1"/>
            </w14:solidFill>
          </w14:textFill>
        </w:rPr>
        <w:t>《二</w:t>
      </w:r>
      <w:r>
        <w:rPr>
          <w:rFonts w:eastAsia="宋体" w:cs="Times New Roman"/>
          <w:b/>
          <w:bCs/>
          <w:color w:val="000000" w:themeColor="text1"/>
          <w:sz w:val="24"/>
          <w:szCs w:val="24"/>
          <w14:textFill>
            <w14:solidFill>
              <w14:schemeClr w14:val="tx1"/>
            </w14:solidFill>
          </w14:textFill>
        </w:rPr>
        <w:t>分期</w:t>
      </w:r>
      <w:r>
        <w:rPr>
          <w:rFonts w:hint="eastAsia" w:eastAsia="宋体" w:cs="Times New Roman"/>
          <w:b/>
          <w:bCs/>
          <w:color w:val="000000" w:themeColor="text1"/>
          <w:sz w:val="24"/>
          <w:szCs w:val="24"/>
          <w14:textFill>
            <w14:solidFill>
              <w14:schemeClr w14:val="tx1"/>
            </w14:solidFill>
          </w14:textFill>
        </w:rPr>
        <w:t>》</w:t>
      </w:r>
      <w:r>
        <w:rPr>
          <w:rFonts w:eastAsia="宋体" w:cs="Times New Roman"/>
          <w:color w:val="000000" w:themeColor="text1"/>
          <w:sz w:val="24"/>
          <w:szCs w:val="24"/>
          <w14:textFill>
            <w14:solidFill>
              <w14:schemeClr w14:val="tx1"/>
            </w14:solidFill>
          </w14:textFill>
        </w:rPr>
        <w:t>治理工程已完成，暂未通过验收。</w:t>
      </w:r>
    </w:p>
    <w:p w14:paraId="18DC69D8">
      <w:pPr>
        <w:spacing w:line="360" w:lineRule="auto"/>
        <w:ind w:firstLine="482"/>
        <w:jc w:val="left"/>
        <w:rPr>
          <w:rFonts w:eastAsia="宋体" w:cs="Times New Roman"/>
          <w:b/>
          <w:bCs/>
          <w:color w:val="000000" w:themeColor="text1"/>
          <w:sz w:val="24"/>
          <w:szCs w:val="24"/>
          <w14:textFill>
            <w14:solidFill>
              <w14:schemeClr w14:val="tx1"/>
            </w14:solidFill>
          </w14:textFill>
        </w:rPr>
      </w:pPr>
      <w:r>
        <w:rPr>
          <w:rFonts w:eastAsia="宋体" w:cs="Times New Roman"/>
          <w:b/>
          <w:bCs/>
          <w:color w:val="000000" w:themeColor="text1"/>
          <w:sz w:val="24"/>
          <w:szCs w:val="24"/>
          <w14:textFill>
            <w14:solidFill>
              <w14:schemeClr w14:val="tx1"/>
            </w14:solidFill>
          </w14:textFill>
        </w:rPr>
        <w:t>3、《202</w:t>
      </w:r>
      <w:r>
        <w:rPr>
          <w:rFonts w:hint="eastAsia" w:eastAsia="宋体" w:cs="Times New Roman"/>
          <w:b/>
          <w:bCs/>
          <w:color w:val="000000" w:themeColor="text1"/>
          <w:sz w:val="24"/>
          <w:szCs w:val="24"/>
          <w14:textFill>
            <w14:solidFill>
              <w14:schemeClr w14:val="tx1"/>
            </w14:solidFill>
          </w14:textFill>
        </w:rPr>
        <w:t>0</w:t>
      </w:r>
      <w:r>
        <w:rPr>
          <w:rFonts w:eastAsia="宋体" w:cs="Times New Roman"/>
          <w:b/>
          <w:bCs/>
          <w:color w:val="000000" w:themeColor="text1"/>
          <w:sz w:val="24"/>
          <w:szCs w:val="24"/>
          <w14:textFill>
            <w14:solidFill>
              <w14:schemeClr w14:val="tx1"/>
            </w14:solidFill>
          </w14:textFill>
        </w:rPr>
        <w:t>年度治理计划书》完成情况</w:t>
      </w:r>
    </w:p>
    <w:p w14:paraId="0EC2B51E">
      <w:pPr>
        <w:spacing w:line="360" w:lineRule="auto"/>
        <w:ind w:firstLine="482"/>
        <w:jc w:val="left"/>
        <w:rPr>
          <w:rFonts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《2020年度治理计划书》</w:t>
      </w:r>
      <w:r>
        <w:rPr>
          <w:rFonts w:eastAsia="宋体" w:cs="Times New Roman"/>
          <w:color w:val="000000" w:themeColor="text1"/>
          <w:sz w:val="24"/>
          <w:szCs w:val="24"/>
          <w14:textFill>
            <w14:solidFill>
              <w14:schemeClr w14:val="tx1"/>
            </w14:solidFill>
          </w14:textFill>
        </w:rPr>
        <w:t>治理内容已通过现场核查，并出具现场核查意见书。</w:t>
      </w:r>
    </w:p>
    <w:p w14:paraId="544E5196">
      <w:pPr>
        <w:spacing w:line="360" w:lineRule="auto"/>
        <w:ind w:firstLine="482"/>
        <w:jc w:val="left"/>
        <w:rPr>
          <w:rFonts w:eastAsia="宋体" w:cs="Times New Roman"/>
          <w:b/>
          <w:bCs/>
          <w:color w:val="000000" w:themeColor="text1"/>
          <w:sz w:val="24"/>
          <w:szCs w:val="24"/>
          <w14:textFill>
            <w14:solidFill>
              <w14:schemeClr w14:val="tx1"/>
            </w14:solidFill>
          </w14:textFill>
        </w:rPr>
      </w:pPr>
      <w:r>
        <w:rPr>
          <w:rFonts w:eastAsia="宋体" w:cs="Times New Roman"/>
          <w:b/>
          <w:bCs/>
          <w:color w:val="000000" w:themeColor="text1"/>
          <w:sz w:val="24"/>
          <w:szCs w:val="24"/>
          <w14:textFill>
            <w14:solidFill>
              <w14:schemeClr w14:val="tx1"/>
            </w14:solidFill>
          </w14:textFill>
        </w:rPr>
        <w:t>4、《202</w:t>
      </w:r>
      <w:r>
        <w:rPr>
          <w:rFonts w:hint="eastAsia" w:eastAsia="宋体" w:cs="Times New Roman"/>
          <w:b/>
          <w:bCs/>
          <w:color w:val="000000" w:themeColor="text1"/>
          <w:sz w:val="24"/>
          <w:szCs w:val="24"/>
          <w14:textFill>
            <w14:solidFill>
              <w14:schemeClr w14:val="tx1"/>
            </w14:solidFill>
          </w14:textFill>
        </w:rPr>
        <w:t>1</w:t>
      </w:r>
      <w:r>
        <w:rPr>
          <w:rFonts w:eastAsia="宋体" w:cs="Times New Roman"/>
          <w:b/>
          <w:bCs/>
          <w:color w:val="000000" w:themeColor="text1"/>
          <w:sz w:val="24"/>
          <w:szCs w:val="24"/>
          <w14:textFill>
            <w14:solidFill>
              <w14:schemeClr w14:val="tx1"/>
            </w14:solidFill>
          </w14:textFill>
        </w:rPr>
        <w:t>年度治理计划书》完成情况</w:t>
      </w:r>
    </w:p>
    <w:p w14:paraId="4EC22EAC">
      <w:pPr>
        <w:spacing w:line="360" w:lineRule="auto"/>
        <w:ind w:firstLine="482"/>
        <w:jc w:val="left"/>
        <w:rPr>
          <w:rFonts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《2021年度治理计划书》</w:t>
      </w:r>
      <w:r>
        <w:rPr>
          <w:rFonts w:eastAsia="宋体" w:cs="Times New Roman"/>
          <w:color w:val="000000" w:themeColor="text1"/>
          <w:sz w:val="24"/>
          <w:szCs w:val="24"/>
          <w14:textFill>
            <w14:solidFill>
              <w14:schemeClr w14:val="tx1"/>
            </w14:solidFill>
          </w14:textFill>
        </w:rPr>
        <w:t>治理内容已通过现场核查，并出具现场核查意见书。</w:t>
      </w:r>
    </w:p>
    <w:p w14:paraId="7B0F395A">
      <w:pPr>
        <w:spacing w:line="360" w:lineRule="auto"/>
        <w:ind w:firstLine="482"/>
        <w:jc w:val="left"/>
        <w:rPr>
          <w:rFonts w:eastAsia="宋体" w:cs="Times New Roman"/>
          <w:b/>
          <w:bCs/>
          <w:color w:val="000000" w:themeColor="text1"/>
          <w:sz w:val="24"/>
          <w:szCs w:val="24"/>
          <w14:textFill>
            <w14:solidFill>
              <w14:schemeClr w14:val="tx1"/>
            </w14:solidFill>
          </w14:textFill>
        </w:rPr>
      </w:pPr>
      <w:r>
        <w:rPr>
          <w:rFonts w:hint="eastAsia" w:eastAsia="宋体" w:cs="Times New Roman"/>
          <w:b/>
          <w:bCs/>
          <w:color w:val="000000" w:themeColor="text1"/>
          <w:sz w:val="24"/>
          <w:szCs w:val="24"/>
          <w14:textFill>
            <w14:solidFill>
              <w14:schemeClr w14:val="tx1"/>
            </w14:solidFill>
          </w14:textFill>
        </w:rPr>
        <w:t>5</w:t>
      </w:r>
      <w:r>
        <w:rPr>
          <w:rFonts w:eastAsia="宋体" w:cs="Times New Roman"/>
          <w:b/>
          <w:bCs/>
          <w:color w:val="000000" w:themeColor="text1"/>
          <w:sz w:val="24"/>
          <w:szCs w:val="24"/>
          <w14:textFill>
            <w14:solidFill>
              <w14:schemeClr w14:val="tx1"/>
            </w14:solidFill>
          </w14:textFill>
        </w:rPr>
        <w:t>、《202</w:t>
      </w:r>
      <w:r>
        <w:rPr>
          <w:rFonts w:hint="eastAsia" w:eastAsia="宋体" w:cs="Times New Roman"/>
          <w:b/>
          <w:bCs/>
          <w:color w:val="000000" w:themeColor="text1"/>
          <w:sz w:val="24"/>
          <w:szCs w:val="24"/>
          <w14:textFill>
            <w14:solidFill>
              <w14:schemeClr w14:val="tx1"/>
            </w14:solidFill>
          </w14:textFill>
        </w:rPr>
        <w:t>2</w:t>
      </w:r>
      <w:r>
        <w:rPr>
          <w:rFonts w:eastAsia="宋体" w:cs="Times New Roman"/>
          <w:b/>
          <w:bCs/>
          <w:color w:val="000000" w:themeColor="text1"/>
          <w:sz w:val="24"/>
          <w:szCs w:val="24"/>
          <w14:textFill>
            <w14:solidFill>
              <w14:schemeClr w14:val="tx1"/>
            </w14:solidFill>
          </w14:textFill>
        </w:rPr>
        <w:t>年度治理计划书》完成情况</w:t>
      </w:r>
    </w:p>
    <w:p w14:paraId="40CE46B8">
      <w:pPr>
        <w:spacing w:line="360" w:lineRule="auto"/>
        <w:ind w:firstLine="482"/>
        <w:jc w:val="left"/>
        <w:rPr>
          <w:rFonts w:eastAsia="宋体" w:cs="Times New Roman"/>
          <w:b/>
          <w:bCs/>
          <w:color w:val="FF0000"/>
          <w:sz w:val="24"/>
          <w:szCs w:val="24"/>
        </w:rPr>
      </w:pPr>
      <w:r>
        <w:rPr>
          <w:rFonts w:hint="eastAsia" w:cs="Times New Roman"/>
          <w:color w:val="000000" w:themeColor="text1"/>
          <w:sz w:val="24"/>
          <w:szCs w:val="24"/>
          <w14:textFill>
            <w14:solidFill>
              <w14:schemeClr w14:val="tx1"/>
            </w14:solidFill>
          </w14:textFill>
        </w:rPr>
        <w:t>《2022年度治理计划书》</w:t>
      </w:r>
      <w:r>
        <w:rPr>
          <w:rFonts w:eastAsia="宋体" w:cs="Times New Roman"/>
          <w:color w:val="000000" w:themeColor="text1"/>
          <w:sz w:val="24"/>
          <w:szCs w:val="24"/>
          <w14:textFill>
            <w14:solidFill>
              <w14:schemeClr w14:val="tx1"/>
            </w14:solidFill>
          </w14:textFill>
        </w:rPr>
        <w:t>治理内容已通过现场核查，并出具现场核查意见书。</w:t>
      </w:r>
    </w:p>
    <w:p w14:paraId="685B7BE1">
      <w:pPr>
        <w:spacing w:line="360" w:lineRule="auto"/>
        <w:ind w:firstLine="482"/>
        <w:jc w:val="left"/>
        <w:rPr>
          <w:rFonts w:eastAsia="宋体" w:cs="Times New Roman"/>
          <w:b/>
          <w:bCs/>
          <w:color w:val="000000" w:themeColor="text1"/>
          <w:sz w:val="24"/>
          <w:szCs w:val="24"/>
          <w14:textFill>
            <w14:solidFill>
              <w14:schemeClr w14:val="tx1"/>
            </w14:solidFill>
          </w14:textFill>
        </w:rPr>
      </w:pPr>
      <w:r>
        <w:rPr>
          <w:rFonts w:hint="eastAsia" w:eastAsia="宋体" w:cs="Times New Roman"/>
          <w:b/>
          <w:bCs/>
          <w:color w:val="000000" w:themeColor="text1"/>
          <w:sz w:val="24"/>
          <w:szCs w:val="24"/>
          <w14:textFill>
            <w14:solidFill>
              <w14:schemeClr w14:val="tx1"/>
            </w14:solidFill>
          </w14:textFill>
        </w:rPr>
        <w:t>6</w:t>
      </w:r>
      <w:r>
        <w:rPr>
          <w:rFonts w:eastAsia="宋体" w:cs="Times New Roman"/>
          <w:b/>
          <w:bCs/>
          <w:color w:val="000000" w:themeColor="text1"/>
          <w:sz w:val="24"/>
          <w:szCs w:val="24"/>
          <w14:textFill>
            <w14:solidFill>
              <w14:schemeClr w14:val="tx1"/>
            </w14:solidFill>
          </w14:textFill>
        </w:rPr>
        <w:t>、《202</w:t>
      </w:r>
      <w:r>
        <w:rPr>
          <w:rFonts w:hint="eastAsia" w:eastAsia="宋体" w:cs="Times New Roman"/>
          <w:b/>
          <w:bCs/>
          <w:color w:val="000000" w:themeColor="text1"/>
          <w:sz w:val="24"/>
          <w:szCs w:val="24"/>
          <w14:textFill>
            <w14:solidFill>
              <w14:schemeClr w14:val="tx1"/>
            </w14:solidFill>
          </w14:textFill>
        </w:rPr>
        <w:t>3</w:t>
      </w:r>
      <w:r>
        <w:rPr>
          <w:rFonts w:eastAsia="宋体" w:cs="Times New Roman"/>
          <w:b/>
          <w:bCs/>
          <w:color w:val="000000" w:themeColor="text1"/>
          <w:sz w:val="24"/>
          <w:szCs w:val="24"/>
          <w14:textFill>
            <w14:solidFill>
              <w14:schemeClr w14:val="tx1"/>
            </w14:solidFill>
          </w14:textFill>
        </w:rPr>
        <w:t>年度治理计划书》完成情况</w:t>
      </w:r>
    </w:p>
    <w:p w14:paraId="45757A5B">
      <w:pPr>
        <w:spacing w:line="360" w:lineRule="auto"/>
        <w:ind w:firstLine="482"/>
        <w:jc w:val="left"/>
        <w:rPr>
          <w:rFonts w:hint="eastAsia"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《2023年度治理计划书》</w:t>
      </w:r>
      <w:r>
        <w:rPr>
          <w:rFonts w:eastAsia="宋体" w:cs="Times New Roman"/>
          <w:color w:val="000000" w:themeColor="text1"/>
          <w:sz w:val="24"/>
          <w:szCs w:val="24"/>
          <w14:textFill>
            <w14:solidFill>
              <w14:schemeClr w14:val="tx1"/>
            </w14:solidFill>
          </w14:textFill>
        </w:rPr>
        <w:t>治理内容已通过现场核查，并出具现场核查意见书。</w:t>
      </w:r>
    </w:p>
    <w:p w14:paraId="00640EE0">
      <w:pPr>
        <w:spacing w:line="360" w:lineRule="auto"/>
        <w:ind w:firstLine="482"/>
        <w:jc w:val="left"/>
        <w:rPr>
          <w:rFonts w:eastAsia="宋体" w:cs="Times New Roman"/>
          <w:b/>
          <w:bCs/>
          <w:color w:val="000000" w:themeColor="text1"/>
          <w:sz w:val="24"/>
          <w:szCs w:val="24"/>
          <w14:textFill>
            <w14:solidFill>
              <w14:schemeClr w14:val="tx1"/>
            </w14:solidFill>
          </w14:textFill>
        </w:rPr>
      </w:pPr>
      <w:r>
        <w:rPr>
          <w:rFonts w:hint="eastAsia" w:eastAsia="宋体" w:cs="Times New Roman"/>
          <w:b/>
          <w:bCs/>
          <w:color w:val="000000" w:themeColor="text1"/>
          <w:sz w:val="24"/>
          <w:szCs w:val="24"/>
          <w14:textFill>
            <w14:solidFill>
              <w14:schemeClr w14:val="tx1"/>
            </w14:solidFill>
          </w14:textFill>
        </w:rPr>
        <w:t>7</w:t>
      </w:r>
      <w:r>
        <w:rPr>
          <w:rFonts w:eastAsia="宋体" w:cs="Times New Roman"/>
          <w:b/>
          <w:bCs/>
          <w:color w:val="000000" w:themeColor="text1"/>
          <w:sz w:val="24"/>
          <w:szCs w:val="24"/>
          <w14:textFill>
            <w14:solidFill>
              <w14:schemeClr w14:val="tx1"/>
            </w14:solidFill>
          </w14:textFill>
        </w:rPr>
        <w:t>、《202</w:t>
      </w:r>
      <w:r>
        <w:rPr>
          <w:rFonts w:hint="eastAsia" w:eastAsia="宋体" w:cs="Times New Roman"/>
          <w:b/>
          <w:bCs/>
          <w:color w:val="000000" w:themeColor="text1"/>
          <w:sz w:val="24"/>
          <w:szCs w:val="24"/>
          <w14:textFill>
            <w14:solidFill>
              <w14:schemeClr w14:val="tx1"/>
            </w14:solidFill>
          </w14:textFill>
        </w:rPr>
        <w:t>4</w:t>
      </w:r>
      <w:r>
        <w:rPr>
          <w:rFonts w:eastAsia="宋体" w:cs="Times New Roman"/>
          <w:b/>
          <w:bCs/>
          <w:color w:val="000000" w:themeColor="text1"/>
          <w:sz w:val="24"/>
          <w:szCs w:val="24"/>
          <w14:textFill>
            <w14:solidFill>
              <w14:schemeClr w14:val="tx1"/>
            </w14:solidFill>
          </w14:textFill>
        </w:rPr>
        <w:t>年度治理计划书》完成情况</w:t>
      </w:r>
    </w:p>
    <w:p w14:paraId="3F75E1FE">
      <w:pPr>
        <w:spacing w:line="360" w:lineRule="auto"/>
        <w:ind w:firstLine="482"/>
        <w:jc w:val="left"/>
        <w:rPr>
          <w:rFonts w:hint="eastAsia"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《2024年度治理计划书》</w:t>
      </w:r>
      <w:r>
        <w:rPr>
          <w:rFonts w:eastAsia="宋体" w:cs="Times New Roman"/>
          <w:color w:val="000000" w:themeColor="text1"/>
          <w:sz w:val="24"/>
          <w:szCs w:val="24"/>
          <w14:textFill>
            <w14:solidFill>
              <w14:schemeClr w14:val="tx1"/>
            </w14:solidFill>
          </w14:textFill>
        </w:rPr>
        <w:t>治理内容已通过现场核查，并出具现场核查意见书。</w:t>
      </w:r>
    </w:p>
    <w:p w14:paraId="4939B0B2">
      <w:pPr>
        <w:pStyle w:val="2"/>
      </w:pPr>
    </w:p>
    <w:p w14:paraId="648D4E95">
      <w:pPr>
        <w:spacing w:line="360" w:lineRule="auto"/>
        <w:jc w:val="both"/>
        <w:outlineLvl w:val="1"/>
        <w:rPr>
          <w:rFonts w:eastAsia="宋体" w:cs="Times New Roman"/>
          <w:b/>
          <w:bCs/>
          <w:color w:val="000000" w:themeColor="text1"/>
          <w:sz w:val="32"/>
          <w:szCs w:val="32"/>
          <w14:textFill>
            <w14:solidFill>
              <w14:schemeClr w14:val="tx1"/>
            </w14:solidFill>
          </w14:textFill>
        </w:rPr>
      </w:pPr>
      <w:r>
        <w:rPr>
          <w:rFonts w:hint="eastAsia" w:eastAsia="宋体" w:cs="Times New Roman"/>
          <w:b/>
          <w:bCs/>
          <w:color w:val="000000" w:themeColor="text1"/>
          <w:sz w:val="32"/>
          <w:szCs w:val="32"/>
          <w14:textFill>
            <w14:solidFill>
              <w14:schemeClr w14:val="tx1"/>
            </w14:solidFill>
          </w14:textFill>
        </w:rPr>
        <w:t>四、存在问题</w:t>
      </w:r>
    </w:p>
    <w:p w14:paraId="75E82E44">
      <w:pPr>
        <w:widowControl w:val="0"/>
        <w:autoSpaceDE w:val="0"/>
        <w:autoSpaceDN w:val="0"/>
        <w:spacing w:line="360" w:lineRule="auto"/>
        <w:ind w:firstLine="480" w:firstLineChars="200"/>
        <w:jc w:val="lef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前期治理区部分植被成活率较低，矿山应进行补种补植。</w:t>
      </w:r>
    </w:p>
    <w:p w14:paraId="6814139D">
      <w:pPr>
        <w:spacing w:line="360" w:lineRule="auto"/>
        <w:jc w:val="left"/>
        <w:rPr>
          <w:rFonts w:eastAsia="宋体" w:cs="Times New Roman"/>
          <w:bCs/>
          <w:color w:val="FF0000"/>
          <w:sz w:val="24"/>
          <w:szCs w:val="24"/>
        </w:rPr>
      </w:pPr>
      <w:r>
        <w:rPr>
          <w:rFonts w:eastAsia="宋体" w:cs="Times New Roman"/>
          <w:bCs/>
          <w:color w:val="FF0000"/>
          <w:sz w:val="24"/>
          <w:szCs w:val="24"/>
        </w:rPr>
        <w:br w:type="page"/>
      </w:r>
    </w:p>
    <w:p w14:paraId="63BFF7AE">
      <w:pPr>
        <w:numPr>
          <w:ilvl w:val="0"/>
          <w:numId w:val="1"/>
        </w:numPr>
        <w:spacing w:line="360" w:lineRule="auto"/>
        <w:outlineLvl w:val="0"/>
        <w:rPr>
          <w:rFonts w:eastAsia="宋体" w:cs="Times New Roman"/>
          <w:b/>
          <w:bCs/>
          <w:color w:val="000000" w:themeColor="text1"/>
          <w:sz w:val="36"/>
          <w:szCs w:val="36"/>
          <w14:textFill>
            <w14:solidFill>
              <w14:schemeClr w14:val="tx1"/>
            </w14:solidFill>
          </w14:textFill>
        </w:rPr>
      </w:pPr>
      <w:r>
        <w:rPr>
          <w:rFonts w:eastAsia="宋体" w:cs="Times New Roman"/>
          <w:b/>
          <w:bCs/>
          <w:color w:val="000000" w:themeColor="text1"/>
          <w:sz w:val="36"/>
          <w:szCs w:val="36"/>
          <w14:textFill>
            <w14:solidFill>
              <w14:schemeClr w14:val="tx1"/>
            </w14:solidFill>
          </w14:textFill>
        </w:rPr>
        <w:t xml:space="preserve"> </w:t>
      </w:r>
      <w:bookmarkStart w:id="12" w:name="_Toc21034"/>
      <w:bookmarkStart w:id="13" w:name="_Toc25217"/>
      <w:r>
        <w:rPr>
          <w:rFonts w:eastAsia="宋体" w:cs="Times New Roman"/>
          <w:b/>
          <w:bCs/>
          <w:color w:val="000000" w:themeColor="text1"/>
          <w:sz w:val="36"/>
          <w:szCs w:val="36"/>
          <w14:textFill>
            <w14:solidFill>
              <w14:schemeClr w14:val="tx1"/>
            </w14:solidFill>
          </w14:textFill>
        </w:rPr>
        <w:t>本年度矿山生产计划</w:t>
      </w:r>
      <w:bookmarkEnd w:id="12"/>
      <w:bookmarkEnd w:id="13"/>
    </w:p>
    <w:p w14:paraId="24428C99">
      <w:pPr>
        <w:numPr>
          <w:ilvl w:val="0"/>
          <w:numId w:val="3"/>
        </w:numPr>
        <w:spacing w:line="360" w:lineRule="auto"/>
        <w:jc w:val="both"/>
        <w:outlineLvl w:val="1"/>
        <w:rPr>
          <w:rFonts w:eastAsia="宋体" w:cs="Times New Roman"/>
          <w:b/>
          <w:bCs/>
          <w:color w:val="000000" w:themeColor="text1"/>
          <w:sz w:val="32"/>
          <w:szCs w:val="32"/>
          <w14:textFill>
            <w14:solidFill>
              <w14:schemeClr w14:val="tx1"/>
            </w14:solidFill>
          </w14:textFill>
        </w:rPr>
      </w:pPr>
      <w:bookmarkStart w:id="14" w:name="_Toc10103"/>
      <w:bookmarkStart w:id="15" w:name="_Toc24919"/>
      <w:r>
        <w:rPr>
          <w:rFonts w:eastAsia="宋体" w:cs="Times New Roman"/>
          <w:b/>
          <w:bCs/>
          <w:color w:val="000000" w:themeColor="text1"/>
          <w:sz w:val="32"/>
          <w:szCs w:val="32"/>
          <w14:textFill>
            <w14:solidFill>
              <w14:schemeClr w14:val="tx1"/>
            </w14:solidFill>
          </w14:textFill>
        </w:rPr>
        <w:t>本年度的主要生产指标计划</w:t>
      </w:r>
      <w:bookmarkEnd w:id="14"/>
      <w:bookmarkEnd w:id="15"/>
    </w:p>
    <w:p w14:paraId="586F7CA6">
      <w:pPr>
        <w:spacing w:line="360" w:lineRule="auto"/>
        <w:ind w:firstLine="480" w:firstLineChars="200"/>
        <w:jc w:val="left"/>
        <w:rPr>
          <w:rFonts w:eastAsia="宋体" w:cs="Times New Roman"/>
          <w:bCs/>
          <w:snapToGrid w:val="0"/>
          <w:color w:val="FF0000"/>
          <w:sz w:val="24"/>
          <w:szCs w:val="28"/>
        </w:rPr>
      </w:pPr>
      <w:r>
        <w:rPr>
          <w:rFonts w:hint="eastAsia" w:eastAsia="宋体" w:cs="Times New Roman"/>
          <w:bCs/>
          <w:snapToGrid w:val="0"/>
          <w:color w:val="000000"/>
          <w:sz w:val="24"/>
          <w:szCs w:val="24"/>
        </w:rPr>
        <w:t>本矿山</w:t>
      </w:r>
      <w:r>
        <w:rPr>
          <w:rFonts w:hint="eastAsia" w:cs="Times New Roman"/>
          <w:bCs/>
          <w:snapToGrid w:val="0"/>
          <w:color w:val="000000"/>
          <w:sz w:val="24"/>
          <w:szCs w:val="24"/>
        </w:rPr>
        <w:t>已停产多年，且</w:t>
      </w:r>
      <w:r>
        <w:rPr>
          <w:rFonts w:eastAsia="宋体" w:cs="Times New Roman"/>
          <w:color w:val="000000"/>
          <w:sz w:val="24"/>
          <w:szCs w:val="28"/>
        </w:rPr>
        <w:t>本年度</w:t>
      </w:r>
      <w:r>
        <w:rPr>
          <w:rFonts w:hint="eastAsia" w:eastAsia="宋体" w:cs="Times New Roman"/>
          <w:bCs/>
          <w:snapToGrid w:val="0"/>
          <w:color w:val="000000"/>
          <w:sz w:val="24"/>
          <w:szCs w:val="24"/>
        </w:rPr>
        <w:t>未计划生产。</w:t>
      </w:r>
    </w:p>
    <w:p w14:paraId="1EF89FBC">
      <w:pPr>
        <w:spacing w:line="360" w:lineRule="auto"/>
        <w:jc w:val="both"/>
        <w:rPr>
          <w:rFonts w:eastAsia="宋体" w:cs="Times New Roman"/>
          <w:color w:val="FF0000"/>
          <w:sz w:val="24"/>
          <w:szCs w:val="24"/>
        </w:rPr>
      </w:pPr>
      <w:r>
        <w:rPr>
          <w:rFonts w:eastAsia="宋体" w:cs="Times New Roman"/>
          <w:color w:val="FF0000"/>
          <w:sz w:val="24"/>
          <w:szCs w:val="24"/>
        </w:rPr>
        <w:br w:type="page"/>
      </w:r>
    </w:p>
    <w:p w14:paraId="0726CC28">
      <w:pPr>
        <w:numPr>
          <w:ilvl w:val="0"/>
          <w:numId w:val="1"/>
        </w:numPr>
        <w:spacing w:line="360" w:lineRule="auto"/>
        <w:outlineLvl w:val="0"/>
        <w:rPr>
          <w:rFonts w:eastAsia="宋体" w:cs="Times New Roman"/>
          <w:b/>
          <w:bCs/>
          <w:color w:val="000000" w:themeColor="text1"/>
          <w:sz w:val="36"/>
          <w:szCs w:val="36"/>
          <w14:textFill>
            <w14:solidFill>
              <w14:schemeClr w14:val="tx1"/>
            </w14:solidFill>
          </w14:textFill>
        </w:rPr>
      </w:pPr>
      <w:r>
        <w:rPr>
          <w:rFonts w:eastAsia="宋体" w:cs="Times New Roman"/>
          <w:b/>
          <w:bCs/>
          <w:color w:val="000000" w:themeColor="text1"/>
          <w:sz w:val="36"/>
          <w:szCs w:val="36"/>
          <w14:textFill>
            <w14:solidFill>
              <w14:schemeClr w14:val="tx1"/>
            </w14:solidFill>
          </w14:textFill>
        </w:rPr>
        <w:t xml:space="preserve"> </w:t>
      </w:r>
      <w:bookmarkStart w:id="16" w:name="_Toc9798"/>
      <w:bookmarkStart w:id="17" w:name="_Toc26088"/>
      <w:r>
        <w:rPr>
          <w:rFonts w:eastAsia="宋体" w:cs="Times New Roman"/>
          <w:b/>
          <w:bCs/>
          <w:color w:val="000000" w:themeColor="text1"/>
          <w:sz w:val="36"/>
          <w:szCs w:val="36"/>
          <w14:textFill>
            <w14:solidFill>
              <w14:schemeClr w14:val="tx1"/>
            </w14:solidFill>
          </w14:textFill>
        </w:rPr>
        <w:t>矿山地质环境问题</w:t>
      </w:r>
      <w:bookmarkEnd w:id="16"/>
      <w:bookmarkEnd w:id="17"/>
    </w:p>
    <w:p w14:paraId="5AAB5A10">
      <w:pPr>
        <w:numPr>
          <w:ilvl w:val="0"/>
          <w:numId w:val="4"/>
        </w:numPr>
        <w:spacing w:line="360" w:lineRule="auto"/>
        <w:jc w:val="both"/>
        <w:outlineLvl w:val="1"/>
        <w:rPr>
          <w:rFonts w:eastAsia="宋体" w:cs="Times New Roman"/>
          <w:b/>
          <w:bCs/>
          <w:color w:val="000000" w:themeColor="text1"/>
          <w:sz w:val="32"/>
          <w:szCs w:val="32"/>
          <w14:textFill>
            <w14:solidFill>
              <w14:schemeClr w14:val="tx1"/>
            </w14:solidFill>
          </w14:textFill>
        </w:rPr>
      </w:pPr>
      <w:bookmarkStart w:id="18" w:name="_Toc14824"/>
      <w:bookmarkStart w:id="19" w:name="_Toc17203"/>
      <w:r>
        <w:rPr>
          <w:rFonts w:eastAsia="宋体" w:cs="Times New Roman"/>
          <w:b/>
          <w:bCs/>
          <w:color w:val="000000" w:themeColor="text1"/>
          <w:sz w:val="32"/>
          <w:szCs w:val="32"/>
          <w14:textFill>
            <w14:solidFill>
              <w14:schemeClr w14:val="tx1"/>
            </w14:solidFill>
          </w14:textFill>
        </w:rPr>
        <w:t>矿山地质环境问题现状</w:t>
      </w:r>
      <w:bookmarkEnd w:id="18"/>
      <w:bookmarkEnd w:id="19"/>
    </w:p>
    <w:p w14:paraId="1E18508D">
      <w:pPr>
        <w:tabs>
          <w:tab w:val="left" w:pos="1300"/>
        </w:tabs>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szCs w:val="24"/>
          <w14:textFill>
            <w14:solidFill>
              <w14:schemeClr w14:val="tx1"/>
            </w14:solidFill>
          </w14:textFill>
        </w:rPr>
        <w:t>矿山前期开采虽已形成采空区，但未造成地面塌陷地质灾害，矿山现形成的破坏单元有采空区、斜井工业场地、斜井废渣堆、雷管炸药库、选厂、办公室、宿舍、办公生活区和矿区道路。各单元按照现状条件下各破坏单元从矿山地质灾害现状、含水层破坏现状、地形地貌景观影响现状及土地资源影响现状四个方面进行叙述。</w:t>
      </w:r>
    </w:p>
    <w:p w14:paraId="6CAF92C6">
      <w:pPr>
        <w:spacing w:line="360" w:lineRule="auto"/>
        <w:ind w:firstLine="480"/>
        <w:jc w:val="left"/>
        <w:rPr>
          <w:rFonts w:cs="Times New Roman"/>
          <w:b/>
          <w:bCs/>
          <w:color w:val="000000" w:themeColor="text1"/>
          <w:sz w:val="24"/>
          <w:szCs w:val="24"/>
          <w14:textFill>
            <w14:solidFill>
              <w14:schemeClr w14:val="tx1"/>
            </w14:solidFill>
          </w14:textFill>
        </w:rPr>
      </w:pPr>
      <w:r>
        <w:rPr>
          <w:rFonts w:cs="Times New Roman"/>
          <w:b/>
          <w:bCs/>
          <w:color w:val="000000" w:themeColor="text1"/>
          <w:sz w:val="24"/>
          <w:szCs w:val="24"/>
          <w14:textFill>
            <w14:solidFill>
              <w14:schemeClr w14:val="tx1"/>
            </w14:solidFill>
          </w14:textFill>
        </w:rPr>
        <w:t>（一）采空区</w:t>
      </w:r>
    </w:p>
    <w:p w14:paraId="3A306732">
      <w:pPr>
        <w:spacing w:line="360" w:lineRule="auto"/>
        <w:ind w:firstLine="480"/>
        <w:jc w:val="lef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1、地质灾害现状</w:t>
      </w:r>
    </w:p>
    <w:p w14:paraId="7996A501">
      <w:pPr>
        <w:spacing w:line="360" w:lineRule="auto"/>
        <w:ind w:firstLine="480"/>
        <w:jc w:val="lef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采空区为斜井开拓，前期主要对Ⅱ号矿体在探矿过程中进行少量开采，开采中段即一中段（701m水平），采空深度701-706m标高，采空长度约50m，采出矿石量约0.10×10</w:t>
      </w:r>
      <w:r>
        <w:rPr>
          <w:rFonts w:cs="Times New Roman"/>
          <w:color w:val="000000" w:themeColor="text1"/>
          <w:sz w:val="24"/>
          <w:szCs w:val="24"/>
          <w:vertAlign w:val="superscript"/>
          <w14:textFill>
            <w14:solidFill>
              <w14:schemeClr w14:val="tx1"/>
            </w14:solidFill>
          </w14:textFill>
        </w:rPr>
        <w:t>4</w:t>
      </w:r>
      <w:r>
        <w:rPr>
          <w:rFonts w:cs="Times New Roman"/>
          <w:color w:val="000000" w:themeColor="text1"/>
          <w:sz w:val="24"/>
          <w:szCs w:val="24"/>
          <w14:textFill>
            <w14:solidFill>
              <w14:schemeClr w14:val="tx1"/>
            </w14:solidFill>
          </w14:textFill>
        </w:rPr>
        <w:t>/t，形成采空区面积210m</w:t>
      </w:r>
      <w:r>
        <w:rPr>
          <w:rFonts w:cs="Times New Roman"/>
          <w:color w:val="000000" w:themeColor="text1"/>
          <w:sz w:val="24"/>
          <w:szCs w:val="24"/>
          <w:vertAlign w:val="superscript"/>
          <w14:textFill>
            <w14:solidFill>
              <w14:schemeClr w14:val="tx1"/>
            </w14:solidFill>
          </w14:textFill>
        </w:rPr>
        <w:t>2</w:t>
      </w:r>
      <w:r>
        <w:rPr>
          <w:rFonts w:cs="Times New Roman"/>
          <w:color w:val="000000" w:themeColor="text1"/>
          <w:sz w:val="24"/>
          <w:szCs w:val="24"/>
          <w14:textFill>
            <w14:solidFill>
              <w14:schemeClr w14:val="tx1"/>
            </w14:solidFill>
          </w14:textFill>
        </w:rPr>
        <w:t>，二中段（749m水平）、三中段（797m水平）仅进行了少量的探矿工程，并未形成采空区。由于采矿方法使用浅孔留矿采矿法回采，在矿柱回采的同时，有计划地采取自然或强制崩落围岩的方法处理采空区，且地下形成的采空区面积较小，采空区已充填，根据现场调查，采空区上部地表范围内及周边无地裂缝、地面塌陷等地质灾害形成，现状条件下采空区地质灾害不发育。</w:t>
      </w:r>
    </w:p>
    <w:p w14:paraId="3FEA1665">
      <w:pPr>
        <w:spacing w:line="360" w:lineRule="auto"/>
        <w:ind w:firstLine="480"/>
        <w:jc w:val="lef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2、含水层破坏现状</w:t>
      </w:r>
    </w:p>
    <w:p w14:paraId="1C206783">
      <w:pPr>
        <w:spacing w:line="360" w:lineRule="auto"/>
        <w:ind w:firstLine="480"/>
        <w:jc w:val="lef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采空深度701-706m标高，矿床含水层主要为基岩裂隙水，地下水水位标高845m左右，其影响程度论述如下：</w:t>
      </w:r>
    </w:p>
    <w:p w14:paraId="5EC53CE1">
      <w:pPr>
        <w:spacing w:line="360" w:lineRule="auto"/>
        <w:ind w:firstLine="480"/>
        <w:jc w:val="lef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w:t>
      </w:r>
      <w:r>
        <w:rPr>
          <w:rFonts w:cs="Times New Roman"/>
          <w:color w:val="000000" w:themeColor="text1"/>
          <w:sz w:val="24"/>
          <w:szCs w:val="24"/>
          <w14:textFill>
            <w14:solidFill>
              <w14:schemeClr w14:val="tx1"/>
            </w14:solidFill>
          </w14:textFill>
        </w:rPr>
        <w:t>含水层结构破坏</w:t>
      </w:r>
    </w:p>
    <w:p w14:paraId="7CD02016">
      <w:pPr>
        <w:spacing w:line="360" w:lineRule="auto"/>
        <w:ind w:firstLine="480"/>
        <w:jc w:val="lef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现状条件下，采空区采空深度约5m，井下开拓工程及回采区域主要位于基岩裂隙含水层内，因此采空区的分布，破坏了矿区基岩裂隙含水层结构。</w:t>
      </w:r>
    </w:p>
    <w:p w14:paraId="3A48163A">
      <w:pPr>
        <w:spacing w:line="360" w:lineRule="auto"/>
        <w:ind w:firstLine="480"/>
        <w:jc w:val="lef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w:t>
      </w:r>
      <w:r>
        <w:rPr>
          <w:rFonts w:cs="Times New Roman"/>
          <w:color w:val="000000" w:themeColor="text1"/>
          <w:sz w:val="24"/>
          <w:szCs w:val="24"/>
          <w14:textFill>
            <w14:solidFill>
              <w14:schemeClr w14:val="tx1"/>
            </w14:solidFill>
          </w14:textFill>
        </w:rPr>
        <w:t>矿井疏干对含水层的影响</w:t>
      </w:r>
    </w:p>
    <w:p w14:paraId="2FB26C03">
      <w:pPr>
        <w:spacing w:line="360" w:lineRule="auto"/>
        <w:ind w:firstLine="480"/>
        <w:jc w:val="lef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根据现状调查，停产期间每半月观测涌水量约为200m</w:t>
      </w:r>
      <w:r>
        <w:rPr>
          <w:rFonts w:cs="Times New Roman"/>
          <w:color w:val="000000" w:themeColor="text1"/>
          <w:sz w:val="24"/>
          <w:szCs w:val="24"/>
          <w:vertAlign w:val="superscript"/>
          <w14:textFill>
            <w14:solidFill>
              <w14:schemeClr w14:val="tx1"/>
            </w14:solidFill>
          </w14:textFill>
        </w:rPr>
        <w:t>3</w:t>
      </w:r>
      <w:r>
        <w:rPr>
          <w:rFonts w:cs="Times New Roman"/>
          <w:color w:val="000000" w:themeColor="text1"/>
          <w:sz w:val="24"/>
          <w:szCs w:val="24"/>
          <w14:textFill>
            <w14:solidFill>
              <w14:schemeClr w14:val="tx1"/>
            </w14:solidFill>
          </w14:textFill>
        </w:rPr>
        <w:t>，对含水层有一定的影响。</w:t>
      </w:r>
    </w:p>
    <w:p w14:paraId="366C7776">
      <w:pPr>
        <w:spacing w:line="360" w:lineRule="auto"/>
        <w:ind w:firstLine="480"/>
        <w:jc w:val="lef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（3）</w:t>
      </w:r>
      <w:r>
        <w:rPr>
          <w:rFonts w:cs="Times New Roman"/>
          <w:color w:val="000000" w:themeColor="text1"/>
          <w:sz w:val="24"/>
          <w:szCs w:val="24"/>
          <w14:textFill>
            <w14:solidFill>
              <w14:schemeClr w14:val="tx1"/>
            </w14:solidFill>
          </w14:textFill>
        </w:rPr>
        <w:t>矿山开采对矿区及附近水源的影响</w:t>
      </w:r>
    </w:p>
    <w:p w14:paraId="7373651B">
      <w:pPr>
        <w:spacing w:line="360" w:lineRule="auto"/>
        <w:ind w:firstLine="480"/>
        <w:jc w:val="lef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矿区及周边有少数牧民居住，远离矿山开采区，矿山附近无水源地分布。</w:t>
      </w:r>
    </w:p>
    <w:p w14:paraId="3D3AD46B">
      <w:pPr>
        <w:rPr>
          <w:rFonts w:cs="Times New Roman"/>
          <w:color w:val="FF0000"/>
          <w:sz w:val="24"/>
          <w:szCs w:val="24"/>
        </w:rPr>
      </w:pPr>
      <w:r>
        <w:rPr>
          <w:rFonts w:cs="Times New Roman"/>
          <w:color w:val="FF0000"/>
          <w:sz w:val="24"/>
          <w:szCs w:val="24"/>
        </w:rPr>
        <w:br w:type="page"/>
      </w:r>
    </w:p>
    <w:p w14:paraId="34BFEF91">
      <w:pPr>
        <w:spacing w:line="360" w:lineRule="auto"/>
        <w:ind w:firstLine="480"/>
        <w:jc w:val="lef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（4）</w:t>
      </w:r>
      <w:r>
        <w:rPr>
          <w:rFonts w:cs="Times New Roman"/>
          <w:color w:val="000000" w:themeColor="text1"/>
          <w:sz w:val="24"/>
          <w:szCs w:val="24"/>
          <w14:textFill>
            <w14:solidFill>
              <w14:schemeClr w14:val="tx1"/>
            </w14:solidFill>
          </w14:textFill>
        </w:rPr>
        <w:t>矿山开采对地下水质的影响</w:t>
      </w:r>
    </w:p>
    <w:p w14:paraId="548C3F4A">
      <w:pPr>
        <w:spacing w:line="360" w:lineRule="auto"/>
        <w:ind w:firstLine="480" w:firstLineChars="200"/>
        <w:jc w:val="lef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采空区现状矿井涌水量全部疏干外排，其水质指标与地下水一致，矿山开采对地下水质无影响。</w:t>
      </w:r>
    </w:p>
    <w:p w14:paraId="5494B0DB">
      <w:pPr>
        <w:spacing w:line="360" w:lineRule="auto"/>
        <w:ind w:firstLine="480" w:firstLineChars="200"/>
        <w:jc w:val="lef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3、地形地貌景观影响现状</w:t>
      </w:r>
    </w:p>
    <w:p w14:paraId="3A4D71E8">
      <w:pPr>
        <w:spacing w:line="360" w:lineRule="auto"/>
        <w:ind w:firstLine="480" w:firstLineChars="200"/>
        <w:jc w:val="lef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现状情况下采空区上部地表未发生地面塌陷地质灾害，未破坏地形地貌景观。</w:t>
      </w:r>
    </w:p>
    <w:p w14:paraId="02528D71">
      <w:pPr>
        <w:spacing w:line="360" w:lineRule="auto"/>
        <w:ind w:firstLine="480" w:firstLineChars="200"/>
        <w:jc w:val="lef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4、土地资源影响现状采空区未造成土地资源破坏（见照片4-1）。</w:t>
      </w:r>
    </w:p>
    <w:p w14:paraId="3D322D65">
      <w:pPr>
        <w:rPr>
          <w:rFonts w:hint="eastAsia" w:eastAsia="宋体"/>
          <w:color w:val="FF0000"/>
          <w:sz w:val="24"/>
          <w:lang w:eastAsia="zh-CN"/>
        </w:rPr>
      </w:pPr>
      <w:r>
        <w:rPr>
          <w:rFonts w:hint="eastAsia" w:eastAsia="宋体"/>
          <w:lang w:eastAsia="zh-CN"/>
        </w:rPr>
        <w:t xml:space="preserve">      </w:t>
      </w:r>
    </w:p>
    <w:p w14:paraId="59E5C58C">
      <w:pPr>
        <w:spacing w:line="360" w:lineRule="auto"/>
        <w:rPr>
          <w:rFonts w:eastAsia="黑体"/>
          <w:b/>
          <w:bCs/>
          <w:color w:val="000000" w:themeColor="text1"/>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照片4-1  现状</w:t>
      </w:r>
      <w:r>
        <w:rPr>
          <w:rFonts w:hint="eastAsia" w:ascii="黑体" w:hAnsi="黑体" w:eastAsia="黑体" w:cs="黑体"/>
          <w:bCs/>
          <w:color w:val="000000" w:themeColor="text1"/>
          <w:sz w:val="24"/>
          <w:szCs w:val="24"/>
          <w14:textFill>
            <w14:solidFill>
              <w14:schemeClr w14:val="tx1"/>
            </w14:solidFill>
          </w14:textFill>
        </w:rPr>
        <w:t>采空区地表</w:t>
      </w:r>
    </w:p>
    <w:p w14:paraId="731627B5">
      <w:pPr>
        <w:spacing w:line="360" w:lineRule="auto"/>
        <w:ind w:firstLine="482" w:firstLineChars="200"/>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（二）斜井工业场地</w:t>
      </w:r>
    </w:p>
    <w:p w14:paraId="34DAAD91">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1、地质灾害现状</w:t>
      </w:r>
    </w:p>
    <w:p w14:paraId="7EF9FD5E">
      <w:pPr>
        <w:spacing w:line="360" w:lineRule="auto"/>
        <w:ind w:firstLine="480" w:firstLineChars="200"/>
        <w:jc w:val="left"/>
        <w:rPr>
          <w:rFonts w:cs="Times New Roman"/>
          <w:color w:val="000000" w:themeColor="text1"/>
          <w:sz w:val="24"/>
          <w14:textFill>
            <w14:solidFill>
              <w14:schemeClr w14:val="tx1"/>
            </w14:solidFill>
          </w14:textFill>
        </w:rPr>
      </w:pPr>
      <w:r>
        <w:rPr>
          <w:rFonts w:cs="Times New Roman"/>
          <w:color w:val="000000" w:themeColor="text1"/>
          <w:sz w:val="24"/>
          <w14:textFill>
            <w14:solidFill>
              <w14:schemeClr w14:val="tx1"/>
            </w14:solidFill>
          </w14:textFill>
        </w:rPr>
        <w:t>斜井工业场地位于矿区内冲沟一侧，采矿产生的废石渣堆放于工业场地内，场地设置有斜井、工具库房、卷扬机房等，斜井目前仅针对701m中段进行少量开采，斜井斜深250m，垂深约140m，倾角25°，方位角300°，井口断面2.5m×2.0m，场地面积为2126m</w:t>
      </w:r>
      <w:r>
        <w:rPr>
          <w:rFonts w:cs="Times New Roman"/>
          <w:color w:val="000000" w:themeColor="text1"/>
          <w:sz w:val="24"/>
          <w:vertAlign w:val="superscript"/>
          <w14:textFill>
            <w14:solidFill>
              <w14:schemeClr w14:val="tx1"/>
            </w14:solidFill>
          </w14:textFill>
        </w:rPr>
        <w:t>2</w:t>
      </w:r>
      <w:r>
        <w:rPr>
          <w:rFonts w:cs="Times New Roman"/>
          <w:color w:val="000000" w:themeColor="text1"/>
          <w:sz w:val="24"/>
          <w14:textFill>
            <w14:solidFill>
              <w14:schemeClr w14:val="tx1"/>
            </w14:solidFill>
          </w14:textFill>
        </w:rPr>
        <w:t>。场地东侧在建设过程中形成高约4m切坡，切坡坡度约为70°，经现场调查，切坡稳固，现状条件下地质灾害不发育（见照片4-2）。</w:t>
      </w:r>
    </w:p>
    <w:p w14:paraId="6589E617">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2、含水层破坏现状</w:t>
      </w:r>
    </w:p>
    <w:p w14:paraId="62B0B32D">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根据现状调查并结合矿区水文地质资料，矿区采矿影响的含水层为基岩裂隙含水层，基岩裂隙水稳定水位标高一般分布在 845m 左右。其影响程度论述如下：</w:t>
      </w:r>
    </w:p>
    <w:p w14:paraId="2216BBC1">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（1）含水层结构破坏</w:t>
      </w:r>
    </w:p>
    <w:p w14:paraId="18ED5320">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现状条件下，斜井开拓深度为250m，井下开拓工程及回采区域主要位于基岩裂隙含水层内，因此斜井开拓和采空区的分布，破坏了矿区基岩裂隙含水层结构。</w:t>
      </w:r>
    </w:p>
    <w:p w14:paraId="1D6901EA">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（2）矿井疏干对含水层的影响</w:t>
      </w:r>
    </w:p>
    <w:p w14:paraId="6A7F3C32">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根据现状调查，停产期间每半月观测涌水量约为200m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，对含水层有一定的影响。</w:t>
      </w:r>
    </w:p>
    <w:p w14:paraId="4D6CD9AF">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（3）矿山开采对矿区及附近水源的影响矿区及周边有少数牧民居住，远离矿山开采区，矿山附近无水源地分布。</w:t>
      </w:r>
    </w:p>
    <w:p w14:paraId="5931FA01">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（4）矿山开采对地下水质的影响</w:t>
      </w:r>
    </w:p>
    <w:p w14:paraId="3848C2BD">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斜井工业场地现状矿井涌水量全部疏干外排，其水质指标与地下水一致，矿山开采对地下水质无影响。</w:t>
      </w:r>
    </w:p>
    <w:p w14:paraId="5C30B275">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3、地形地貌景观影响现状</w:t>
      </w:r>
    </w:p>
    <w:p w14:paraId="6BABC995">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场地的建设直接破坏了原生的地表形态、植被，破坏了原有的地形地貌景观。</w:t>
      </w:r>
    </w:p>
    <w:p w14:paraId="4D95A1CF">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4、土地资源的影响现状</w:t>
      </w:r>
    </w:p>
    <w:p w14:paraId="7B19A55A">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斜井工业场地损毁土地面积为2126m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，根据[K50G038075]胡彩沟幅土地利用现状图，损毁的土地资源类型为其他草地、农村宅基地。</w:t>
      </w:r>
    </w:p>
    <w:p w14:paraId="59AF2882">
      <w:pPr>
        <w:rPr>
          <w:rFonts w:hint="eastAsia" w:eastAsiaTheme="minorEastAsia"/>
          <w:color w:val="FF0000"/>
          <w:sz w:val="24"/>
          <w:lang w:eastAsia="zh-CN"/>
        </w:rPr>
      </w:pPr>
      <w:r>
        <w:rPr>
          <w:rFonts w:hint="eastAsia"/>
          <w:lang w:eastAsia="zh-CN"/>
        </w:rPr>
        <w:t xml:space="preserve">      </w:t>
      </w:r>
    </w:p>
    <w:p w14:paraId="0169C948">
      <w:pPr>
        <w:spacing w:line="360" w:lineRule="auto"/>
        <w:rPr>
          <w:color w:val="FF0000"/>
          <w:sz w:val="24"/>
        </w:rPr>
      </w:pPr>
      <w:r>
        <w:rPr>
          <w:rFonts w:hint="eastAsia" w:ascii="黑体" w:hAnsi="黑体" w:eastAsia="黑体" w:cs="黑体"/>
          <w:color w:val="000000" w:themeColor="text1"/>
          <w:sz w:val="24"/>
          <w:szCs w:val="24"/>
          <w14:textFill>
            <w14:solidFill>
              <w14:schemeClr w14:val="tx1"/>
            </w14:solidFill>
          </w14:textFill>
        </w:rPr>
        <w:t>照片4-2  斜井工业场地</w:t>
      </w:r>
    </w:p>
    <w:p w14:paraId="37D2787C">
      <w:pPr>
        <w:rPr>
          <w:color w:val="FF0000"/>
          <w:sz w:val="24"/>
        </w:rPr>
      </w:pPr>
      <w:r>
        <w:rPr>
          <w:rFonts w:hint="eastAsia"/>
          <w:color w:val="FF0000"/>
          <w:sz w:val="24"/>
        </w:rPr>
        <w:br w:type="page"/>
      </w:r>
    </w:p>
    <w:p w14:paraId="4F3CD0F0">
      <w:pPr>
        <w:spacing w:line="360" w:lineRule="auto"/>
        <w:ind w:firstLine="482" w:firstLineChars="200"/>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（三）斜井废渣堆</w:t>
      </w:r>
    </w:p>
    <w:p w14:paraId="335A9514">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1、地质灾害现状</w:t>
      </w:r>
    </w:p>
    <w:p w14:paraId="52103B6B">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采矿产生废渣堆放于斜井工业场地内，堆放高度3-10m，坡度约35°，压占土地面积529m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，根据三角网法计算废渣方量为4780m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现状堆体稳定，沿沟谷一侧顺坡堆放，并设置挡渣墙，且经调查走访，废渣堆旁侧泄洪道通畅，且该沟谷现状及历史上未产生过泥石流地质灾害，故废渣构不成泥石流灾害发生的物源，故现状情况下废石场地质灾害不发育（见照片4-3）。</w:t>
      </w:r>
    </w:p>
    <w:p w14:paraId="1834E2BA">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2、含水层破坏现状</w:t>
      </w:r>
    </w:p>
    <w:p w14:paraId="762F89F5">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废渣直接排放于地表，废渣不含有害成分，对地下水水质无影响。</w:t>
      </w:r>
    </w:p>
    <w:p w14:paraId="6F46054B">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3、地形地貌景观现状</w:t>
      </w:r>
    </w:p>
    <w:p w14:paraId="710D2447">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废渣的堆放，直接破坏了原生的地表形态和植被，降低了地形地貌景观的和谐度。</w:t>
      </w:r>
    </w:p>
    <w:p w14:paraId="6ACE5D19">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4、土地资源现状</w:t>
      </w:r>
    </w:p>
    <w:p w14:paraId="482C82CC">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废渣堆压占土地面积529m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，根据[K50G038075]胡彩沟幅土地利用现状图，损毁的土地资源类型全部为其他草地。</w:t>
      </w:r>
    </w:p>
    <w:p w14:paraId="0D37BAF1">
      <w:pPr>
        <w:rPr>
          <w:rFonts w:hint="eastAsia" w:eastAsiaTheme="minorEastAsia"/>
          <w:color w:val="FF0000"/>
          <w:sz w:val="24"/>
          <w:lang w:eastAsia="zh-CN"/>
        </w:rPr>
      </w:pPr>
      <w:r>
        <w:rPr>
          <w:rFonts w:hint="eastAsia"/>
          <w:lang w:eastAsia="zh-CN"/>
        </w:rPr>
        <w:t xml:space="preserve">      </w:t>
      </w:r>
    </w:p>
    <w:p w14:paraId="42A30FFE">
      <w:pPr>
        <w:spacing w:line="360" w:lineRule="auto"/>
        <w:rPr>
          <w:color w:val="FF0000"/>
          <w:sz w:val="24"/>
        </w:rPr>
      </w:pPr>
      <w:r>
        <w:rPr>
          <w:rFonts w:hint="eastAsia" w:ascii="黑体" w:hAnsi="黑体" w:eastAsia="黑体" w:cs="黑体"/>
          <w:color w:val="000000" w:themeColor="text1"/>
          <w:sz w:val="24"/>
          <w:szCs w:val="24"/>
          <w14:textFill>
            <w14:solidFill>
              <w14:schemeClr w14:val="tx1"/>
            </w14:solidFill>
          </w14:textFill>
        </w:rPr>
        <w:t>照片4-3  斜井废渣堆</w:t>
      </w:r>
    </w:p>
    <w:p w14:paraId="4DA7C038">
      <w:pPr>
        <w:rPr>
          <w:color w:val="FF0000"/>
          <w:sz w:val="24"/>
        </w:rPr>
      </w:pPr>
      <w:r>
        <w:rPr>
          <w:rFonts w:hint="eastAsia"/>
          <w:color w:val="FF0000"/>
          <w:sz w:val="24"/>
        </w:rPr>
        <w:br w:type="page"/>
      </w:r>
    </w:p>
    <w:p w14:paraId="013C13F0">
      <w:pPr>
        <w:spacing w:line="360" w:lineRule="auto"/>
        <w:ind w:firstLine="482" w:firstLineChars="200"/>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（四）雷管炸药库</w:t>
      </w:r>
    </w:p>
    <w:p w14:paraId="1F20E05A">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1、地质灾害现状</w:t>
      </w:r>
    </w:p>
    <w:p w14:paraId="7807F0BA">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位于矿区外东侧，场地建设有雷管库、炸药库等，均砖混结构建筑物，压占土地面积567m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。经现场调查，建设场地较为平缓，现状条件下地质灾害不发育（见照片4-4）。</w:t>
      </w:r>
    </w:p>
    <w:p w14:paraId="053E5334">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2、含水层破坏现状</w:t>
      </w:r>
    </w:p>
    <w:p w14:paraId="35675F46">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雷管炸药库建于地表，未对含水层造成破坏。</w:t>
      </w:r>
    </w:p>
    <w:p w14:paraId="0CFC37E0">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3、地形地貌景观现状</w:t>
      </w:r>
    </w:p>
    <w:p w14:paraId="652FB5E3">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雷管炸药库的建设对场地进行了削高填低，破坏了原生的地表形态和植被，与原有的自然景观不协调。</w:t>
      </w:r>
    </w:p>
    <w:p w14:paraId="23F92C39">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4、土地资源现状</w:t>
      </w:r>
    </w:p>
    <w:p w14:paraId="21AE2E0F">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雷管炸药库压占土地面积567m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，根据[K50G038075]胡彩沟幅土地利用现状图，损毁的土地资源类型为其他草地、采矿用地。</w:t>
      </w:r>
    </w:p>
    <w:p w14:paraId="07CE63FD">
      <w:pPr>
        <w:rPr>
          <w:rFonts w:hint="eastAsia" w:eastAsiaTheme="minorEastAsia"/>
          <w:color w:val="FF0000"/>
          <w:sz w:val="24"/>
          <w:lang w:eastAsia="zh-CN"/>
        </w:rPr>
      </w:pPr>
      <w:r>
        <w:rPr>
          <w:rFonts w:hint="eastAsia"/>
          <w:lang w:eastAsia="zh-CN"/>
        </w:rPr>
        <w:t xml:space="preserve">      </w:t>
      </w:r>
    </w:p>
    <w:p w14:paraId="4FD462EB">
      <w:pPr>
        <w:spacing w:line="360" w:lineRule="auto"/>
        <w:rPr>
          <w:color w:val="FF0000"/>
          <w:sz w:val="24"/>
        </w:rPr>
      </w:pPr>
      <w:r>
        <w:rPr>
          <w:rFonts w:hint="eastAsia" w:ascii="黑体" w:hAnsi="黑体" w:eastAsia="黑体" w:cs="黑体"/>
          <w:color w:val="000000" w:themeColor="text1"/>
          <w:sz w:val="24"/>
          <w:szCs w:val="24"/>
          <w14:textFill>
            <w14:solidFill>
              <w14:schemeClr w14:val="tx1"/>
            </w14:solidFill>
          </w14:textFill>
        </w:rPr>
        <w:t>照片4-4  雷管炸药库</w:t>
      </w:r>
    </w:p>
    <w:p w14:paraId="291A95F3">
      <w:pPr>
        <w:spacing w:line="360" w:lineRule="auto"/>
        <w:ind w:firstLine="482" w:firstLineChars="200"/>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（五）选厂</w:t>
      </w:r>
    </w:p>
    <w:p w14:paraId="428CFE6A">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1、地质灾害现状</w:t>
      </w:r>
    </w:p>
    <w:p w14:paraId="77A9CA34">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位于矿区外雷管炸药库东南侧，选厂正在建设当中，场地占地面积1970m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。经现场调查，选厂地面平整无坡度，现状条件下地质灾害不发育（见照片4-5）。</w:t>
      </w:r>
    </w:p>
    <w:p w14:paraId="44479865">
      <w:pPr>
        <w:rPr>
          <w:color w:val="FF0000"/>
          <w:sz w:val="24"/>
        </w:rPr>
      </w:pPr>
      <w:r>
        <w:rPr>
          <w:rFonts w:hint="eastAsia"/>
          <w:color w:val="FF0000"/>
          <w:sz w:val="24"/>
        </w:rPr>
        <w:br w:type="page"/>
      </w:r>
    </w:p>
    <w:p w14:paraId="61612ED3">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2、含水层破坏现状</w:t>
      </w:r>
    </w:p>
    <w:p w14:paraId="0728A7C3">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矿山选厂尚未建设完成，设计生产能力300t/d，矿山尚未施工水源井，无外排污水，选厂现状条件下未对含水层造成破坏。</w:t>
      </w:r>
    </w:p>
    <w:p w14:paraId="79545288">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3、地形地貌景观现状</w:t>
      </w:r>
    </w:p>
    <w:p w14:paraId="0FA1B3B7">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场地的建设破坏了原生的地表形态和植被，与原有的自然景观不协调。</w:t>
      </w:r>
    </w:p>
    <w:p w14:paraId="0E509E00">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4、土地资源现状</w:t>
      </w:r>
    </w:p>
    <w:p w14:paraId="30E3A7C2">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选厂占用土地面积1970m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，根据[K50G038075]胡彩沟幅土地利用现状图，损毁的土地资源类型为其他草地和农村宅基地。</w:t>
      </w:r>
    </w:p>
    <w:p w14:paraId="526C4AEB">
      <w:pPr>
        <w:rPr>
          <w:rFonts w:hint="eastAsia" w:eastAsiaTheme="minorEastAsia"/>
          <w:color w:val="FF0000"/>
          <w:sz w:val="24"/>
          <w:lang w:eastAsia="zh-CN"/>
        </w:rPr>
      </w:pPr>
      <w:r>
        <w:rPr>
          <w:rFonts w:hint="eastAsia"/>
          <w:lang w:eastAsia="zh-CN"/>
        </w:rPr>
        <w:t xml:space="preserve">      </w:t>
      </w:r>
    </w:p>
    <w:p w14:paraId="3A4F4281">
      <w:pPr>
        <w:spacing w:line="360" w:lineRule="auto"/>
        <w:rPr>
          <w:color w:val="FF0000"/>
          <w:sz w:val="24"/>
        </w:rPr>
      </w:pPr>
      <w:r>
        <w:rPr>
          <w:rFonts w:hint="eastAsia" w:ascii="黑体" w:hAnsi="黑体" w:eastAsia="黑体" w:cs="黑体"/>
          <w:color w:val="000000" w:themeColor="text1"/>
          <w:sz w:val="24"/>
          <w:szCs w:val="24"/>
          <w14:textFill>
            <w14:solidFill>
              <w14:schemeClr w14:val="tx1"/>
            </w14:solidFill>
          </w14:textFill>
        </w:rPr>
        <w:t>照片4-5  选厂</w:t>
      </w:r>
    </w:p>
    <w:p w14:paraId="55B597FF">
      <w:pPr>
        <w:spacing w:line="360" w:lineRule="auto"/>
        <w:ind w:firstLine="482" w:firstLineChars="200"/>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（六）办公室</w:t>
      </w:r>
    </w:p>
    <w:p w14:paraId="48286472">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1、地质灾害现状</w:t>
      </w:r>
    </w:p>
    <w:p w14:paraId="1D07266A">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位于矿区外东侧，场地建设包括办公室、值班室和库房等，均为砖混结构小型建筑物，压占土地面积240m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。经现场调查，建筑物建设过程中已对房屋（前）南侧铲平场地，留作办公庭院使用，现状条件下地质灾害不发育（见照片4-6）。</w:t>
      </w:r>
    </w:p>
    <w:p w14:paraId="27DCDFF3">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2、含水层破坏现状</w:t>
      </w:r>
    </w:p>
    <w:p w14:paraId="533EAD6C">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办公室建于地表，未揭露含水层，仅产生少量生活废水，成分简单，主要用于矿区绿化使用，未对含水层造成破坏。</w:t>
      </w:r>
    </w:p>
    <w:p w14:paraId="5EEAAC17">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3、地形地貌景观现状</w:t>
      </w:r>
    </w:p>
    <w:p w14:paraId="59EE8EC5">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场地的建设破坏了原生的地表形态和植被，与原有的自然景观不协调。</w:t>
      </w:r>
    </w:p>
    <w:p w14:paraId="4938F09E">
      <w:pPr>
        <w:rPr>
          <w:color w:val="FF0000"/>
          <w:sz w:val="24"/>
        </w:rPr>
      </w:pPr>
      <w:r>
        <w:rPr>
          <w:rFonts w:hint="eastAsia"/>
          <w:color w:val="FF0000"/>
          <w:sz w:val="24"/>
        </w:rPr>
        <w:br w:type="page"/>
      </w:r>
    </w:p>
    <w:p w14:paraId="4C10E4D3">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4、土地资源现状</w:t>
      </w:r>
    </w:p>
    <w:p w14:paraId="17C3AF17">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办公室损毁土地面积240m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，根据[K50G038075]胡彩沟幅土地利用现状图，损毁的土地资源类型全部为其他草地。</w:t>
      </w:r>
    </w:p>
    <w:p w14:paraId="60640F85">
      <w:pPr>
        <w:rPr>
          <w:rFonts w:hint="eastAsia" w:eastAsiaTheme="minorEastAsia"/>
          <w:color w:val="FF0000"/>
          <w:sz w:val="24"/>
          <w:lang w:eastAsia="zh-CN"/>
        </w:rPr>
      </w:pPr>
      <w:r>
        <w:rPr>
          <w:rFonts w:hint="eastAsia"/>
          <w:lang w:eastAsia="zh-CN"/>
        </w:rPr>
        <w:t xml:space="preserve">      </w:t>
      </w:r>
    </w:p>
    <w:p w14:paraId="017D742C">
      <w:pPr>
        <w:spacing w:line="360" w:lineRule="auto"/>
        <w:rPr>
          <w:color w:val="FF0000"/>
          <w:sz w:val="24"/>
        </w:rPr>
      </w:pPr>
      <w:r>
        <w:rPr>
          <w:rFonts w:hint="eastAsia" w:ascii="黑体" w:hAnsi="黑体" w:eastAsia="黑体" w:cs="黑体"/>
          <w:color w:val="000000" w:themeColor="text1"/>
          <w:sz w:val="24"/>
          <w:szCs w:val="24"/>
          <w14:textFill>
            <w14:solidFill>
              <w14:schemeClr w14:val="tx1"/>
            </w14:solidFill>
          </w14:textFill>
        </w:rPr>
        <w:t>照片4-6  办公室</w:t>
      </w:r>
    </w:p>
    <w:p w14:paraId="48F0A880">
      <w:pPr>
        <w:spacing w:line="360" w:lineRule="auto"/>
        <w:ind w:firstLine="482" w:firstLineChars="200"/>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（七）宿舍</w:t>
      </w:r>
    </w:p>
    <w:p w14:paraId="2ABF8BE0">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1、地质灾害现状</w:t>
      </w:r>
    </w:p>
    <w:p w14:paraId="7AAE932B">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位于矿区外东南侧侧，为矿山工作人员临时休息场地，砖混结构小型建筑物，压占土地面积190m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。经现场调查，现状条件下地质灾害不发育（见照片4-7）。</w:t>
      </w:r>
    </w:p>
    <w:p w14:paraId="597F9651">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2、含水层破坏现状</w:t>
      </w:r>
    </w:p>
    <w:p w14:paraId="234671FA">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宿舍建于地表，未揭露含水层，仅产生少量生活废水，成分简单，主要用于矿区绿化使用，未对含水层造成破坏。</w:t>
      </w:r>
    </w:p>
    <w:p w14:paraId="52C82A1C">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3、地形地貌景观现状</w:t>
      </w:r>
    </w:p>
    <w:p w14:paraId="37676A03">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场地的建设破坏了原生的地表形态和植被，与原有的自然景观不协调。</w:t>
      </w:r>
    </w:p>
    <w:p w14:paraId="315E7D3F">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4、土地资源现状</w:t>
      </w:r>
    </w:p>
    <w:p w14:paraId="17FD30D1">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宿舍损毁土地面积190m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，根据[K50G038075]胡彩沟幅土地利用现状图，损毁的土地资源类型为农村宅基地。</w:t>
      </w:r>
    </w:p>
    <w:p w14:paraId="50C2CEEF">
      <w:pPr>
        <w:rPr>
          <w:color w:val="FF0000"/>
          <w:sz w:val="24"/>
        </w:rPr>
      </w:pPr>
      <w:r>
        <w:rPr>
          <w:rFonts w:hint="eastAsia"/>
          <w:color w:val="FF0000"/>
          <w:sz w:val="24"/>
        </w:rPr>
        <w:br w:type="page"/>
      </w:r>
    </w:p>
    <w:p w14:paraId="70A763C2">
      <w:pPr>
        <w:rPr>
          <w:rFonts w:hint="eastAsia" w:eastAsiaTheme="minorEastAsia"/>
          <w:color w:val="FF0000"/>
          <w:sz w:val="24"/>
          <w:lang w:eastAsia="zh-CN"/>
        </w:rPr>
      </w:pPr>
      <w:r>
        <w:rPr>
          <w:rFonts w:hint="eastAsia"/>
          <w:lang w:eastAsia="zh-CN"/>
        </w:rPr>
        <w:t xml:space="preserve">      </w:t>
      </w:r>
    </w:p>
    <w:p w14:paraId="17DB1D97">
      <w:pPr>
        <w:spacing w:line="360" w:lineRule="auto"/>
        <w:rPr>
          <w:color w:val="FF0000"/>
          <w:sz w:val="24"/>
        </w:rPr>
      </w:pPr>
      <w:r>
        <w:rPr>
          <w:rFonts w:hint="eastAsia" w:ascii="黑体" w:hAnsi="黑体" w:eastAsia="黑体" w:cs="黑体"/>
          <w:color w:val="000000" w:themeColor="text1"/>
          <w:sz w:val="24"/>
          <w:szCs w:val="24"/>
          <w14:textFill>
            <w14:solidFill>
              <w14:schemeClr w14:val="tx1"/>
            </w14:solidFill>
          </w14:textFill>
        </w:rPr>
        <w:t>照片4-7  宿舍</w:t>
      </w:r>
    </w:p>
    <w:p w14:paraId="007F660E">
      <w:pPr>
        <w:spacing w:line="360" w:lineRule="auto"/>
        <w:ind w:firstLine="482" w:firstLineChars="200"/>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（八）办公生活区</w:t>
      </w:r>
    </w:p>
    <w:p w14:paraId="78665F30">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1、地质灾害现状</w:t>
      </w:r>
    </w:p>
    <w:p w14:paraId="528B08AB">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位于矿区外选厂南侧，场地包括矿部和工人宿舍等，均为砖混结构小型建筑物，压占土地面积5010m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。经现场调查，现状条件下地质灾害不发育（见照片4-8）。</w:t>
      </w:r>
    </w:p>
    <w:p w14:paraId="6DE0BF14">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2、含水层破坏现状</w:t>
      </w:r>
    </w:p>
    <w:p w14:paraId="1D080F73">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办公生活区建于地表，未揭露含水层，仅产生少量生活废水，成分简单，主要用于矿区绿化使用，未对含水层造成破坏。</w:t>
      </w:r>
    </w:p>
    <w:p w14:paraId="622698E6">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3、地形地貌景观现状</w:t>
      </w:r>
    </w:p>
    <w:p w14:paraId="706E7A02">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场地的建设破坏了原生的地表形态和植被，与原有的自然景观不协调。</w:t>
      </w:r>
    </w:p>
    <w:p w14:paraId="785EF90E">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4、土地资源现状</w:t>
      </w:r>
    </w:p>
    <w:p w14:paraId="640B4236">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办公生活区损毁土地面积5010m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，根据[K50G038075]胡彩沟幅土地利用现状图，损毁的土地资源类型为其他草地和农村宅基地。</w:t>
      </w:r>
    </w:p>
    <w:p w14:paraId="25EF38B4">
      <w:pPr>
        <w:rPr>
          <w:rFonts w:hint="eastAsia" w:eastAsiaTheme="minorEastAsia"/>
          <w:color w:val="FF0000"/>
          <w:sz w:val="24"/>
          <w:lang w:eastAsia="zh-CN"/>
        </w:rPr>
      </w:pPr>
      <w:r>
        <w:rPr>
          <w:rFonts w:hint="eastAsia"/>
          <w:lang w:eastAsia="zh-CN"/>
        </w:rPr>
        <w:t xml:space="preserve">      </w:t>
      </w:r>
    </w:p>
    <w:p w14:paraId="4DE09C5F">
      <w:pPr>
        <w:spacing w:line="360" w:lineRule="auto"/>
        <w:rPr>
          <w:color w:val="FF0000"/>
          <w:sz w:val="24"/>
        </w:rPr>
      </w:pPr>
      <w:r>
        <w:rPr>
          <w:rFonts w:hint="eastAsia" w:ascii="黑体" w:hAnsi="黑体" w:eastAsia="黑体" w:cs="黑体"/>
          <w:color w:val="000000" w:themeColor="text1"/>
          <w:sz w:val="24"/>
          <w:szCs w:val="24"/>
          <w14:textFill>
            <w14:solidFill>
              <w14:schemeClr w14:val="tx1"/>
            </w14:solidFill>
          </w14:textFill>
        </w:rPr>
        <w:t>照片4-8  办公生活区</w:t>
      </w:r>
    </w:p>
    <w:p w14:paraId="26664C71">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（九）矿区道路</w:t>
      </w:r>
    </w:p>
    <w:p w14:paraId="119BB98A">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1、地质灾害现状</w:t>
      </w:r>
    </w:p>
    <w:p w14:paraId="1F80B878">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矿区道路主要功能为连接矿区内各单元，道路总长度547m，宽度3m，损毁土地面积1640m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。根据现场调查，现状条件下地质灾害不发育（见照片4-9）。</w:t>
      </w:r>
    </w:p>
    <w:p w14:paraId="68D23AD8">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2、含水层破坏现状</w:t>
      </w:r>
    </w:p>
    <w:p w14:paraId="69A60166">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矿区道路为地表工程，为揭露含水层，未对含水层造成破坏。</w:t>
      </w:r>
    </w:p>
    <w:p w14:paraId="76ADBD6B">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3、地形地貌景观现状</w:t>
      </w:r>
    </w:p>
    <w:p w14:paraId="6FE4E332">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道路的建设对场地进行了削高填低，改变了周边的原生形态，降低了地形地貌景观的和谐度。</w:t>
      </w:r>
    </w:p>
    <w:p w14:paraId="68F18C06">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4、土地资源现状</w:t>
      </w:r>
    </w:p>
    <w:p w14:paraId="2104E8D7">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矿区道路损毁土地面积1640m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，根据[K50G038075]胡彩沟幅土地利用现状图，损毁的土地资源类型为其他草地和农村道路。</w:t>
      </w:r>
    </w:p>
    <w:p w14:paraId="31421C1C">
      <w:pPr>
        <w:rPr>
          <w:rFonts w:hint="eastAsia" w:eastAsiaTheme="minorEastAsia"/>
          <w:color w:val="FF0000"/>
          <w:sz w:val="24"/>
          <w:lang w:eastAsia="zh-CN"/>
        </w:rPr>
      </w:pPr>
      <w:r>
        <w:rPr>
          <w:rFonts w:hint="eastAsia"/>
          <w:lang w:eastAsia="zh-CN"/>
        </w:rPr>
        <w:t xml:space="preserve">      </w:t>
      </w:r>
    </w:p>
    <w:p w14:paraId="73319D73">
      <w:pPr>
        <w:spacing w:line="360" w:lineRule="auto"/>
        <w:rPr>
          <w:color w:val="FF0000"/>
          <w:sz w:val="24"/>
        </w:rPr>
      </w:pPr>
      <w:r>
        <w:rPr>
          <w:rFonts w:hint="eastAsia" w:ascii="黑体" w:hAnsi="黑体" w:eastAsia="黑体" w:cs="黑体"/>
          <w:color w:val="000000" w:themeColor="text1"/>
          <w:sz w:val="24"/>
          <w:szCs w:val="24"/>
          <w14:textFill>
            <w14:solidFill>
              <w14:schemeClr w14:val="tx1"/>
            </w14:solidFill>
          </w14:textFill>
        </w:rPr>
        <w:t>照片4-9  矿区道路</w:t>
      </w:r>
    </w:p>
    <w:p w14:paraId="50C34FF2">
      <w:pPr>
        <w:spacing w:line="360" w:lineRule="auto"/>
        <w:ind w:firstLine="480" w:firstLineChars="200"/>
        <w:jc w:val="left"/>
        <w:rPr>
          <w:rFonts w:ascii="黑体" w:hAnsi="黑体" w:eastAsia="黑体" w:cs="黑体"/>
          <w:color w:val="000000" w:themeColor="text1"/>
          <w:sz w:val="24"/>
          <w14:textFill>
            <w14:solidFill>
              <w14:schemeClr w14:val="tx1"/>
            </w14:solidFill>
          </w14:textFill>
        </w:rPr>
      </w:pPr>
      <w:r>
        <w:rPr>
          <w:color w:val="000000" w:themeColor="text1"/>
          <w:sz w:val="24"/>
          <w14:textFill>
            <w14:solidFill>
              <w14:schemeClr w14:val="tx1"/>
            </w14:solidFill>
          </w14:textFill>
        </w:rPr>
        <w:t>根据上述对</w:t>
      </w:r>
      <w:r>
        <w:rPr>
          <w:rFonts w:hint="eastAsia"/>
          <w:color w:val="000000" w:themeColor="text1"/>
          <w:sz w:val="24"/>
          <w14:textFill>
            <w14:solidFill>
              <w14:schemeClr w14:val="tx1"/>
            </w14:solidFill>
          </w14:textFill>
        </w:rPr>
        <w:t>各</w:t>
      </w:r>
      <w:r>
        <w:rPr>
          <w:color w:val="000000" w:themeColor="text1"/>
          <w:sz w:val="24"/>
          <w14:textFill>
            <w14:solidFill>
              <w14:schemeClr w14:val="tx1"/>
            </w14:solidFill>
          </w14:textFill>
        </w:rPr>
        <w:t>单元矿山地质环境问题分析，综上所述，各场地对矿山地质环境影响现状见表</w:t>
      </w:r>
      <w:r>
        <w:rPr>
          <w:rFonts w:hint="eastAsia"/>
          <w:color w:val="000000" w:themeColor="text1"/>
          <w:sz w:val="24"/>
          <w14:textFill>
            <w14:solidFill>
              <w14:schemeClr w14:val="tx1"/>
            </w14:solidFill>
          </w14:textFill>
        </w:rPr>
        <w:t>4-1</w:t>
      </w:r>
      <w:r>
        <w:rPr>
          <w:color w:val="000000" w:themeColor="text1"/>
          <w:sz w:val="24"/>
          <w14:textFill>
            <w14:solidFill>
              <w14:schemeClr w14:val="tx1"/>
            </w14:solidFill>
          </w14:textFill>
        </w:rPr>
        <w:t>。</w:t>
      </w:r>
    </w:p>
    <w:p w14:paraId="2F83FE80">
      <w:pPr>
        <w:spacing w:line="360" w:lineRule="auto"/>
        <w:rPr>
          <w:rFonts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表4-1  矿山地质环境问题现状说明表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870"/>
        <w:gridCol w:w="1110"/>
        <w:gridCol w:w="1170"/>
        <w:gridCol w:w="2400"/>
        <w:gridCol w:w="1328"/>
      </w:tblGrid>
      <w:tr w14:paraId="3375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4" w:type="dxa"/>
            <w:vMerge w:val="restart"/>
            <w:vAlign w:val="center"/>
          </w:tcPr>
          <w:p w14:paraId="1DB9BB97">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单元名称</w:t>
            </w:r>
          </w:p>
        </w:tc>
        <w:tc>
          <w:tcPr>
            <w:tcW w:w="870" w:type="dxa"/>
            <w:vMerge w:val="restart"/>
            <w:vAlign w:val="center"/>
          </w:tcPr>
          <w:p w14:paraId="330E388F">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面积（m</w:t>
            </w:r>
            <w:r>
              <w:rPr>
                <w:rFonts w:hint="eastAsia"/>
                <w:color w:val="000000" w:themeColor="text1"/>
                <w:szCs w:val="18"/>
                <w:vertAlign w:val="superscript"/>
                <w14:textFill>
                  <w14:solidFill>
                    <w14:schemeClr w14:val="tx1"/>
                  </w14:solidFill>
                </w14:textFill>
              </w:rPr>
              <w:t>2</w:t>
            </w:r>
            <w:r>
              <w:rPr>
                <w:rFonts w:hint="eastAsia"/>
                <w:color w:val="000000" w:themeColor="text1"/>
                <w:szCs w:val="18"/>
                <w14:textFill>
                  <w14:solidFill>
                    <w14:schemeClr w14:val="tx1"/>
                  </w14:solidFill>
                </w14:textFill>
              </w:rPr>
              <w:t>）</w:t>
            </w:r>
          </w:p>
        </w:tc>
        <w:tc>
          <w:tcPr>
            <w:tcW w:w="6008" w:type="dxa"/>
            <w:gridSpan w:val="4"/>
            <w:vAlign w:val="center"/>
          </w:tcPr>
          <w:p w14:paraId="1CE2BC1F">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现状矿山地质环境问题</w:t>
            </w:r>
          </w:p>
        </w:tc>
      </w:tr>
      <w:tr w14:paraId="1B37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4" w:type="dxa"/>
            <w:vMerge w:val="continue"/>
            <w:vAlign w:val="center"/>
          </w:tcPr>
          <w:p w14:paraId="2313CAD5">
            <w:pPr>
              <w:widowControl/>
              <w:rPr>
                <w:color w:val="000000" w:themeColor="text1"/>
                <w:szCs w:val="18"/>
                <w14:textFill>
                  <w14:solidFill>
                    <w14:schemeClr w14:val="tx1"/>
                  </w14:solidFill>
                </w14:textFill>
              </w:rPr>
            </w:pPr>
          </w:p>
        </w:tc>
        <w:tc>
          <w:tcPr>
            <w:tcW w:w="870" w:type="dxa"/>
            <w:vMerge w:val="continue"/>
            <w:vAlign w:val="center"/>
          </w:tcPr>
          <w:p w14:paraId="27924C10">
            <w:pPr>
              <w:widowControl/>
              <w:rPr>
                <w:color w:val="000000" w:themeColor="text1"/>
                <w:szCs w:val="18"/>
                <w14:textFill>
                  <w14:solidFill>
                    <w14:schemeClr w14:val="tx1"/>
                  </w14:solidFill>
                </w14:textFill>
              </w:rPr>
            </w:pPr>
          </w:p>
        </w:tc>
        <w:tc>
          <w:tcPr>
            <w:tcW w:w="1110" w:type="dxa"/>
            <w:vAlign w:val="center"/>
          </w:tcPr>
          <w:p w14:paraId="492E5C77">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地质灾害</w:t>
            </w:r>
          </w:p>
        </w:tc>
        <w:tc>
          <w:tcPr>
            <w:tcW w:w="1170" w:type="dxa"/>
            <w:vAlign w:val="center"/>
          </w:tcPr>
          <w:p w14:paraId="556F5E69">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含水层</w:t>
            </w:r>
          </w:p>
        </w:tc>
        <w:tc>
          <w:tcPr>
            <w:tcW w:w="2400" w:type="dxa"/>
            <w:vAlign w:val="center"/>
          </w:tcPr>
          <w:p w14:paraId="14A956F9">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地形地貌景观</w:t>
            </w:r>
          </w:p>
        </w:tc>
        <w:tc>
          <w:tcPr>
            <w:tcW w:w="1328" w:type="dxa"/>
            <w:vAlign w:val="center"/>
          </w:tcPr>
          <w:p w14:paraId="560C9884">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土地资源</w:t>
            </w:r>
          </w:p>
        </w:tc>
      </w:tr>
      <w:tr w14:paraId="41C5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4" w:type="dxa"/>
            <w:vAlign w:val="center"/>
          </w:tcPr>
          <w:p w14:paraId="46775E80">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采空区</w:t>
            </w:r>
          </w:p>
        </w:tc>
        <w:tc>
          <w:tcPr>
            <w:tcW w:w="870" w:type="dxa"/>
            <w:vAlign w:val="center"/>
          </w:tcPr>
          <w:p w14:paraId="6AC26020">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210</w:t>
            </w:r>
          </w:p>
        </w:tc>
        <w:tc>
          <w:tcPr>
            <w:tcW w:w="1110" w:type="dxa"/>
            <w:vAlign w:val="center"/>
          </w:tcPr>
          <w:p w14:paraId="52B20E34">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不发育</w:t>
            </w:r>
          </w:p>
        </w:tc>
        <w:tc>
          <w:tcPr>
            <w:tcW w:w="1170" w:type="dxa"/>
            <w:vAlign w:val="center"/>
          </w:tcPr>
          <w:p w14:paraId="01D0FA64">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造成破坏</w:t>
            </w:r>
          </w:p>
        </w:tc>
        <w:tc>
          <w:tcPr>
            <w:tcW w:w="2400" w:type="dxa"/>
            <w:vAlign w:val="center"/>
          </w:tcPr>
          <w:p w14:paraId="46241224">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采空区地表未发生塌陷</w:t>
            </w:r>
          </w:p>
        </w:tc>
        <w:tc>
          <w:tcPr>
            <w:tcW w:w="1328" w:type="dxa"/>
            <w:vAlign w:val="center"/>
          </w:tcPr>
          <w:p w14:paraId="59881570">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w:t>
            </w:r>
          </w:p>
        </w:tc>
      </w:tr>
      <w:tr w14:paraId="17E7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4" w:type="dxa"/>
            <w:vAlign w:val="center"/>
          </w:tcPr>
          <w:p w14:paraId="49AB5666">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斜井工业场地</w:t>
            </w:r>
          </w:p>
        </w:tc>
        <w:tc>
          <w:tcPr>
            <w:tcW w:w="870" w:type="dxa"/>
            <w:vAlign w:val="center"/>
          </w:tcPr>
          <w:p w14:paraId="107DED9D">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2126</w:t>
            </w:r>
          </w:p>
        </w:tc>
        <w:tc>
          <w:tcPr>
            <w:tcW w:w="1110" w:type="dxa"/>
            <w:vAlign w:val="center"/>
          </w:tcPr>
          <w:p w14:paraId="51246C81">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不发育</w:t>
            </w:r>
          </w:p>
        </w:tc>
        <w:tc>
          <w:tcPr>
            <w:tcW w:w="1170" w:type="dxa"/>
            <w:vAlign w:val="center"/>
          </w:tcPr>
          <w:p w14:paraId="592F4324">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造成破坏</w:t>
            </w:r>
          </w:p>
        </w:tc>
        <w:tc>
          <w:tcPr>
            <w:tcW w:w="2400" w:type="dxa"/>
            <w:vAlign w:val="center"/>
          </w:tcPr>
          <w:p w14:paraId="1E0B0B4E">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破坏原有地形地貌</w:t>
            </w:r>
          </w:p>
        </w:tc>
        <w:tc>
          <w:tcPr>
            <w:tcW w:w="1328" w:type="dxa"/>
            <w:vAlign w:val="center"/>
          </w:tcPr>
          <w:p w14:paraId="096DE04B">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其他草地</w:t>
            </w:r>
          </w:p>
          <w:p w14:paraId="34FD126E">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农村宅基地</w:t>
            </w:r>
          </w:p>
        </w:tc>
      </w:tr>
      <w:tr w14:paraId="1107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4" w:type="dxa"/>
            <w:vAlign w:val="center"/>
          </w:tcPr>
          <w:p w14:paraId="47B0D9BB">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斜井废渣堆</w:t>
            </w:r>
          </w:p>
        </w:tc>
        <w:tc>
          <w:tcPr>
            <w:tcW w:w="870" w:type="dxa"/>
            <w:vAlign w:val="center"/>
          </w:tcPr>
          <w:p w14:paraId="355E76F4">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529</w:t>
            </w:r>
          </w:p>
        </w:tc>
        <w:tc>
          <w:tcPr>
            <w:tcW w:w="1110" w:type="dxa"/>
            <w:vAlign w:val="center"/>
          </w:tcPr>
          <w:p w14:paraId="0AF118D5">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不发育</w:t>
            </w:r>
          </w:p>
        </w:tc>
        <w:tc>
          <w:tcPr>
            <w:tcW w:w="1170" w:type="dxa"/>
            <w:vAlign w:val="center"/>
          </w:tcPr>
          <w:p w14:paraId="6DBD625E">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未破坏</w:t>
            </w:r>
          </w:p>
        </w:tc>
        <w:tc>
          <w:tcPr>
            <w:tcW w:w="2400" w:type="dxa"/>
            <w:vAlign w:val="center"/>
          </w:tcPr>
          <w:p w14:paraId="28CC775C">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破坏原有地形地貌</w:t>
            </w:r>
          </w:p>
        </w:tc>
        <w:tc>
          <w:tcPr>
            <w:tcW w:w="1328" w:type="dxa"/>
            <w:vAlign w:val="center"/>
          </w:tcPr>
          <w:p w14:paraId="6C4C3535">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其他草地</w:t>
            </w:r>
          </w:p>
        </w:tc>
      </w:tr>
      <w:tr w14:paraId="303D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4" w:type="dxa"/>
            <w:vAlign w:val="center"/>
          </w:tcPr>
          <w:p w14:paraId="07B14D6B">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雷管炸药库</w:t>
            </w:r>
          </w:p>
        </w:tc>
        <w:tc>
          <w:tcPr>
            <w:tcW w:w="870" w:type="dxa"/>
            <w:vAlign w:val="center"/>
          </w:tcPr>
          <w:p w14:paraId="62760DF7">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567</w:t>
            </w:r>
          </w:p>
        </w:tc>
        <w:tc>
          <w:tcPr>
            <w:tcW w:w="1110" w:type="dxa"/>
            <w:vAlign w:val="center"/>
          </w:tcPr>
          <w:p w14:paraId="0926F1C1">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不发育</w:t>
            </w:r>
          </w:p>
        </w:tc>
        <w:tc>
          <w:tcPr>
            <w:tcW w:w="1170" w:type="dxa"/>
            <w:vAlign w:val="center"/>
          </w:tcPr>
          <w:p w14:paraId="2A913BFE">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未破坏</w:t>
            </w:r>
          </w:p>
        </w:tc>
        <w:tc>
          <w:tcPr>
            <w:tcW w:w="2400" w:type="dxa"/>
            <w:vAlign w:val="center"/>
          </w:tcPr>
          <w:p w14:paraId="65B79CFC">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破坏原有地形地貌</w:t>
            </w:r>
          </w:p>
        </w:tc>
        <w:tc>
          <w:tcPr>
            <w:tcW w:w="1328" w:type="dxa"/>
            <w:vAlign w:val="center"/>
          </w:tcPr>
          <w:p w14:paraId="6E384382">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其他草地</w:t>
            </w:r>
          </w:p>
          <w:p w14:paraId="6E68B261">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采矿用地</w:t>
            </w:r>
          </w:p>
        </w:tc>
      </w:tr>
      <w:tr w14:paraId="020D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4" w:type="dxa"/>
            <w:vAlign w:val="center"/>
          </w:tcPr>
          <w:p w14:paraId="23149C1B">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选厂</w:t>
            </w:r>
          </w:p>
        </w:tc>
        <w:tc>
          <w:tcPr>
            <w:tcW w:w="870" w:type="dxa"/>
            <w:vAlign w:val="center"/>
          </w:tcPr>
          <w:p w14:paraId="6FA63A53">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1970</w:t>
            </w:r>
          </w:p>
        </w:tc>
        <w:tc>
          <w:tcPr>
            <w:tcW w:w="1110" w:type="dxa"/>
            <w:vAlign w:val="center"/>
          </w:tcPr>
          <w:p w14:paraId="18921617">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不发育</w:t>
            </w:r>
          </w:p>
        </w:tc>
        <w:tc>
          <w:tcPr>
            <w:tcW w:w="1170" w:type="dxa"/>
            <w:vAlign w:val="center"/>
          </w:tcPr>
          <w:p w14:paraId="7362C542">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未破坏</w:t>
            </w:r>
          </w:p>
        </w:tc>
        <w:tc>
          <w:tcPr>
            <w:tcW w:w="2400" w:type="dxa"/>
            <w:vAlign w:val="center"/>
          </w:tcPr>
          <w:p w14:paraId="3B97EF38">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破坏原有地形地貌</w:t>
            </w:r>
          </w:p>
        </w:tc>
        <w:tc>
          <w:tcPr>
            <w:tcW w:w="1328" w:type="dxa"/>
            <w:vAlign w:val="center"/>
          </w:tcPr>
          <w:p w14:paraId="3CF86C74">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其他草地</w:t>
            </w:r>
          </w:p>
          <w:p w14:paraId="472F48DB">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农村宅基地</w:t>
            </w:r>
          </w:p>
        </w:tc>
      </w:tr>
      <w:tr w14:paraId="1951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4" w:type="dxa"/>
            <w:vAlign w:val="center"/>
          </w:tcPr>
          <w:p w14:paraId="5B4D8C76">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办公室</w:t>
            </w:r>
          </w:p>
        </w:tc>
        <w:tc>
          <w:tcPr>
            <w:tcW w:w="870" w:type="dxa"/>
            <w:vAlign w:val="center"/>
          </w:tcPr>
          <w:p w14:paraId="641F418B">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240</w:t>
            </w:r>
          </w:p>
        </w:tc>
        <w:tc>
          <w:tcPr>
            <w:tcW w:w="1110" w:type="dxa"/>
            <w:vAlign w:val="center"/>
          </w:tcPr>
          <w:p w14:paraId="4ED98528">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不发育</w:t>
            </w:r>
          </w:p>
        </w:tc>
        <w:tc>
          <w:tcPr>
            <w:tcW w:w="1170" w:type="dxa"/>
            <w:vAlign w:val="center"/>
          </w:tcPr>
          <w:p w14:paraId="16ECCEA6">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未破坏</w:t>
            </w:r>
          </w:p>
        </w:tc>
        <w:tc>
          <w:tcPr>
            <w:tcW w:w="2400" w:type="dxa"/>
            <w:vAlign w:val="center"/>
          </w:tcPr>
          <w:p w14:paraId="0E8EA763">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破坏原有地形地貌</w:t>
            </w:r>
          </w:p>
        </w:tc>
        <w:tc>
          <w:tcPr>
            <w:tcW w:w="1328" w:type="dxa"/>
            <w:vAlign w:val="center"/>
          </w:tcPr>
          <w:p w14:paraId="194C554C">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其他草地</w:t>
            </w:r>
          </w:p>
        </w:tc>
      </w:tr>
      <w:tr w14:paraId="698A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4" w:type="dxa"/>
            <w:vAlign w:val="center"/>
          </w:tcPr>
          <w:p w14:paraId="02637656">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宿舍</w:t>
            </w:r>
          </w:p>
        </w:tc>
        <w:tc>
          <w:tcPr>
            <w:tcW w:w="870" w:type="dxa"/>
            <w:vAlign w:val="center"/>
          </w:tcPr>
          <w:p w14:paraId="4749D09D">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190</w:t>
            </w:r>
          </w:p>
        </w:tc>
        <w:tc>
          <w:tcPr>
            <w:tcW w:w="1110" w:type="dxa"/>
            <w:vAlign w:val="center"/>
          </w:tcPr>
          <w:p w14:paraId="59FE6264">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不发育</w:t>
            </w:r>
          </w:p>
        </w:tc>
        <w:tc>
          <w:tcPr>
            <w:tcW w:w="1170" w:type="dxa"/>
            <w:vAlign w:val="center"/>
          </w:tcPr>
          <w:p w14:paraId="5482AD69">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未破坏</w:t>
            </w:r>
          </w:p>
        </w:tc>
        <w:tc>
          <w:tcPr>
            <w:tcW w:w="2400" w:type="dxa"/>
            <w:vAlign w:val="center"/>
          </w:tcPr>
          <w:p w14:paraId="6E551D2B">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破坏原有地形地貌</w:t>
            </w:r>
          </w:p>
        </w:tc>
        <w:tc>
          <w:tcPr>
            <w:tcW w:w="1328" w:type="dxa"/>
            <w:vAlign w:val="center"/>
          </w:tcPr>
          <w:p w14:paraId="100F9556">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农村宅基地</w:t>
            </w:r>
          </w:p>
        </w:tc>
      </w:tr>
      <w:tr w14:paraId="1095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4" w:type="dxa"/>
            <w:vAlign w:val="center"/>
          </w:tcPr>
          <w:p w14:paraId="30119019">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办公生活区</w:t>
            </w:r>
          </w:p>
        </w:tc>
        <w:tc>
          <w:tcPr>
            <w:tcW w:w="870" w:type="dxa"/>
            <w:vAlign w:val="center"/>
          </w:tcPr>
          <w:p w14:paraId="20DBD329">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5010</w:t>
            </w:r>
          </w:p>
        </w:tc>
        <w:tc>
          <w:tcPr>
            <w:tcW w:w="1110" w:type="dxa"/>
            <w:vAlign w:val="center"/>
          </w:tcPr>
          <w:p w14:paraId="66DA6AB6">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不发育</w:t>
            </w:r>
          </w:p>
        </w:tc>
        <w:tc>
          <w:tcPr>
            <w:tcW w:w="1170" w:type="dxa"/>
            <w:vAlign w:val="center"/>
          </w:tcPr>
          <w:p w14:paraId="6A2888AC">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未破坏</w:t>
            </w:r>
          </w:p>
        </w:tc>
        <w:tc>
          <w:tcPr>
            <w:tcW w:w="2400" w:type="dxa"/>
            <w:vAlign w:val="center"/>
          </w:tcPr>
          <w:p w14:paraId="0DB27EB8">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破坏原有地形地貌</w:t>
            </w:r>
          </w:p>
        </w:tc>
        <w:tc>
          <w:tcPr>
            <w:tcW w:w="1328" w:type="dxa"/>
            <w:vAlign w:val="center"/>
          </w:tcPr>
          <w:p w14:paraId="18B72738">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其他草地</w:t>
            </w:r>
          </w:p>
          <w:p w14:paraId="49E1F5FB">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农村宅基地</w:t>
            </w:r>
          </w:p>
        </w:tc>
      </w:tr>
      <w:tr w14:paraId="0A1DF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4" w:type="dxa"/>
            <w:vAlign w:val="center"/>
          </w:tcPr>
          <w:p w14:paraId="03139362">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矿区道路</w:t>
            </w:r>
          </w:p>
        </w:tc>
        <w:tc>
          <w:tcPr>
            <w:tcW w:w="870" w:type="dxa"/>
            <w:vAlign w:val="center"/>
          </w:tcPr>
          <w:p w14:paraId="5BC80ECF">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1640</w:t>
            </w:r>
          </w:p>
        </w:tc>
        <w:tc>
          <w:tcPr>
            <w:tcW w:w="1110" w:type="dxa"/>
            <w:vAlign w:val="center"/>
          </w:tcPr>
          <w:p w14:paraId="49A8E4DF">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不发育</w:t>
            </w:r>
          </w:p>
        </w:tc>
        <w:tc>
          <w:tcPr>
            <w:tcW w:w="1170" w:type="dxa"/>
            <w:vAlign w:val="center"/>
          </w:tcPr>
          <w:p w14:paraId="23A62BDF">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未破坏</w:t>
            </w:r>
          </w:p>
        </w:tc>
        <w:tc>
          <w:tcPr>
            <w:tcW w:w="2400" w:type="dxa"/>
            <w:vAlign w:val="center"/>
          </w:tcPr>
          <w:p w14:paraId="4CBAEF31">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破坏原有地形地貌</w:t>
            </w:r>
          </w:p>
        </w:tc>
        <w:tc>
          <w:tcPr>
            <w:tcW w:w="1328" w:type="dxa"/>
            <w:vAlign w:val="center"/>
          </w:tcPr>
          <w:p w14:paraId="49476592">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其他草地</w:t>
            </w:r>
          </w:p>
          <w:p w14:paraId="60723CF2">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农村道路</w:t>
            </w:r>
          </w:p>
        </w:tc>
      </w:tr>
      <w:tr w14:paraId="1CBE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4" w:type="dxa"/>
            <w:vAlign w:val="center"/>
          </w:tcPr>
          <w:p w14:paraId="2982D029">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合计</w:t>
            </w:r>
          </w:p>
        </w:tc>
        <w:tc>
          <w:tcPr>
            <w:tcW w:w="870" w:type="dxa"/>
            <w:vAlign w:val="center"/>
          </w:tcPr>
          <w:p w14:paraId="3F1C661A">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12272</w:t>
            </w:r>
          </w:p>
        </w:tc>
        <w:tc>
          <w:tcPr>
            <w:tcW w:w="1110" w:type="dxa"/>
            <w:vAlign w:val="center"/>
          </w:tcPr>
          <w:p w14:paraId="0CA7E6BB">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w:t>
            </w:r>
          </w:p>
        </w:tc>
        <w:tc>
          <w:tcPr>
            <w:tcW w:w="1170" w:type="dxa"/>
            <w:vAlign w:val="center"/>
          </w:tcPr>
          <w:p w14:paraId="254B9D63">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w:t>
            </w:r>
          </w:p>
        </w:tc>
        <w:tc>
          <w:tcPr>
            <w:tcW w:w="2400" w:type="dxa"/>
            <w:vAlign w:val="center"/>
          </w:tcPr>
          <w:p w14:paraId="36EF9EF3">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w:t>
            </w:r>
          </w:p>
        </w:tc>
        <w:tc>
          <w:tcPr>
            <w:tcW w:w="1328" w:type="dxa"/>
            <w:vAlign w:val="center"/>
          </w:tcPr>
          <w:p w14:paraId="0336081A">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w:t>
            </w:r>
          </w:p>
        </w:tc>
      </w:tr>
    </w:tbl>
    <w:p w14:paraId="3F74D093">
      <w:pPr>
        <w:rPr>
          <w:rStyle w:val="34"/>
          <w:rFonts w:ascii="黑体" w:hAnsi="黑体" w:eastAsia="黑体" w:cs="黑体"/>
          <w:color w:val="FF0000"/>
          <w:sz w:val="24"/>
          <w:szCs w:val="24"/>
        </w:rPr>
      </w:pPr>
      <w:r>
        <w:rPr>
          <w:rStyle w:val="34"/>
          <w:rFonts w:hint="eastAsia" w:ascii="黑体" w:hAnsi="黑体" w:eastAsia="黑体" w:cs="黑体"/>
          <w:color w:val="FF0000"/>
          <w:sz w:val="24"/>
          <w:szCs w:val="24"/>
        </w:rPr>
        <w:br w:type="page"/>
      </w:r>
    </w:p>
    <w:p w14:paraId="3F042545">
      <w:pPr>
        <w:spacing w:line="360" w:lineRule="auto"/>
        <w:ind w:firstLine="480" w:firstLineChars="200"/>
        <w:jc w:val="left"/>
        <w:rPr>
          <w:rFonts w:cs="Times New Roman"/>
          <w:bCs/>
          <w:color w:val="000000" w:themeColor="text1"/>
          <w:sz w:val="24"/>
          <w14:textFill>
            <w14:solidFill>
              <w14:schemeClr w14:val="tx1"/>
            </w14:solidFill>
          </w14:textFill>
        </w:rPr>
      </w:pPr>
      <w:r>
        <w:rPr>
          <w:rFonts w:cs="Times New Roman"/>
          <w:color w:val="000000" w:themeColor="text1"/>
          <w:sz w:val="24"/>
          <w:szCs w:val="24"/>
          <w14:textFill>
            <w14:solidFill>
              <w14:schemeClr w14:val="tx1"/>
            </w14:solidFill>
          </w14:textFill>
        </w:rPr>
        <w:t>根据土地利用现状图[K50G038075]胡彩沟幅及相关资料，矿山建设前评估区土地资源类型为：灌木林地、其他草地、</w:t>
      </w:r>
      <w:r>
        <w:rPr>
          <w:rFonts w:hint="eastAsia" w:cs="Times New Roman"/>
          <w:color w:val="000000" w:themeColor="text1"/>
          <w:sz w:val="24"/>
          <w:szCs w:val="24"/>
          <w14:textFill>
            <w14:solidFill>
              <w14:schemeClr w14:val="tx1"/>
            </w14:solidFill>
          </w14:textFill>
        </w:rPr>
        <w:t>采矿用地、农村宅基地、农村道路</w:t>
      </w:r>
      <w:r>
        <w:rPr>
          <w:rFonts w:cs="Times New Roman"/>
          <w:color w:val="000000" w:themeColor="text1"/>
          <w:sz w:val="24"/>
          <w:szCs w:val="24"/>
          <w14:textFill>
            <w14:solidFill>
              <w14:schemeClr w14:val="tx1"/>
            </w14:solidFill>
          </w14:textFill>
        </w:rPr>
        <w:t>。</w:t>
      </w:r>
    </w:p>
    <w:p w14:paraId="55D428CE">
      <w:pPr>
        <w:spacing w:line="360" w:lineRule="auto"/>
        <w:ind w:firstLine="480" w:firstLineChars="200"/>
        <w:jc w:val="left"/>
        <w:rPr>
          <w:rFonts w:cs="Times New Roman"/>
          <w:color w:val="FF0000"/>
          <w:sz w:val="24"/>
        </w:rPr>
      </w:pPr>
      <w:r>
        <w:rPr>
          <w:rFonts w:cs="Times New Roman"/>
          <w:color w:val="000000" w:themeColor="text1"/>
          <w:sz w:val="24"/>
          <w14:textFill>
            <w14:solidFill>
              <w14:schemeClr w14:val="tx1"/>
            </w14:solidFill>
          </w14:textFill>
        </w:rPr>
        <w:t>矿山现状损毁土地单元包括：斜井工业场地、斜井废渣堆、雷管炸药库、选厂、办公室、宿舍、办公生活区和矿区道路；对照全国第</w:t>
      </w:r>
      <w:r>
        <w:rPr>
          <w:rFonts w:hint="eastAsia" w:cs="Times New Roman"/>
          <w:color w:val="000000" w:themeColor="text1"/>
          <w:sz w:val="24"/>
          <w14:textFill>
            <w14:solidFill>
              <w14:schemeClr w14:val="tx1"/>
            </w14:solidFill>
          </w14:textFill>
        </w:rPr>
        <w:t>三</w:t>
      </w:r>
      <w:r>
        <w:rPr>
          <w:rFonts w:cs="Times New Roman"/>
          <w:color w:val="000000" w:themeColor="text1"/>
          <w:sz w:val="24"/>
          <w14:textFill>
            <w14:solidFill>
              <w14:schemeClr w14:val="tx1"/>
            </w14:solidFill>
          </w14:textFill>
        </w:rPr>
        <w:t>次土地利用现状调查资料，矿山现状损毁土地类型为其他草地</w:t>
      </w:r>
      <w:r>
        <w:rPr>
          <w:rFonts w:hint="eastAsia" w:cs="Times New Roman"/>
          <w:color w:val="000000" w:themeColor="text1"/>
          <w:sz w:val="24"/>
          <w14:textFill>
            <w14:solidFill>
              <w14:schemeClr w14:val="tx1"/>
            </w14:solidFill>
          </w14:textFill>
        </w:rPr>
        <w:t>、采矿用地、农村宅基地</w:t>
      </w:r>
      <w:r>
        <w:rPr>
          <w:rFonts w:cs="Times New Roman"/>
          <w:color w:val="000000" w:themeColor="text1"/>
          <w:sz w:val="24"/>
          <w14:textFill>
            <w14:solidFill>
              <w14:schemeClr w14:val="tx1"/>
            </w14:solidFill>
          </w14:textFill>
        </w:rPr>
        <w:t>及</w:t>
      </w:r>
      <w:r>
        <w:rPr>
          <w:rFonts w:hint="eastAsia" w:cs="Times New Roman"/>
          <w:color w:val="000000" w:themeColor="text1"/>
          <w:sz w:val="24"/>
          <w14:textFill>
            <w14:solidFill>
              <w14:schemeClr w14:val="tx1"/>
            </w14:solidFill>
          </w14:textFill>
        </w:rPr>
        <w:t>农村道路</w:t>
      </w:r>
      <w:r>
        <w:rPr>
          <w:rFonts w:cs="Times New Roman"/>
          <w:color w:val="000000" w:themeColor="text1"/>
          <w:sz w:val="24"/>
          <w14:textFill>
            <w14:solidFill>
              <w14:schemeClr w14:val="tx1"/>
            </w14:solidFill>
          </w14:textFill>
        </w:rPr>
        <w:t>；土地权属</w:t>
      </w:r>
      <w:r>
        <w:rPr>
          <w:rFonts w:hint="eastAsia" w:cs="Times New Roman"/>
          <w:color w:val="000000" w:themeColor="text1"/>
          <w:sz w:val="24"/>
          <w14:textFill>
            <w14:solidFill>
              <w14:schemeClr w14:val="tx1"/>
            </w14:solidFill>
          </w14:textFill>
        </w:rPr>
        <w:t>松山区当铺地乡碾子沟</w:t>
      </w:r>
      <w:r>
        <w:rPr>
          <w:rFonts w:cs="Times New Roman"/>
          <w:color w:val="000000" w:themeColor="text1"/>
          <w:sz w:val="24"/>
          <w14:textFill>
            <w14:solidFill>
              <w14:schemeClr w14:val="tx1"/>
            </w14:solidFill>
          </w14:textFill>
        </w:rPr>
        <w:t>村。现状条件下，地表各单元对土地损毁情况见表</w:t>
      </w:r>
      <w:r>
        <w:rPr>
          <w:rFonts w:hint="eastAsia" w:cs="Times New Roman"/>
          <w:color w:val="000000" w:themeColor="text1"/>
          <w:sz w:val="24"/>
          <w14:textFill>
            <w14:solidFill>
              <w14:schemeClr w14:val="tx1"/>
            </w14:solidFill>
          </w14:textFill>
        </w:rPr>
        <w:t>4-2</w:t>
      </w:r>
      <w:r>
        <w:rPr>
          <w:rFonts w:cs="Times New Roman"/>
          <w:color w:val="000000" w:themeColor="text1"/>
          <w:sz w:val="24"/>
          <w14:textFill>
            <w14:solidFill>
              <w14:schemeClr w14:val="tx1"/>
            </w14:solidFill>
          </w14:textFill>
        </w:rPr>
        <w:t>。</w:t>
      </w:r>
    </w:p>
    <w:p w14:paraId="599D11E2">
      <w:pPr>
        <w:tabs>
          <w:tab w:val="left" w:pos="1300"/>
        </w:tabs>
        <w:spacing w:line="360" w:lineRule="auto"/>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表</w:t>
      </w:r>
      <w:r>
        <w:rPr>
          <w:rFonts w:hint="eastAsia" w:eastAsia="黑体"/>
          <w:color w:val="000000" w:themeColor="text1"/>
          <w:sz w:val="24"/>
          <w14:textFill>
            <w14:solidFill>
              <w14:schemeClr w14:val="tx1"/>
            </w14:solidFill>
          </w14:textFill>
        </w:rPr>
        <w:t>4-2</w:t>
      </w:r>
      <w:r>
        <w:rPr>
          <w:rFonts w:eastAsia="黑体"/>
          <w:color w:val="000000" w:themeColor="text1"/>
          <w:sz w:val="24"/>
          <w14:textFill>
            <w14:solidFill>
              <w14:schemeClr w14:val="tx1"/>
            </w14:solidFill>
          </w14:textFill>
        </w:rPr>
        <w:t xml:space="preserve">  土地损毁现状评估表</w:t>
      </w:r>
    </w:p>
    <w:tbl>
      <w:tblPr>
        <w:tblStyle w:val="13"/>
        <w:tblW w:w="5051" w:type="pct"/>
        <w:jc w:val="center"/>
        <w:tblLayout w:type="fixed"/>
        <w:tblCellMar>
          <w:top w:w="0" w:type="dxa"/>
          <w:left w:w="108" w:type="dxa"/>
          <w:bottom w:w="0" w:type="dxa"/>
          <w:right w:w="108" w:type="dxa"/>
        </w:tblCellMar>
      </w:tblPr>
      <w:tblGrid>
        <w:gridCol w:w="1523"/>
        <w:gridCol w:w="795"/>
        <w:gridCol w:w="781"/>
        <w:gridCol w:w="750"/>
        <w:gridCol w:w="1680"/>
        <w:gridCol w:w="809"/>
        <w:gridCol w:w="1369"/>
        <w:gridCol w:w="902"/>
      </w:tblGrid>
      <w:tr w14:paraId="2D57830F">
        <w:tblPrEx>
          <w:tblCellMar>
            <w:top w:w="0" w:type="dxa"/>
            <w:left w:w="108" w:type="dxa"/>
            <w:bottom w:w="0" w:type="dxa"/>
            <w:right w:w="108" w:type="dxa"/>
          </w:tblCellMar>
        </w:tblPrEx>
        <w:trPr>
          <w:trHeight w:val="340" w:hRule="atLeast"/>
          <w:tblHeader/>
          <w:jc w:val="center"/>
        </w:trPr>
        <w:tc>
          <w:tcPr>
            <w:tcW w:w="884" w:type="pct"/>
            <w:vMerge w:val="restart"/>
            <w:tcBorders>
              <w:top w:val="single" w:color="000000" w:sz="4" w:space="0"/>
              <w:left w:val="single" w:color="000000" w:sz="4" w:space="0"/>
              <w:bottom w:val="single" w:color="000000" w:sz="4" w:space="0"/>
              <w:right w:val="single" w:color="000000" w:sz="4" w:space="0"/>
            </w:tcBorders>
            <w:vAlign w:val="center"/>
          </w:tcPr>
          <w:p w14:paraId="7F8ADDB3">
            <w:pPr>
              <w:textAlignment w:val="center"/>
              <w:rPr>
                <w:rFonts w:cs="Times New Roman"/>
                <w:color w:val="000000" w:themeColor="text1"/>
                <w14:textFill>
                  <w14:solidFill>
                    <w14:schemeClr w14:val="tx1"/>
                  </w14:solidFill>
                </w14:textFill>
              </w:rPr>
            </w:pPr>
            <w:r>
              <w:rPr>
                <w:rFonts w:cs="Times New Roman"/>
                <w:color w:val="000000" w:themeColor="text1"/>
                <w:kern w:val="0"/>
                <w:lang w:bidi="ar"/>
                <w14:textFill>
                  <w14:solidFill>
                    <w14:schemeClr w14:val="tx1"/>
                  </w14:solidFill>
                </w14:textFill>
              </w:rPr>
              <w:t>单元名称</w:t>
            </w:r>
          </w:p>
        </w:tc>
        <w:tc>
          <w:tcPr>
            <w:tcW w:w="914" w:type="pct"/>
            <w:gridSpan w:val="2"/>
            <w:vMerge w:val="restart"/>
            <w:tcBorders>
              <w:top w:val="single" w:color="000000" w:sz="4" w:space="0"/>
              <w:left w:val="single" w:color="000000" w:sz="4" w:space="0"/>
              <w:bottom w:val="single" w:color="000000" w:sz="4" w:space="0"/>
              <w:right w:val="single" w:color="000000" w:sz="4" w:space="0"/>
            </w:tcBorders>
            <w:vAlign w:val="center"/>
          </w:tcPr>
          <w:p w14:paraId="44C62351">
            <w:pPr>
              <w:textAlignment w:val="center"/>
              <w:rPr>
                <w:rFonts w:cs="Times New Roman"/>
                <w:color w:val="000000" w:themeColor="text1"/>
                <w14:textFill>
                  <w14:solidFill>
                    <w14:schemeClr w14:val="tx1"/>
                  </w14:solidFill>
                </w14:textFill>
              </w:rPr>
            </w:pPr>
            <w:r>
              <w:rPr>
                <w:rFonts w:cs="Times New Roman"/>
                <w:color w:val="000000" w:themeColor="text1"/>
                <w:kern w:val="0"/>
                <w:lang w:bidi="ar"/>
                <w14:textFill>
                  <w14:solidFill>
                    <w14:schemeClr w14:val="tx1"/>
                  </w14:solidFill>
                </w14:textFill>
              </w:rPr>
              <w:t>占地面积(m</w:t>
            </w:r>
            <w:r>
              <w:rPr>
                <w:rFonts w:cs="Times New Roman"/>
                <w:color w:val="000000" w:themeColor="text1"/>
                <w:kern w:val="0"/>
                <w:vertAlign w:val="superscript"/>
                <w:lang w:bidi="ar"/>
                <w14:textFill>
                  <w14:solidFill>
                    <w14:schemeClr w14:val="tx1"/>
                  </w14:solidFill>
                </w14:textFill>
              </w:rPr>
              <w:t>2</w:t>
            </w:r>
            <w:r>
              <w:rPr>
                <w:rFonts w:cs="Times New Roman"/>
                <w:color w:val="000000" w:themeColor="text1"/>
                <w:kern w:val="0"/>
                <w:lang w:bidi="ar"/>
                <w14:textFill>
                  <w14:solidFill>
                    <w14:schemeClr w14:val="tx1"/>
                  </w14:solidFill>
                </w14:textFill>
              </w:rPr>
              <w:t>)</w:t>
            </w:r>
          </w:p>
        </w:tc>
        <w:tc>
          <w:tcPr>
            <w:tcW w:w="1411" w:type="pct"/>
            <w:gridSpan w:val="2"/>
            <w:tcBorders>
              <w:top w:val="single" w:color="000000" w:sz="4" w:space="0"/>
              <w:left w:val="single" w:color="000000" w:sz="4" w:space="0"/>
              <w:bottom w:val="single" w:color="000000" w:sz="4" w:space="0"/>
              <w:right w:val="single" w:color="000000" w:sz="4" w:space="0"/>
            </w:tcBorders>
            <w:vAlign w:val="center"/>
          </w:tcPr>
          <w:p w14:paraId="4BB59D73">
            <w:pPr>
              <w:textAlignment w:val="center"/>
              <w:rPr>
                <w:rFonts w:cs="Times New Roman"/>
                <w:color w:val="000000" w:themeColor="text1"/>
                <w14:textFill>
                  <w14:solidFill>
                    <w14:schemeClr w14:val="tx1"/>
                  </w14:solidFill>
                </w14:textFill>
              </w:rPr>
            </w:pPr>
            <w:r>
              <w:rPr>
                <w:rFonts w:cs="Times New Roman"/>
                <w:color w:val="000000" w:themeColor="text1"/>
                <w:kern w:val="0"/>
                <w:lang w:bidi="ar"/>
                <w14:textFill>
                  <w14:solidFill>
                    <w14:schemeClr w14:val="tx1"/>
                  </w14:solidFill>
                </w14:textFill>
              </w:rPr>
              <w:t>占用一级地类</w:t>
            </w:r>
          </w:p>
        </w:tc>
        <w:tc>
          <w:tcPr>
            <w:tcW w:w="1264" w:type="pct"/>
            <w:gridSpan w:val="2"/>
            <w:tcBorders>
              <w:top w:val="single" w:color="000000" w:sz="4" w:space="0"/>
              <w:left w:val="single" w:color="000000" w:sz="4" w:space="0"/>
              <w:bottom w:val="single" w:color="000000" w:sz="4" w:space="0"/>
              <w:right w:val="single" w:color="000000" w:sz="4" w:space="0"/>
            </w:tcBorders>
            <w:vAlign w:val="center"/>
          </w:tcPr>
          <w:p w14:paraId="1ECF3750">
            <w:pPr>
              <w:textAlignment w:val="center"/>
              <w:rPr>
                <w:rFonts w:cs="Times New Roman"/>
                <w:color w:val="000000" w:themeColor="text1"/>
                <w14:textFill>
                  <w14:solidFill>
                    <w14:schemeClr w14:val="tx1"/>
                  </w14:solidFill>
                </w14:textFill>
              </w:rPr>
            </w:pPr>
            <w:r>
              <w:rPr>
                <w:rFonts w:cs="Times New Roman"/>
                <w:color w:val="000000" w:themeColor="text1"/>
                <w:kern w:val="0"/>
                <w:lang w:bidi="ar"/>
                <w14:textFill>
                  <w14:solidFill>
                    <w14:schemeClr w14:val="tx1"/>
                  </w14:solidFill>
                </w14:textFill>
              </w:rPr>
              <w:t>占用二级地类</w:t>
            </w:r>
          </w:p>
        </w:tc>
        <w:tc>
          <w:tcPr>
            <w:tcW w:w="524" w:type="pct"/>
            <w:vMerge w:val="restart"/>
            <w:tcBorders>
              <w:top w:val="single" w:color="000000" w:sz="4" w:space="0"/>
              <w:left w:val="single" w:color="000000" w:sz="4" w:space="0"/>
              <w:bottom w:val="single" w:color="000000" w:sz="4" w:space="0"/>
              <w:right w:val="single" w:color="000000" w:sz="4" w:space="0"/>
            </w:tcBorders>
            <w:noWrap/>
            <w:vAlign w:val="center"/>
          </w:tcPr>
          <w:p w14:paraId="4B5B9DA5">
            <w:pPr>
              <w:textAlignment w:val="center"/>
              <w:rPr>
                <w:rFonts w:cs="Times New Roman"/>
                <w:color w:val="000000" w:themeColor="text1"/>
                <w:kern w:val="0"/>
                <w:lang w:bidi="ar"/>
                <w14:textFill>
                  <w14:solidFill>
                    <w14:schemeClr w14:val="tx1"/>
                  </w14:solidFill>
                </w14:textFill>
              </w:rPr>
            </w:pPr>
            <w:r>
              <w:rPr>
                <w:rFonts w:cs="Times New Roman"/>
                <w:color w:val="000000" w:themeColor="text1"/>
                <w:kern w:val="0"/>
                <w:lang w:bidi="ar"/>
                <w14:textFill>
                  <w14:solidFill>
                    <w14:schemeClr w14:val="tx1"/>
                  </w14:solidFill>
                </w14:textFill>
              </w:rPr>
              <w:t>土地</w:t>
            </w:r>
          </w:p>
          <w:p w14:paraId="2EA10ACC">
            <w:pPr>
              <w:textAlignment w:val="center"/>
              <w:rPr>
                <w:rFonts w:cs="Times New Roman"/>
                <w:color w:val="000000" w:themeColor="text1"/>
                <w14:textFill>
                  <w14:solidFill>
                    <w14:schemeClr w14:val="tx1"/>
                  </w14:solidFill>
                </w14:textFill>
              </w:rPr>
            </w:pPr>
            <w:r>
              <w:rPr>
                <w:rFonts w:cs="Times New Roman"/>
                <w:color w:val="000000" w:themeColor="text1"/>
                <w:kern w:val="0"/>
                <w:lang w:bidi="ar"/>
                <w14:textFill>
                  <w14:solidFill>
                    <w14:schemeClr w14:val="tx1"/>
                  </w14:solidFill>
                </w14:textFill>
              </w:rPr>
              <w:t>权属</w:t>
            </w:r>
          </w:p>
        </w:tc>
      </w:tr>
      <w:tr w14:paraId="6B163F22">
        <w:tblPrEx>
          <w:tblCellMar>
            <w:top w:w="0" w:type="dxa"/>
            <w:left w:w="108" w:type="dxa"/>
            <w:bottom w:w="0" w:type="dxa"/>
            <w:right w:w="108" w:type="dxa"/>
          </w:tblCellMar>
        </w:tblPrEx>
        <w:trPr>
          <w:trHeight w:val="340" w:hRule="atLeast"/>
          <w:tblHeader/>
          <w:jc w:val="center"/>
        </w:trPr>
        <w:tc>
          <w:tcPr>
            <w:tcW w:w="884" w:type="pct"/>
            <w:vMerge w:val="continue"/>
            <w:tcBorders>
              <w:top w:val="single" w:color="000000" w:sz="4" w:space="0"/>
              <w:left w:val="single" w:color="000000" w:sz="4" w:space="0"/>
              <w:bottom w:val="single" w:color="000000" w:sz="4" w:space="0"/>
              <w:right w:val="single" w:color="000000" w:sz="4" w:space="0"/>
            </w:tcBorders>
            <w:vAlign w:val="center"/>
          </w:tcPr>
          <w:p w14:paraId="1A5FCF4D">
            <w:pPr>
              <w:rPr>
                <w:rFonts w:cs="Times New Roman"/>
                <w:color w:val="000000" w:themeColor="text1"/>
                <w14:textFill>
                  <w14:solidFill>
                    <w14:schemeClr w14:val="tx1"/>
                  </w14:solidFill>
                </w14:textFill>
              </w:rPr>
            </w:pPr>
          </w:p>
        </w:tc>
        <w:tc>
          <w:tcPr>
            <w:tcW w:w="914"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4BE58E2D">
            <w:pPr>
              <w:rPr>
                <w:rFonts w:cs="Times New Roman"/>
                <w:color w:val="000000" w:themeColor="text1"/>
                <w14:textFill>
                  <w14:solidFill>
                    <w14:schemeClr w14:val="tx1"/>
                  </w14:solidFill>
                </w14:textFill>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112792DC">
            <w:pPr>
              <w:textAlignment w:val="center"/>
              <w:rPr>
                <w:rFonts w:cs="Times New Roman"/>
                <w:color w:val="000000" w:themeColor="text1"/>
                <w14:textFill>
                  <w14:solidFill>
                    <w14:schemeClr w14:val="tx1"/>
                  </w14:solidFill>
                </w14:textFill>
              </w:rPr>
            </w:pPr>
            <w:r>
              <w:rPr>
                <w:rFonts w:cs="Times New Roman"/>
                <w:color w:val="000000" w:themeColor="text1"/>
                <w:kern w:val="0"/>
                <w:lang w:bidi="ar"/>
                <w14:textFill>
                  <w14:solidFill>
                    <w14:schemeClr w14:val="tx1"/>
                  </w14:solidFill>
                </w14:textFill>
              </w:rPr>
              <w:t>编号</w:t>
            </w:r>
          </w:p>
        </w:tc>
        <w:tc>
          <w:tcPr>
            <w:tcW w:w="975" w:type="pct"/>
            <w:tcBorders>
              <w:top w:val="single" w:color="000000" w:sz="4" w:space="0"/>
              <w:left w:val="single" w:color="000000" w:sz="4" w:space="0"/>
              <w:bottom w:val="single" w:color="000000" w:sz="4" w:space="0"/>
              <w:right w:val="single" w:color="000000" w:sz="4" w:space="0"/>
            </w:tcBorders>
            <w:vAlign w:val="center"/>
          </w:tcPr>
          <w:p w14:paraId="0C65F973">
            <w:pPr>
              <w:textAlignment w:val="center"/>
              <w:rPr>
                <w:rFonts w:cs="Times New Roman"/>
                <w:color w:val="000000" w:themeColor="text1"/>
                <w14:textFill>
                  <w14:solidFill>
                    <w14:schemeClr w14:val="tx1"/>
                  </w14:solidFill>
                </w14:textFill>
              </w:rPr>
            </w:pPr>
            <w:r>
              <w:rPr>
                <w:rFonts w:cs="Times New Roman"/>
                <w:color w:val="000000" w:themeColor="text1"/>
                <w:kern w:val="0"/>
                <w:lang w:bidi="ar"/>
                <w14:textFill>
                  <w14:solidFill>
                    <w14:schemeClr w14:val="tx1"/>
                  </w14:solidFill>
                </w14:textFill>
              </w:rPr>
              <w:t>名称</w:t>
            </w:r>
          </w:p>
        </w:tc>
        <w:tc>
          <w:tcPr>
            <w:tcW w:w="470" w:type="pct"/>
            <w:tcBorders>
              <w:top w:val="single" w:color="000000" w:sz="4" w:space="0"/>
              <w:left w:val="single" w:color="000000" w:sz="4" w:space="0"/>
              <w:bottom w:val="single" w:color="000000" w:sz="4" w:space="0"/>
              <w:right w:val="single" w:color="000000" w:sz="4" w:space="0"/>
            </w:tcBorders>
            <w:vAlign w:val="center"/>
          </w:tcPr>
          <w:p w14:paraId="1C411B40">
            <w:pPr>
              <w:textAlignment w:val="center"/>
              <w:rPr>
                <w:rFonts w:cs="Times New Roman"/>
                <w:color w:val="000000" w:themeColor="text1"/>
                <w14:textFill>
                  <w14:solidFill>
                    <w14:schemeClr w14:val="tx1"/>
                  </w14:solidFill>
                </w14:textFill>
              </w:rPr>
            </w:pPr>
            <w:r>
              <w:rPr>
                <w:rFonts w:cs="Times New Roman"/>
                <w:color w:val="000000" w:themeColor="text1"/>
                <w:kern w:val="0"/>
                <w:lang w:bidi="ar"/>
                <w14:textFill>
                  <w14:solidFill>
                    <w14:schemeClr w14:val="tx1"/>
                  </w14:solidFill>
                </w14:textFill>
              </w:rPr>
              <w:t>编号</w:t>
            </w:r>
          </w:p>
        </w:tc>
        <w:tc>
          <w:tcPr>
            <w:tcW w:w="794" w:type="pct"/>
            <w:tcBorders>
              <w:top w:val="single" w:color="000000" w:sz="4" w:space="0"/>
              <w:left w:val="single" w:color="000000" w:sz="4" w:space="0"/>
              <w:bottom w:val="single" w:color="000000" w:sz="4" w:space="0"/>
              <w:right w:val="single" w:color="000000" w:sz="4" w:space="0"/>
            </w:tcBorders>
            <w:vAlign w:val="center"/>
          </w:tcPr>
          <w:p w14:paraId="032B81DC">
            <w:pPr>
              <w:textAlignment w:val="center"/>
              <w:rPr>
                <w:rFonts w:cs="Times New Roman"/>
                <w:color w:val="000000" w:themeColor="text1"/>
                <w14:textFill>
                  <w14:solidFill>
                    <w14:schemeClr w14:val="tx1"/>
                  </w14:solidFill>
                </w14:textFill>
              </w:rPr>
            </w:pPr>
            <w:r>
              <w:rPr>
                <w:rFonts w:cs="Times New Roman"/>
                <w:color w:val="000000" w:themeColor="text1"/>
                <w:kern w:val="0"/>
                <w:lang w:bidi="ar"/>
                <w14:textFill>
                  <w14:solidFill>
                    <w14:schemeClr w14:val="tx1"/>
                  </w14:solidFill>
                </w14:textFill>
              </w:rPr>
              <w:t>名称</w:t>
            </w:r>
          </w:p>
        </w:tc>
        <w:tc>
          <w:tcPr>
            <w:tcW w:w="524" w:type="pct"/>
            <w:vMerge w:val="continue"/>
            <w:tcBorders>
              <w:top w:val="single" w:color="000000" w:sz="4" w:space="0"/>
              <w:left w:val="single" w:color="000000" w:sz="4" w:space="0"/>
              <w:bottom w:val="single" w:color="000000" w:sz="4" w:space="0"/>
              <w:right w:val="single" w:color="000000" w:sz="4" w:space="0"/>
            </w:tcBorders>
            <w:noWrap/>
            <w:vAlign w:val="center"/>
          </w:tcPr>
          <w:p w14:paraId="6D7E7747">
            <w:pPr>
              <w:rPr>
                <w:rFonts w:cs="Times New Roman"/>
                <w:color w:val="000000" w:themeColor="text1"/>
                <w14:textFill>
                  <w14:solidFill>
                    <w14:schemeClr w14:val="tx1"/>
                  </w14:solidFill>
                </w14:textFill>
              </w:rPr>
            </w:pPr>
          </w:p>
        </w:tc>
      </w:tr>
      <w:tr w14:paraId="6FCE060C">
        <w:tblPrEx>
          <w:tblCellMar>
            <w:top w:w="0" w:type="dxa"/>
            <w:left w:w="108" w:type="dxa"/>
            <w:bottom w:w="0" w:type="dxa"/>
            <w:right w:w="108" w:type="dxa"/>
          </w:tblCellMar>
        </w:tblPrEx>
        <w:trPr>
          <w:trHeight w:val="340" w:hRule="atLeast"/>
          <w:jc w:val="center"/>
        </w:trPr>
        <w:tc>
          <w:tcPr>
            <w:tcW w:w="884" w:type="pct"/>
            <w:vMerge w:val="restart"/>
            <w:tcBorders>
              <w:top w:val="single" w:color="000000" w:sz="4" w:space="0"/>
              <w:left w:val="single" w:color="000000" w:sz="4" w:space="0"/>
              <w:right w:val="single" w:color="000000" w:sz="4" w:space="0"/>
            </w:tcBorders>
            <w:vAlign w:val="center"/>
          </w:tcPr>
          <w:p w14:paraId="792CFD34">
            <w:pPr>
              <w:textAlignment w:val="center"/>
              <w:rPr>
                <w:rFonts w:cs="Times New Roman"/>
                <w:color w:val="000000" w:themeColor="text1"/>
                <w14:textFill>
                  <w14:solidFill>
                    <w14:schemeClr w14:val="tx1"/>
                  </w14:solidFill>
                </w14:textFill>
              </w:rPr>
            </w:pPr>
            <w:r>
              <w:rPr>
                <w:rFonts w:hint="eastAsia" w:cs="Times New Roman"/>
                <w:color w:val="000000" w:themeColor="text1"/>
                <w:kern w:val="0"/>
                <w:lang w:bidi="ar"/>
                <w14:textFill>
                  <w14:solidFill>
                    <w14:schemeClr w14:val="tx1"/>
                  </w14:solidFill>
                </w14:textFill>
              </w:rPr>
              <w:t>斜井工业场地</w:t>
            </w:r>
          </w:p>
        </w:tc>
        <w:tc>
          <w:tcPr>
            <w:tcW w:w="461" w:type="pct"/>
            <w:vMerge w:val="restart"/>
            <w:tcBorders>
              <w:top w:val="single" w:color="000000" w:sz="4" w:space="0"/>
              <w:left w:val="single" w:color="000000" w:sz="4" w:space="0"/>
              <w:right w:val="single" w:color="000000" w:sz="4" w:space="0"/>
            </w:tcBorders>
            <w:vAlign w:val="center"/>
          </w:tcPr>
          <w:p w14:paraId="2ABA6C0D">
            <w:pPr>
              <w:textAlignment w:val="center"/>
              <w:rPr>
                <w:rFonts w:cs="Times New Roman"/>
                <w:color w:val="000000" w:themeColor="text1"/>
                <w14:textFill>
                  <w14:solidFill>
                    <w14:schemeClr w14:val="tx1"/>
                  </w14:solidFill>
                </w14:textFill>
              </w:rPr>
            </w:pPr>
            <w:r>
              <w:rPr>
                <w:rFonts w:hint="eastAsia" w:cs="Times New Roman"/>
                <w:color w:val="000000" w:themeColor="text1"/>
                <w:kern w:val="0"/>
                <w:lang w:bidi="ar"/>
                <w14:textFill>
                  <w14:solidFill>
                    <w14:schemeClr w14:val="tx1"/>
                  </w14:solidFill>
                </w14:textFill>
              </w:rPr>
              <w:t>2126</w:t>
            </w:r>
          </w:p>
        </w:tc>
        <w:tc>
          <w:tcPr>
            <w:tcW w:w="452" w:type="pct"/>
            <w:tcBorders>
              <w:top w:val="single" w:color="000000" w:sz="4" w:space="0"/>
              <w:left w:val="single" w:color="000000" w:sz="4" w:space="0"/>
              <w:bottom w:val="single" w:color="000000" w:sz="4" w:space="0"/>
              <w:right w:val="single" w:color="000000" w:sz="4" w:space="0"/>
            </w:tcBorders>
            <w:vAlign w:val="center"/>
          </w:tcPr>
          <w:p w14:paraId="2A3B5944">
            <w:pPr>
              <w:textAlignment w:val="center"/>
              <w:rPr>
                <w:rFonts w:cs="Times New Roman"/>
                <w:color w:val="000000" w:themeColor="text1"/>
                <w14:textFill>
                  <w14:solidFill>
                    <w14:schemeClr w14:val="tx1"/>
                  </w14:solidFill>
                </w14:textFill>
              </w:rPr>
            </w:pPr>
            <w:r>
              <w:rPr>
                <w:rFonts w:hint="eastAsia" w:cs="Times New Roman"/>
                <w:color w:val="000000" w:themeColor="text1"/>
                <w:kern w:val="0"/>
                <w:lang w:bidi="ar"/>
                <w14:textFill>
                  <w14:solidFill>
                    <w14:schemeClr w14:val="tx1"/>
                  </w14:solidFill>
                </w14:textFill>
              </w:rPr>
              <w:t>1126</w:t>
            </w:r>
          </w:p>
        </w:tc>
        <w:tc>
          <w:tcPr>
            <w:tcW w:w="435" w:type="pct"/>
            <w:tcBorders>
              <w:top w:val="single" w:color="000000" w:sz="4" w:space="0"/>
              <w:left w:val="single" w:color="000000" w:sz="4" w:space="0"/>
              <w:bottom w:val="single" w:color="000000" w:sz="4" w:space="0"/>
              <w:right w:val="single" w:color="000000" w:sz="4" w:space="0"/>
            </w:tcBorders>
            <w:vAlign w:val="center"/>
          </w:tcPr>
          <w:p w14:paraId="5600848B">
            <w:pPr>
              <w:textAlignment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04</w:t>
            </w:r>
          </w:p>
        </w:tc>
        <w:tc>
          <w:tcPr>
            <w:tcW w:w="975" w:type="pct"/>
            <w:tcBorders>
              <w:top w:val="single" w:color="000000" w:sz="4" w:space="0"/>
              <w:left w:val="single" w:color="000000" w:sz="4" w:space="0"/>
              <w:bottom w:val="single" w:color="000000" w:sz="4" w:space="0"/>
              <w:right w:val="single" w:color="000000" w:sz="4" w:space="0"/>
            </w:tcBorders>
            <w:vAlign w:val="center"/>
          </w:tcPr>
          <w:p w14:paraId="410E6591">
            <w:pPr>
              <w:textAlignment w:val="center"/>
              <w:rPr>
                <w:rFonts w:cs="Times New Roman"/>
                <w:color w:val="000000" w:themeColor="text1"/>
                <w14:textFill>
                  <w14:solidFill>
                    <w14:schemeClr w14:val="tx1"/>
                  </w14:solidFill>
                </w14:textFill>
              </w:rPr>
            </w:pPr>
            <w:r>
              <w:rPr>
                <w:rFonts w:cs="Times New Roman"/>
                <w:color w:val="000000" w:themeColor="text1"/>
                <w:kern w:val="0"/>
                <w:lang w:bidi="ar"/>
                <w14:textFill>
                  <w14:solidFill>
                    <w14:schemeClr w14:val="tx1"/>
                  </w14:solidFill>
                </w14:textFill>
              </w:rPr>
              <w:t>草地</w:t>
            </w:r>
          </w:p>
        </w:tc>
        <w:tc>
          <w:tcPr>
            <w:tcW w:w="470" w:type="pct"/>
            <w:tcBorders>
              <w:top w:val="single" w:color="000000" w:sz="4" w:space="0"/>
              <w:left w:val="single" w:color="000000" w:sz="4" w:space="0"/>
              <w:bottom w:val="single" w:color="000000" w:sz="4" w:space="0"/>
              <w:right w:val="single" w:color="000000" w:sz="4" w:space="0"/>
            </w:tcBorders>
            <w:vAlign w:val="center"/>
          </w:tcPr>
          <w:p w14:paraId="2AACBD4F">
            <w:pPr>
              <w:textAlignment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04</w:t>
            </w:r>
            <w:r>
              <w:rPr>
                <w:rFonts w:hint="eastAsia" w:cs="Times New Roman"/>
                <w:color w:val="000000" w:themeColor="text1"/>
                <w14:textFill>
                  <w14:solidFill>
                    <w14:schemeClr w14:val="tx1"/>
                  </w14:solidFill>
                </w14:textFill>
              </w:rPr>
              <w:t>04</w:t>
            </w:r>
          </w:p>
        </w:tc>
        <w:tc>
          <w:tcPr>
            <w:tcW w:w="794" w:type="pct"/>
            <w:tcBorders>
              <w:top w:val="single" w:color="000000" w:sz="4" w:space="0"/>
              <w:left w:val="single" w:color="000000" w:sz="4" w:space="0"/>
              <w:bottom w:val="single" w:color="000000" w:sz="4" w:space="0"/>
              <w:right w:val="single" w:color="000000" w:sz="4" w:space="0"/>
            </w:tcBorders>
            <w:vAlign w:val="center"/>
          </w:tcPr>
          <w:p w14:paraId="31634609">
            <w:pPr>
              <w:textAlignment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其他草地</w:t>
            </w:r>
          </w:p>
        </w:tc>
        <w:tc>
          <w:tcPr>
            <w:tcW w:w="524" w:type="pct"/>
            <w:vMerge w:val="restart"/>
            <w:tcBorders>
              <w:top w:val="single" w:color="000000" w:sz="4" w:space="0"/>
              <w:left w:val="single" w:color="000000" w:sz="4" w:space="0"/>
              <w:bottom w:val="single" w:color="000000" w:sz="4" w:space="0"/>
              <w:right w:val="single" w:color="000000" w:sz="4" w:space="0"/>
            </w:tcBorders>
            <w:vAlign w:val="center"/>
          </w:tcPr>
          <w:p w14:paraId="35E87F78">
            <w:pPr>
              <w:textAlignment w:val="center"/>
              <w:rPr>
                <w:rFonts w:cs="Times New Roman"/>
                <w:color w:val="000000" w:themeColor="text1"/>
                <w14:textFill>
                  <w14:solidFill>
                    <w14:schemeClr w14:val="tx1"/>
                  </w14:solidFill>
                </w14:textFill>
              </w:rPr>
            </w:pPr>
            <w:r>
              <w:rPr>
                <w:rFonts w:hint="eastAsia" w:cs="Times New Roman"/>
                <w:color w:val="000000" w:themeColor="text1"/>
                <w:kern w:val="0"/>
                <w:lang w:bidi="ar"/>
                <w14:textFill>
                  <w14:solidFill>
                    <w14:schemeClr w14:val="tx1"/>
                  </w14:solidFill>
                </w14:textFill>
              </w:rPr>
              <w:t>松山区当铺地乡碾子沟村</w:t>
            </w:r>
          </w:p>
        </w:tc>
      </w:tr>
      <w:tr w14:paraId="4691603A">
        <w:tblPrEx>
          <w:tblCellMar>
            <w:top w:w="0" w:type="dxa"/>
            <w:left w:w="108" w:type="dxa"/>
            <w:bottom w:w="0" w:type="dxa"/>
            <w:right w:w="108" w:type="dxa"/>
          </w:tblCellMar>
        </w:tblPrEx>
        <w:trPr>
          <w:trHeight w:val="340" w:hRule="atLeast"/>
          <w:jc w:val="center"/>
        </w:trPr>
        <w:tc>
          <w:tcPr>
            <w:tcW w:w="884" w:type="pct"/>
            <w:vMerge w:val="continue"/>
            <w:tcBorders>
              <w:left w:val="single" w:color="000000" w:sz="4" w:space="0"/>
              <w:bottom w:val="single" w:color="000000" w:sz="4" w:space="0"/>
              <w:right w:val="single" w:color="000000" w:sz="4" w:space="0"/>
            </w:tcBorders>
            <w:vAlign w:val="center"/>
          </w:tcPr>
          <w:p w14:paraId="2DAC3FDA">
            <w:pPr>
              <w:textAlignment w:val="center"/>
              <w:rPr>
                <w:rFonts w:cs="Times New Roman"/>
                <w:color w:val="000000" w:themeColor="text1"/>
                <w:kern w:val="0"/>
                <w:lang w:bidi="ar"/>
                <w14:textFill>
                  <w14:solidFill>
                    <w14:schemeClr w14:val="tx1"/>
                  </w14:solidFill>
                </w14:textFill>
              </w:rPr>
            </w:pPr>
          </w:p>
        </w:tc>
        <w:tc>
          <w:tcPr>
            <w:tcW w:w="461" w:type="pct"/>
            <w:vMerge w:val="continue"/>
            <w:tcBorders>
              <w:left w:val="single" w:color="000000" w:sz="4" w:space="0"/>
              <w:bottom w:val="single" w:color="000000" w:sz="4" w:space="0"/>
              <w:right w:val="single" w:color="000000" w:sz="4" w:space="0"/>
            </w:tcBorders>
            <w:vAlign w:val="center"/>
          </w:tcPr>
          <w:p w14:paraId="7C774667">
            <w:pPr>
              <w:textAlignment w:val="center"/>
              <w:rPr>
                <w:rFonts w:cs="Times New Roman"/>
                <w:color w:val="000000" w:themeColor="text1"/>
                <w:kern w:val="0"/>
                <w:lang w:bidi="ar"/>
                <w14:textFill>
                  <w14:solidFill>
                    <w14:schemeClr w14:val="tx1"/>
                  </w14:solidFill>
                </w14:textFill>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2A274F9C">
            <w:pPr>
              <w:textAlignment w:val="center"/>
              <w:rPr>
                <w:rFonts w:cs="Times New Roman"/>
                <w:color w:val="000000" w:themeColor="text1"/>
                <w:kern w:val="0"/>
                <w:lang w:bidi="ar"/>
                <w14:textFill>
                  <w14:solidFill>
                    <w14:schemeClr w14:val="tx1"/>
                  </w14:solidFill>
                </w14:textFill>
              </w:rPr>
            </w:pPr>
            <w:r>
              <w:rPr>
                <w:rFonts w:hint="eastAsia" w:cs="Times New Roman"/>
                <w:color w:val="000000" w:themeColor="text1"/>
                <w:kern w:val="0"/>
                <w:lang w:bidi="ar"/>
                <w14:textFill>
                  <w14:solidFill>
                    <w14:schemeClr w14:val="tx1"/>
                  </w14:solidFill>
                </w14:textFill>
              </w:rPr>
              <w:t>1000</w:t>
            </w:r>
          </w:p>
        </w:tc>
        <w:tc>
          <w:tcPr>
            <w:tcW w:w="435" w:type="pct"/>
            <w:tcBorders>
              <w:top w:val="single" w:color="000000" w:sz="4" w:space="0"/>
              <w:left w:val="single" w:color="000000" w:sz="4" w:space="0"/>
              <w:bottom w:val="single" w:color="000000" w:sz="4" w:space="0"/>
              <w:right w:val="single" w:color="000000" w:sz="4" w:space="0"/>
            </w:tcBorders>
            <w:vAlign w:val="center"/>
          </w:tcPr>
          <w:p w14:paraId="1AAA11B2">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07</w:t>
            </w:r>
          </w:p>
        </w:tc>
        <w:tc>
          <w:tcPr>
            <w:tcW w:w="975" w:type="pct"/>
            <w:tcBorders>
              <w:top w:val="single" w:color="000000" w:sz="4" w:space="0"/>
              <w:left w:val="single" w:color="000000" w:sz="4" w:space="0"/>
              <w:bottom w:val="single" w:color="000000" w:sz="4" w:space="0"/>
              <w:right w:val="single" w:color="000000" w:sz="4" w:space="0"/>
            </w:tcBorders>
            <w:vAlign w:val="center"/>
          </w:tcPr>
          <w:p w14:paraId="4D6B5967">
            <w:pPr>
              <w:textAlignment w:val="center"/>
              <w:rPr>
                <w:rFonts w:cs="Times New Roman"/>
                <w:color w:val="000000" w:themeColor="text1"/>
                <w:kern w:val="0"/>
                <w:lang w:bidi="ar"/>
                <w14:textFill>
                  <w14:solidFill>
                    <w14:schemeClr w14:val="tx1"/>
                  </w14:solidFill>
                </w14:textFill>
              </w:rPr>
            </w:pPr>
            <w:r>
              <w:rPr>
                <w:rFonts w:hint="eastAsia" w:cs="Times New Roman"/>
                <w:color w:val="000000" w:themeColor="text1"/>
                <w:kern w:val="0"/>
                <w:lang w:bidi="ar"/>
                <w14:textFill>
                  <w14:solidFill>
                    <w14:schemeClr w14:val="tx1"/>
                  </w14:solidFill>
                </w14:textFill>
              </w:rPr>
              <w:t>住宅用地</w:t>
            </w:r>
          </w:p>
        </w:tc>
        <w:tc>
          <w:tcPr>
            <w:tcW w:w="470" w:type="pct"/>
            <w:tcBorders>
              <w:top w:val="single" w:color="000000" w:sz="4" w:space="0"/>
              <w:left w:val="single" w:color="000000" w:sz="4" w:space="0"/>
              <w:bottom w:val="single" w:color="000000" w:sz="4" w:space="0"/>
              <w:right w:val="single" w:color="000000" w:sz="4" w:space="0"/>
            </w:tcBorders>
            <w:vAlign w:val="center"/>
          </w:tcPr>
          <w:p w14:paraId="3A3086A4">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0702</w:t>
            </w:r>
          </w:p>
        </w:tc>
        <w:tc>
          <w:tcPr>
            <w:tcW w:w="794" w:type="pct"/>
            <w:tcBorders>
              <w:top w:val="single" w:color="000000" w:sz="4" w:space="0"/>
              <w:left w:val="single" w:color="000000" w:sz="4" w:space="0"/>
              <w:bottom w:val="single" w:color="000000" w:sz="4" w:space="0"/>
              <w:right w:val="single" w:color="000000" w:sz="4" w:space="0"/>
            </w:tcBorders>
            <w:vAlign w:val="center"/>
          </w:tcPr>
          <w:p w14:paraId="3D22615C">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农村宅基地</w:t>
            </w:r>
          </w:p>
        </w:tc>
        <w:tc>
          <w:tcPr>
            <w:tcW w:w="524" w:type="pct"/>
            <w:vMerge w:val="continue"/>
            <w:tcBorders>
              <w:left w:val="single" w:color="000000" w:sz="4" w:space="0"/>
              <w:right w:val="single" w:color="000000" w:sz="4" w:space="0"/>
            </w:tcBorders>
            <w:vAlign w:val="center"/>
          </w:tcPr>
          <w:p w14:paraId="4A467D13">
            <w:pPr>
              <w:textAlignment w:val="center"/>
              <w:rPr>
                <w:rFonts w:cs="Times New Roman"/>
                <w:color w:val="FF0000"/>
                <w:kern w:val="0"/>
                <w:lang w:bidi="ar"/>
              </w:rPr>
            </w:pPr>
          </w:p>
        </w:tc>
      </w:tr>
      <w:tr w14:paraId="71BD68F5">
        <w:tblPrEx>
          <w:tblCellMar>
            <w:top w:w="0" w:type="dxa"/>
            <w:left w:w="108" w:type="dxa"/>
            <w:bottom w:w="0" w:type="dxa"/>
            <w:right w:w="108" w:type="dxa"/>
          </w:tblCellMar>
        </w:tblPrEx>
        <w:trPr>
          <w:trHeight w:val="340" w:hRule="atLeast"/>
          <w:jc w:val="center"/>
        </w:trPr>
        <w:tc>
          <w:tcPr>
            <w:tcW w:w="884" w:type="pct"/>
            <w:tcBorders>
              <w:top w:val="single" w:color="000000" w:sz="4" w:space="0"/>
              <w:left w:val="single" w:color="000000" w:sz="4" w:space="0"/>
              <w:bottom w:val="single" w:color="000000" w:sz="4" w:space="0"/>
              <w:right w:val="single" w:color="000000" w:sz="4" w:space="0"/>
            </w:tcBorders>
            <w:vAlign w:val="center"/>
          </w:tcPr>
          <w:p w14:paraId="6464BA39">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斜井废渣堆</w:t>
            </w:r>
          </w:p>
        </w:tc>
        <w:tc>
          <w:tcPr>
            <w:tcW w:w="461" w:type="pct"/>
            <w:tcBorders>
              <w:top w:val="single" w:color="000000" w:sz="4" w:space="0"/>
              <w:left w:val="single" w:color="000000" w:sz="4" w:space="0"/>
              <w:bottom w:val="single" w:color="000000" w:sz="4" w:space="0"/>
              <w:right w:val="single" w:color="000000" w:sz="4" w:space="0"/>
            </w:tcBorders>
            <w:vAlign w:val="center"/>
          </w:tcPr>
          <w:p w14:paraId="63CA81C5">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529</w:t>
            </w:r>
          </w:p>
        </w:tc>
        <w:tc>
          <w:tcPr>
            <w:tcW w:w="452" w:type="pct"/>
            <w:tcBorders>
              <w:top w:val="single" w:color="000000" w:sz="4" w:space="0"/>
              <w:left w:val="single" w:color="000000" w:sz="4" w:space="0"/>
              <w:bottom w:val="single" w:color="000000" w:sz="4" w:space="0"/>
              <w:right w:val="single" w:color="000000" w:sz="4" w:space="0"/>
            </w:tcBorders>
            <w:vAlign w:val="center"/>
          </w:tcPr>
          <w:p w14:paraId="5F7A172E">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529</w:t>
            </w:r>
          </w:p>
        </w:tc>
        <w:tc>
          <w:tcPr>
            <w:tcW w:w="435" w:type="pct"/>
            <w:tcBorders>
              <w:top w:val="single" w:color="000000" w:sz="4" w:space="0"/>
              <w:left w:val="single" w:color="000000" w:sz="4" w:space="0"/>
              <w:bottom w:val="single" w:color="000000" w:sz="4" w:space="0"/>
              <w:right w:val="single" w:color="000000" w:sz="4" w:space="0"/>
            </w:tcBorders>
            <w:vAlign w:val="center"/>
          </w:tcPr>
          <w:p w14:paraId="1CE562DA">
            <w:pPr>
              <w:textAlignment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04</w:t>
            </w:r>
          </w:p>
        </w:tc>
        <w:tc>
          <w:tcPr>
            <w:tcW w:w="975" w:type="pct"/>
            <w:tcBorders>
              <w:top w:val="single" w:color="000000" w:sz="4" w:space="0"/>
              <w:left w:val="single" w:color="000000" w:sz="4" w:space="0"/>
              <w:bottom w:val="single" w:color="000000" w:sz="4" w:space="0"/>
              <w:right w:val="single" w:color="000000" w:sz="4" w:space="0"/>
            </w:tcBorders>
            <w:vAlign w:val="center"/>
          </w:tcPr>
          <w:p w14:paraId="72AF96CD">
            <w:pPr>
              <w:textAlignment w:val="center"/>
              <w:rPr>
                <w:rFonts w:cs="Times New Roman"/>
                <w:color w:val="000000" w:themeColor="text1"/>
                <w14:textFill>
                  <w14:solidFill>
                    <w14:schemeClr w14:val="tx1"/>
                  </w14:solidFill>
                </w14:textFill>
              </w:rPr>
            </w:pPr>
            <w:r>
              <w:rPr>
                <w:rFonts w:cs="Times New Roman"/>
                <w:color w:val="000000" w:themeColor="text1"/>
                <w:kern w:val="0"/>
                <w:lang w:bidi="ar"/>
                <w14:textFill>
                  <w14:solidFill>
                    <w14:schemeClr w14:val="tx1"/>
                  </w14:solidFill>
                </w14:textFill>
              </w:rPr>
              <w:t>草地</w:t>
            </w:r>
          </w:p>
        </w:tc>
        <w:tc>
          <w:tcPr>
            <w:tcW w:w="470" w:type="pct"/>
            <w:tcBorders>
              <w:top w:val="single" w:color="000000" w:sz="4" w:space="0"/>
              <w:left w:val="single" w:color="000000" w:sz="4" w:space="0"/>
              <w:bottom w:val="single" w:color="000000" w:sz="4" w:space="0"/>
              <w:right w:val="single" w:color="000000" w:sz="4" w:space="0"/>
            </w:tcBorders>
            <w:vAlign w:val="center"/>
          </w:tcPr>
          <w:p w14:paraId="54653668">
            <w:pPr>
              <w:textAlignment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04</w:t>
            </w:r>
            <w:r>
              <w:rPr>
                <w:rFonts w:hint="eastAsia" w:cs="Times New Roman"/>
                <w:color w:val="000000" w:themeColor="text1"/>
                <w14:textFill>
                  <w14:solidFill>
                    <w14:schemeClr w14:val="tx1"/>
                  </w14:solidFill>
                </w14:textFill>
              </w:rPr>
              <w:t>04</w:t>
            </w:r>
          </w:p>
        </w:tc>
        <w:tc>
          <w:tcPr>
            <w:tcW w:w="794" w:type="pct"/>
            <w:tcBorders>
              <w:top w:val="single" w:color="000000" w:sz="4" w:space="0"/>
              <w:left w:val="single" w:color="000000" w:sz="4" w:space="0"/>
              <w:bottom w:val="single" w:color="000000" w:sz="4" w:space="0"/>
              <w:right w:val="single" w:color="000000" w:sz="4" w:space="0"/>
            </w:tcBorders>
            <w:vAlign w:val="center"/>
          </w:tcPr>
          <w:p w14:paraId="50B09DE0">
            <w:pPr>
              <w:textAlignment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其他草地</w:t>
            </w:r>
          </w:p>
        </w:tc>
        <w:tc>
          <w:tcPr>
            <w:tcW w:w="524" w:type="pct"/>
            <w:vMerge w:val="continue"/>
            <w:tcBorders>
              <w:top w:val="single" w:color="000000" w:sz="4" w:space="0"/>
              <w:left w:val="single" w:color="000000" w:sz="4" w:space="0"/>
              <w:bottom w:val="single" w:color="000000" w:sz="4" w:space="0"/>
              <w:right w:val="single" w:color="000000" w:sz="4" w:space="0"/>
            </w:tcBorders>
            <w:vAlign w:val="center"/>
          </w:tcPr>
          <w:p w14:paraId="38BD5406">
            <w:pPr>
              <w:rPr>
                <w:rFonts w:cs="Times New Roman"/>
                <w:color w:val="FF0000"/>
              </w:rPr>
            </w:pPr>
          </w:p>
        </w:tc>
      </w:tr>
      <w:tr w14:paraId="35FDD392">
        <w:tblPrEx>
          <w:tblCellMar>
            <w:top w:w="0" w:type="dxa"/>
            <w:left w:w="108" w:type="dxa"/>
            <w:bottom w:w="0" w:type="dxa"/>
            <w:right w:w="108" w:type="dxa"/>
          </w:tblCellMar>
        </w:tblPrEx>
        <w:trPr>
          <w:trHeight w:val="340" w:hRule="atLeast"/>
          <w:jc w:val="center"/>
        </w:trPr>
        <w:tc>
          <w:tcPr>
            <w:tcW w:w="884" w:type="pct"/>
            <w:vMerge w:val="restart"/>
            <w:tcBorders>
              <w:top w:val="single" w:color="000000" w:sz="4" w:space="0"/>
              <w:left w:val="single" w:color="000000" w:sz="4" w:space="0"/>
              <w:right w:val="single" w:color="000000" w:sz="4" w:space="0"/>
            </w:tcBorders>
            <w:vAlign w:val="center"/>
          </w:tcPr>
          <w:p w14:paraId="1E20B327">
            <w:pPr>
              <w:textAlignment w:val="center"/>
              <w:rPr>
                <w:rFonts w:cs="Times New Roman"/>
                <w:color w:val="000000" w:themeColor="text1"/>
                <w14:textFill>
                  <w14:solidFill>
                    <w14:schemeClr w14:val="tx1"/>
                  </w14:solidFill>
                </w14:textFill>
              </w:rPr>
            </w:pPr>
            <w:r>
              <w:rPr>
                <w:rFonts w:hint="eastAsia" w:cs="Times New Roman"/>
                <w:color w:val="000000" w:themeColor="text1"/>
                <w:kern w:val="0"/>
                <w:lang w:bidi="ar"/>
                <w14:textFill>
                  <w14:solidFill>
                    <w14:schemeClr w14:val="tx1"/>
                  </w14:solidFill>
                </w14:textFill>
              </w:rPr>
              <w:t>雷管炸药库</w:t>
            </w:r>
          </w:p>
        </w:tc>
        <w:tc>
          <w:tcPr>
            <w:tcW w:w="461" w:type="pct"/>
            <w:vMerge w:val="restart"/>
            <w:tcBorders>
              <w:top w:val="single" w:color="000000" w:sz="4" w:space="0"/>
              <w:left w:val="single" w:color="000000" w:sz="4" w:space="0"/>
              <w:right w:val="single" w:color="000000" w:sz="4" w:space="0"/>
            </w:tcBorders>
            <w:vAlign w:val="center"/>
          </w:tcPr>
          <w:p w14:paraId="02ACDFF3">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567</w:t>
            </w:r>
          </w:p>
        </w:tc>
        <w:tc>
          <w:tcPr>
            <w:tcW w:w="452" w:type="pct"/>
            <w:tcBorders>
              <w:top w:val="single" w:color="000000" w:sz="4" w:space="0"/>
              <w:left w:val="single" w:color="000000" w:sz="4" w:space="0"/>
              <w:bottom w:val="single" w:color="000000" w:sz="4" w:space="0"/>
              <w:right w:val="single" w:color="000000" w:sz="4" w:space="0"/>
            </w:tcBorders>
            <w:vAlign w:val="center"/>
          </w:tcPr>
          <w:p w14:paraId="175FBB25">
            <w:pPr>
              <w:textAlignment w:val="center"/>
              <w:rPr>
                <w:rFonts w:cs="Times New Roman"/>
                <w:color w:val="000000" w:themeColor="text1"/>
                <w14:textFill>
                  <w14:solidFill>
                    <w14:schemeClr w14:val="tx1"/>
                  </w14:solidFill>
                </w14:textFill>
              </w:rPr>
            </w:pPr>
            <w:r>
              <w:rPr>
                <w:rFonts w:hint="eastAsia" w:cs="Times New Roman"/>
                <w:color w:val="000000" w:themeColor="text1"/>
                <w:kern w:val="0"/>
                <w:lang w:bidi="ar"/>
                <w14:textFill>
                  <w14:solidFill>
                    <w14:schemeClr w14:val="tx1"/>
                  </w14:solidFill>
                </w14:textFill>
              </w:rPr>
              <w:t>515</w:t>
            </w:r>
          </w:p>
        </w:tc>
        <w:tc>
          <w:tcPr>
            <w:tcW w:w="435" w:type="pct"/>
            <w:tcBorders>
              <w:top w:val="single" w:color="000000" w:sz="4" w:space="0"/>
              <w:left w:val="single" w:color="000000" w:sz="4" w:space="0"/>
              <w:bottom w:val="single" w:color="000000" w:sz="4" w:space="0"/>
              <w:right w:val="single" w:color="000000" w:sz="4" w:space="0"/>
            </w:tcBorders>
            <w:vAlign w:val="center"/>
          </w:tcPr>
          <w:p w14:paraId="2997C762">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06</w:t>
            </w:r>
          </w:p>
        </w:tc>
        <w:tc>
          <w:tcPr>
            <w:tcW w:w="975" w:type="pct"/>
            <w:tcBorders>
              <w:top w:val="single" w:color="000000" w:sz="4" w:space="0"/>
              <w:left w:val="single" w:color="000000" w:sz="4" w:space="0"/>
              <w:bottom w:val="single" w:color="000000" w:sz="4" w:space="0"/>
              <w:right w:val="single" w:color="000000" w:sz="4" w:space="0"/>
            </w:tcBorders>
            <w:vAlign w:val="center"/>
          </w:tcPr>
          <w:p w14:paraId="1867B95D">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工矿仓储用地</w:t>
            </w:r>
          </w:p>
        </w:tc>
        <w:tc>
          <w:tcPr>
            <w:tcW w:w="470" w:type="pct"/>
            <w:tcBorders>
              <w:top w:val="single" w:color="000000" w:sz="4" w:space="0"/>
              <w:left w:val="single" w:color="000000" w:sz="4" w:space="0"/>
              <w:bottom w:val="single" w:color="000000" w:sz="4" w:space="0"/>
              <w:right w:val="single" w:color="000000" w:sz="4" w:space="0"/>
            </w:tcBorders>
            <w:vAlign w:val="center"/>
          </w:tcPr>
          <w:p w14:paraId="3B285682">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0602</w:t>
            </w:r>
          </w:p>
        </w:tc>
        <w:tc>
          <w:tcPr>
            <w:tcW w:w="794" w:type="pct"/>
            <w:tcBorders>
              <w:top w:val="single" w:color="000000" w:sz="4" w:space="0"/>
              <w:left w:val="single" w:color="000000" w:sz="4" w:space="0"/>
              <w:bottom w:val="single" w:color="000000" w:sz="4" w:space="0"/>
              <w:right w:val="single" w:color="000000" w:sz="4" w:space="0"/>
            </w:tcBorders>
            <w:vAlign w:val="center"/>
          </w:tcPr>
          <w:p w14:paraId="39E8CAEA">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采矿用地</w:t>
            </w:r>
          </w:p>
        </w:tc>
        <w:tc>
          <w:tcPr>
            <w:tcW w:w="524" w:type="pct"/>
            <w:vMerge w:val="continue"/>
            <w:tcBorders>
              <w:top w:val="single" w:color="000000" w:sz="4" w:space="0"/>
              <w:left w:val="single" w:color="000000" w:sz="4" w:space="0"/>
              <w:bottom w:val="single" w:color="000000" w:sz="4" w:space="0"/>
              <w:right w:val="single" w:color="000000" w:sz="4" w:space="0"/>
            </w:tcBorders>
            <w:vAlign w:val="center"/>
          </w:tcPr>
          <w:p w14:paraId="6DB0448B">
            <w:pPr>
              <w:rPr>
                <w:rFonts w:cs="Times New Roman"/>
                <w:color w:val="FF0000"/>
              </w:rPr>
            </w:pPr>
          </w:p>
        </w:tc>
      </w:tr>
      <w:tr w14:paraId="6364FC5D">
        <w:tblPrEx>
          <w:tblCellMar>
            <w:top w:w="0" w:type="dxa"/>
            <w:left w:w="108" w:type="dxa"/>
            <w:bottom w:w="0" w:type="dxa"/>
            <w:right w:w="108" w:type="dxa"/>
          </w:tblCellMar>
        </w:tblPrEx>
        <w:trPr>
          <w:trHeight w:val="340" w:hRule="atLeast"/>
          <w:jc w:val="center"/>
        </w:trPr>
        <w:tc>
          <w:tcPr>
            <w:tcW w:w="884" w:type="pct"/>
            <w:vMerge w:val="continue"/>
            <w:tcBorders>
              <w:left w:val="single" w:color="000000" w:sz="4" w:space="0"/>
              <w:bottom w:val="single" w:color="000000" w:sz="4" w:space="0"/>
              <w:right w:val="single" w:color="000000" w:sz="4" w:space="0"/>
            </w:tcBorders>
            <w:vAlign w:val="center"/>
          </w:tcPr>
          <w:p w14:paraId="19A763A1">
            <w:pPr>
              <w:textAlignment w:val="center"/>
              <w:rPr>
                <w:rFonts w:cs="Times New Roman"/>
                <w:color w:val="000000" w:themeColor="text1"/>
                <w:kern w:val="0"/>
                <w:lang w:bidi="ar"/>
                <w14:textFill>
                  <w14:solidFill>
                    <w14:schemeClr w14:val="tx1"/>
                  </w14:solidFill>
                </w14:textFill>
              </w:rPr>
            </w:pPr>
          </w:p>
        </w:tc>
        <w:tc>
          <w:tcPr>
            <w:tcW w:w="461" w:type="pct"/>
            <w:vMerge w:val="continue"/>
            <w:tcBorders>
              <w:left w:val="single" w:color="000000" w:sz="4" w:space="0"/>
              <w:bottom w:val="single" w:color="000000" w:sz="4" w:space="0"/>
              <w:right w:val="single" w:color="000000" w:sz="4" w:space="0"/>
            </w:tcBorders>
            <w:vAlign w:val="center"/>
          </w:tcPr>
          <w:p w14:paraId="68E5D736">
            <w:pPr>
              <w:textAlignment w:val="center"/>
              <w:rPr>
                <w:rFonts w:cs="Times New Roman"/>
                <w:color w:val="000000" w:themeColor="text1"/>
                <w14:textFill>
                  <w14:solidFill>
                    <w14:schemeClr w14:val="tx1"/>
                  </w14:solidFill>
                </w14:textFill>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6F9750C4">
            <w:pPr>
              <w:textAlignment w:val="center"/>
              <w:rPr>
                <w:rFonts w:cs="Times New Roman"/>
                <w:color w:val="000000" w:themeColor="text1"/>
                <w:kern w:val="0"/>
                <w:lang w:bidi="ar"/>
                <w14:textFill>
                  <w14:solidFill>
                    <w14:schemeClr w14:val="tx1"/>
                  </w14:solidFill>
                </w14:textFill>
              </w:rPr>
            </w:pPr>
            <w:r>
              <w:rPr>
                <w:rFonts w:hint="eastAsia" w:cs="Times New Roman"/>
                <w:color w:val="000000" w:themeColor="text1"/>
                <w:kern w:val="0"/>
                <w:lang w:bidi="ar"/>
                <w14:textFill>
                  <w14:solidFill>
                    <w14:schemeClr w14:val="tx1"/>
                  </w14:solidFill>
                </w14:textFill>
              </w:rPr>
              <w:t>52</w:t>
            </w:r>
          </w:p>
        </w:tc>
        <w:tc>
          <w:tcPr>
            <w:tcW w:w="435" w:type="pct"/>
            <w:tcBorders>
              <w:top w:val="single" w:color="000000" w:sz="4" w:space="0"/>
              <w:left w:val="single" w:color="000000" w:sz="4" w:space="0"/>
              <w:bottom w:val="single" w:color="000000" w:sz="4" w:space="0"/>
              <w:right w:val="single" w:color="000000" w:sz="4" w:space="0"/>
            </w:tcBorders>
            <w:vAlign w:val="center"/>
          </w:tcPr>
          <w:p w14:paraId="57D5F39B">
            <w:pPr>
              <w:textAlignment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04</w:t>
            </w:r>
          </w:p>
        </w:tc>
        <w:tc>
          <w:tcPr>
            <w:tcW w:w="975" w:type="pct"/>
            <w:tcBorders>
              <w:top w:val="single" w:color="000000" w:sz="4" w:space="0"/>
              <w:left w:val="single" w:color="000000" w:sz="4" w:space="0"/>
              <w:bottom w:val="single" w:color="000000" w:sz="4" w:space="0"/>
              <w:right w:val="single" w:color="000000" w:sz="4" w:space="0"/>
            </w:tcBorders>
            <w:vAlign w:val="center"/>
          </w:tcPr>
          <w:p w14:paraId="0C987DE8">
            <w:pPr>
              <w:textAlignment w:val="center"/>
              <w:rPr>
                <w:rFonts w:cs="Times New Roman"/>
                <w:color w:val="FF0000"/>
                <w:kern w:val="0"/>
                <w:lang w:bidi="ar"/>
              </w:rPr>
            </w:pPr>
            <w:r>
              <w:rPr>
                <w:rFonts w:cs="Times New Roman"/>
                <w:color w:val="000000" w:themeColor="text1"/>
                <w:kern w:val="0"/>
                <w:lang w:bidi="ar"/>
                <w14:textFill>
                  <w14:solidFill>
                    <w14:schemeClr w14:val="tx1"/>
                  </w14:solidFill>
                </w14:textFill>
              </w:rPr>
              <w:t>草地</w:t>
            </w:r>
          </w:p>
        </w:tc>
        <w:tc>
          <w:tcPr>
            <w:tcW w:w="470" w:type="pct"/>
            <w:tcBorders>
              <w:top w:val="single" w:color="000000" w:sz="4" w:space="0"/>
              <w:left w:val="single" w:color="000000" w:sz="4" w:space="0"/>
              <w:bottom w:val="single" w:color="000000" w:sz="4" w:space="0"/>
              <w:right w:val="single" w:color="000000" w:sz="4" w:space="0"/>
            </w:tcBorders>
            <w:vAlign w:val="center"/>
          </w:tcPr>
          <w:p w14:paraId="3E5A78C3">
            <w:pPr>
              <w:textAlignment w:val="center"/>
              <w:rPr>
                <w:rFonts w:cs="Times New Roman"/>
                <w:color w:val="FF0000"/>
              </w:rPr>
            </w:pPr>
            <w:r>
              <w:rPr>
                <w:rFonts w:cs="Times New Roman"/>
                <w:color w:val="000000" w:themeColor="text1"/>
                <w14:textFill>
                  <w14:solidFill>
                    <w14:schemeClr w14:val="tx1"/>
                  </w14:solidFill>
                </w14:textFill>
              </w:rPr>
              <w:t>04</w:t>
            </w:r>
            <w:r>
              <w:rPr>
                <w:rFonts w:hint="eastAsia" w:cs="Times New Roman"/>
                <w:color w:val="000000" w:themeColor="text1"/>
                <w14:textFill>
                  <w14:solidFill>
                    <w14:schemeClr w14:val="tx1"/>
                  </w14:solidFill>
                </w14:textFill>
              </w:rPr>
              <w:t>04</w:t>
            </w:r>
          </w:p>
        </w:tc>
        <w:tc>
          <w:tcPr>
            <w:tcW w:w="794" w:type="pct"/>
            <w:tcBorders>
              <w:top w:val="single" w:color="000000" w:sz="4" w:space="0"/>
              <w:left w:val="single" w:color="000000" w:sz="4" w:space="0"/>
              <w:bottom w:val="single" w:color="000000" w:sz="4" w:space="0"/>
              <w:right w:val="single" w:color="000000" w:sz="4" w:space="0"/>
            </w:tcBorders>
            <w:vAlign w:val="center"/>
          </w:tcPr>
          <w:p w14:paraId="0D527092">
            <w:pPr>
              <w:textAlignment w:val="center"/>
              <w:rPr>
                <w:rFonts w:cs="Times New Roman"/>
                <w:color w:val="FF0000"/>
              </w:rPr>
            </w:pPr>
            <w:r>
              <w:rPr>
                <w:rFonts w:cs="Times New Roman"/>
                <w:color w:val="000000" w:themeColor="text1"/>
                <w14:textFill>
                  <w14:solidFill>
                    <w14:schemeClr w14:val="tx1"/>
                  </w14:solidFill>
                </w14:textFill>
              </w:rPr>
              <w:t>其他草地</w:t>
            </w:r>
          </w:p>
        </w:tc>
        <w:tc>
          <w:tcPr>
            <w:tcW w:w="524" w:type="pct"/>
            <w:vMerge w:val="continue"/>
            <w:tcBorders>
              <w:top w:val="single" w:color="000000" w:sz="4" w:space="0"/>
              <w:left w:val="single" w:color="000000" w:sz="4" w:space="0"/>
              <w:bottom w:val="single" w:color="000000" w:sz="4" w:space="0"/>
              <w:right w:val="single" w:color="000000" w:sz="4" w:space="0"/>
            </w:tcBorders>
            <w:vAlign w:val="center"/>
          </w:tcPr>
          <w:p w14:paraId="1C96E262">
            <w:pPr>
              <w:rPr>
                <w:rFonts w:cs="Times New Roman"/>
                <w:color w:val="FF0000"/>
              </w:rPr>
            </w:pPr>
          </w:p>
        </w:tc>
      </w:tr>
      <w:tr w14:paraId="6A1CB470">
        <w:tblPrEx>
          <w:tblCellMar>
            <w:top w:w="0" w:type="dxa"/>
            <w:left w:w="108" w:type="dxa"/>
            <w:bottom w:w="0" w:type="dxa"/>
            <w:right w:w="108" w:type="dxa"/>
          </w:tblCellMar>
        </w:tblPrEx>
        <w:trPr>
          <w:trHeight w:val="340" w:hRule="atLeast"/>
          <w:jc w:val="center"/>
        </w:trPr>
        <w:tc>
          <w:tcPr>
            <w:tcW w:w="884" w:type="pct"/>
            <w:vMerge w:val="restart"/>
            <w:tcBorders>
              <w:top w:val="single" w:color="000000" w:sz="4" w:space="0"/>
              <w:left w:val="single" w:color="000000" w:sz="4" w:space="0"/>
              <w:right w:val="single" w:color="000000" w:sz="4" w:space="0"/>
            </w:tcBorders>
            <w:vAlign w:val="center"/>
          </w:tcPr>
          <w:p w14:paraId="75926475">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选厂</w:t>
            </w:r>
          </w:p>
        </w:tc>
        <w:tc>
          <w:tcPr>
            <w:tcW w:w="461" w:type="pct"/>
            <w:vMerge w:val="restart"/>
            <w:tcBorders>
              <w:top w:val="single" w:color="000000" w:sz="4" w:space="0"/>
              <w:left w:val="single" w:color="000000" w:sz="4" w:space="0"/>
              <w:right w:val="single" w:color="000000" w:sz="4" w:space="0"/>
            </w:tcBorders>
            <w:vAlign w:val="center"/>
          </w:tcPr>
          <w:p w14:paraId="2C981DCA">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1970</w:t>
            </w:r>
          </w:p>
        </w:tc>
        <w:tc>
          <w:tcPr>
            <w:tcW w:w="452" w:type="pct"/>
            <w:tcBorders>
              <w:top w:val="single" w:color="000000" w:sz="4" w:space="0"/>
              <w:left w:val="single" w:color="000000" w:sz="4" w:space="0"/>
              <w:bottom w:val="single" w:color="000000" w:sz="4" w:space="0"/>
              <w:right w:val="single" w:color="000000" w:sz="4" w:space="0"/>
            </w:tcBorders>
            <w:vAlign w:val="center"/>
          </w:tcPr>
          <w:p w14:paraId="36EC06AA">
            <w:pPr>
              <w:textAlignment w:val="center"/>
              <w:rPr>
                <w:rFonts w:cs="Times New Roman"/>
                <w:color w:val="000000" w:themeColor="text1"/>
                <w14:textFill>
                  <w14:solidFill>
                    <w14:schemeClr w14:val="tx1"/>
                  </w14:solidFill>
                </w14:textFill>
              </w:rPr>
            </w:pPr>
            <w:r>
              <w:rPr>
                <w:rFonts w:hint="eastAsia" w:cs="Times New Roman"/>
                <w:color w:val="000000" w:themeColor="text1"/>
                <w:kern w:val="0"/>
                <w:lang w:bidi="ar"/>
                <w14:textFill>
                  <w14:solidFill>
                    <w14:schemeClr w14:val="tx1"/>
                  </w14:solidFill>
                </w14:textFill>
              </w:rPr>
              <w:t>1319</w:t>
            </w:r>
          </w:p>
        </w:tc>
        <w:tc>
          <w:tcPr>
            <w:tcW w:w="435" w:type="pct"/>
            <w:tcBorders>
              <w:top w:val="single" w:color="000000" w:sz="4" w:space="0"/>
              <w:left w:val="single" w:color="000000" w:sz="4" w:space="0"/>
              <w:bottom w:val="single" w:color="000000" w:sz="4" w:space="0"/>
              <w:right w:val="single" w:color="000000" w:sz="4" w:space="0"/>
            </w:tcBorders>
            <w:vAlign w:val="center"/>
          </w:tcPr>
          <w:p w14:paraId="39931EEA">
            <w:pPr>
              <w:textAlignment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04</w:t>
            </w:r>
          </w:p>
        </w:tc>
        <w:tc>
          <w:tcPr>
            <w:tcW w:w="975" w:type="pct"/>
            <w:tcBorders>
              <w:top w:val="single" w:color="000000" w:sz="4" w:space="0"/>
              <w:left w:val="single" w:color="000000" w:sz="4" w:space="0"/>
              <w:bottom w:val="single" w:color="000000" w:sz="4" w:space="0"/>
              <w:right w:val="single" w:color="000000" w:sz="4" w:space="0"/>
            </w:tcBorders>
            <w:vAlign w:val="center"/>
          </w:tcPr>
          <w:p w14:paraId="6CE5F25B">
            <w:pPr>
              <w:textAlignment w:val="center"/>
              <w:rPr>
                <w:rFonts w:cs="Times New Roman"/>
                <w:color w:val="000000" w:themeColor="text1"/>
                <w14:textFill>
                  <w14:solidFill>
                    <w14:schemeClr w14:val="tx1"/>
                  </w14:solidFill>
                </w14:textFill>
              </w:rPr>
            </w:pPr>
            <w:r>
              <w:rPr>
                <w:rFonts w:cs="Times New Roman"/>
                <w:color w:val="000000" w:themeColor="text1"/>
                <w:kern w:val="0"/>
                <w:lang w:bidi="ar"/>
                <w14:textFill>
                  <w14:solidFill>
                    <w14:schemeClr w14:val="tx1"/>
                  </w14:solidFill>
                </w14:textFill>
              </w:rPr>
              <w:t>草地</w:t>
            </w:r>
          </w:p>
        </w:tc>
        <w:tc>
          <w:tcPr>
            <w:tcW w:w="470" w:type="pct"/>
            <w:tcBorders>
              <w:top w:val="single" w:color="000000" w:sz="4" w:space="0"/>
              <w:left w:val="single" w:color="000000" w:sz="4" w:space="0"/>
              <w:bottom w:val="single" w:color="000000" w:sz="4" w:space="0"/>
              <w:right w:val="single" w:color="000000" w:sz="4" w:space="0"/>
            </w:tcBorders>
            <w:vAlign w:val="center"/>
          </w:tcPr>
          <w:p w14:paraId="2EB04190">
            <w:pPr>
              <w:textAlignment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04</w:t>
            </w:r>
            <w:r>
              <w:rPr>
                <w:rFonts w:hint="eastAsia" w:cs="Times New Roman"/>
                <w:color w:val="000000" w:themeColor="text1"/>
                <w14:textFill>
                  <w14:solidFill>
                    <w14:schemeClr w14:val="tx1"/>
                  </w14:solidFill>
                </w14:textFill>
              </w:rPr>
              <w:t>04</w:t>
            </w:r>
          </w:p>
        </w:tc>
        <w:tc>
          <w:tcPr>
            <w:tcW w:w="794" w:type="pct"/>
            <w:tcBorders>
              <w:top w:val="single" w:color="000000" w:sz="4" w:space="0"/>
              <w:left w:val="single" w:color="000000" w:sz="4" w:space="0"/>
              <w:bottom w:val="single" w:color="000000" w:sz="4" w:space="0"/>
              <w:right w:val="single" w:color="000000" w:sz="4" w:space="0"/>
            </w:tcBorders>
            <w:vAlign w:val="center"/>
          </w:tcPr>
          <w:p w14:paraId="7A8C80C2">
            <w:pPr>
              <w:textAlignment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其他草地</w:t>
            </w:r>
          </w:p>
        </w:tc>
        <w:tc>
          <w:tcPr>
            <w:tcW w:w="524" w:type="pct"/>
            <w:vMerge w:val="continue"/>
            <w:tcBorders>
              <w:top w:val="single" w:color="000000" w:sz="4" w:space="0"/>
              <w:left w:val="single" w:color="000000" w:sz="4" w:space="0"/>
              <w:bottom w:val="single" w:color="000000" w:sz="4" w:space="0"/>
              <w:right w:val="single" w:color="000000" w:sz="4" w:space="0"/>
            </w:tcBorders>
            <w:vAlign w:val="center"/>
          </w:tcPr>
          <w:p w14:paraId="23F6ED39">
            <w:pPr>
              <w:rPr>
                <w:rFonts w:cs="Times New Roman"/>
                <w:color w:val="FF0000"/>
              </w:rPr>
            </w:pPr>
          </w:p>
        </w:tc>
      </w:tr>
      <w:tr w14:paraId="5C4A184A">
        <w:tblPrEx>
          <w:tblCellMar>
            <w:top w:w="0" w:type="dxa"/>
            <w:left w:w="108" w:type="dxa"/>
            <w:bottom w:w="0" w:type="dxa"/>
            <w:right w:w="108" w:type="dxa"/>
          </w:tblCellMar>
        </w:tblPrEx>
        <w:trPr>
          <w:trHeight w:val="340" w:hRule="atLeast"/>
          <w:jc w:val="center"/>
        </w:trPr>
        <w:tc>
          <w:tcPr>
            <w:tcW w:w="884" w:type="pct"/>
            <w:vMerge w:val="continue"/>
            <w:tcBorders>
              <w:left w:val="single" w:color="000000" w:sz="4" w:space="0"/>
              <w:bottom w:val="single" w:color="000000" w:sz="4" w:space="0"/>
              <w:right w:val="single" w:color="000000" w:sz="4" w:space="0"/>
            </w:tcBorders>
            <w:vAlign w:val="center"/>
          </w:tcPr>
          <w:p w14:paraId="623E44D8">
            <w:pPr>
              <w:textAlignment w:val="center"/>
              <w:rPr>
                <w:rFonts w:cs="Times New Roman"/>
                <w:color w:val="000000" w:themeColor="text1"/>
                <w14:textFill>
                  <w14:solidFill>
                    <w14:schemeClr w14:val="tx1"/>
                  </w14:solidFill>
                </w14:textFill>
              </w:rPr>
            </w:pPr>
          </w:p>
        </w:tc>
        <w:tc>
          <w:tcPr>
            <w:tcW w:w="461" w:type="pct"/>
            <w:vMerge w:val="continue"/>
            <w:tcBorders>
              <w:left w:val="single" w:color="000000" w:sz="4" w:space="0"/>
              <w:bottom w:val="single" w:color="000000" w:sz="4" w:space="0"/>
              <w:right w:val="single" w:color="000000" w:sz="4" w:space="0"/>
            </w:tcBorders>
            <w:vAlign w:val="center"/>
          </w:tcPr>
          <w:p w14:paraId="62378B2D">
            <w:pPr>
              <w:textAlignment w:val="center"/>
              <w:rPr>
                <w:rFonts w:cs="Times New Roman"/>
                <w:color w:val="000000" w:themeColor="text1"/>
                <w14:textFill>
                  <w14:solidFill>
                    <w14:schemeClr w14:val="tx1"/>
                  </w14:solidFill>
                </w14:textFill>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102A8810">
            <w:pPr>
              <w:textAlignment w:val="center"/>
              <w:rPr>
                <w:rFonts w:cs="Times New Roman"/>
                <w:color w:val="000000" w:themeColor="text1"/>
                <w:kern w:val="0"/>
                <w:lang w:bidi="ar"/>
                <w14:textFill>
                  <w14:solidFill>
                    <w14:schemeClr w14:val="tx1"/>
                  </w14:solidFill>
                </w14:textFill>
              </w:rPr>
            </w:pPr>
            <w:r>
              <w:rPr>
                <w:rFonts w:hint="eastAsia" w:cs="Times New Roman"/>
                <w:color w:val="000000" w:themeColor="text1"/>
                <w:kern w:val="0"/>
                <w:lang w:bidi="ar"/>
                <w14:textFill>
                  <w14:solidFill>
                    <w14:schemeClr w14:val="tx1"/>
                  </w14:solidFill>
                </w14:textFill>
              </w:rPr>
              <w:t>651</w:t>
            </w:r>
          </w:p>
        </w:tc>
        <w:tc>
          <w:tcPr>
            <w:tcW w:w="435" w:type="pct"/>
            <w:tcBorders>
              <w:top w:val="single" w:color="000000" w:sz="4" w:space="0"/>
              <w:left w:val="single" w:color="000000" w:sz="4" w:space="0"/>
              <w:bottom w:val="single" w:color="000000" w:sz="4" w:space="0"/>
              <w:right w:val="single" w:color="000000" w:sz="4" w:space="0"/>
            </w:tcBorders>
            <w:vAlign w:val="center"/>
          </w:tcPr>
          <w:p w14:paraId="3BD77926">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07</w:t>
            </w:r>
          </w:p>
        </w:tc>
        <w:tc>
          <w:tcPr>
            <w:tcW w:w="975" w:type="pct"/>
            <w:tcBorders>
              <w:top w:val="single" w:color="000000" w:sz="4" w:space="0"/>
              <w:left w:val="single" w:color="000000" w:sz="4" w:space="0"/>
              <w:bottom w:val="single" w:color="000000" w:sz="4" w:space="0"/>
              <w:right w:val="single" w:color="000000" w:sz="4" w:space="0"/>
            </w:tcBorders>
            <w:vAlign w:val="center"/>
          </w:tcPr>
          <w:p w14:paraId="7CD55F3E">
            <w:pPr>
              <w:textAlignment w:val="center"/>
              <w:rPr>
                <w:rFonts w:cs="Times New Roman"/>
                <w:color w:val="000000" w:themeColor="text1"/>
                <w:kern w:val="0"/>
                <w:lang w:bidi="ar"/>
                <w14:textFill>
                  <w14:solidFill>
                    <w14:schemeClr w14:val="tx1"/>
                  </w14:solidFill>
                </w14:textFill>
              </w:rPr>
            </w:pPr>
            <w:r>
              <w:rPr>
                <w:rFonts w:hint="eastAsia" w:cs="Times New Roman"/>
                <w:color w:val="000000" w:themeColor="text1"/>
                <w:kern w:val="0"/>
                <w:lang w:bidi="ar"/>
                <w14:textFill>
                  <w14:solidFill>
                    <w14:schemeClr w14:val="tx1"/>
                  </w14:solidFill>
                </w14:textFill>
              </w:rPr>
              <w:t>住宅用地</w:t>
            </w:r>
          </w:p>
        </w:tc>
        <w:tc>
          <w:tcPr>
            <w:tcW w:w="470" w:type="pct"/>
            <w:tcBorders>
              <w:top w:val="single" w:color="000000" w:sz="4" w:space="0"/>
              <w:left w:val="single" w:color="000000" w:sz="4" w:space="0"/>
              <w:bottom w:val="single" w:color="000000" w:sz="4" w:space="0"/>
              <w:right w:val="single" w:color="000000" w:sz="4" w:space="0"/>
            </w:tcBorders>
            <w:vAlign w:val="center"/>
          </w:tcPr>
          <w:p w14:paraId="307B0EF0">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0702</w:t>
            </w:r>
          </w:p>
        </w:tc>
        <w:tc>
          <w:tcPr>
            <w:tcW w:w="794" w:type="pct"/>
            <w:tcBorders>
              <w:top w:val="single" w:color="000000" w:sz="4" w:space="0"/>
              <w:left w:val="single" w:color="000000" w:sz="4" w:space="0"/>
              <w:bottom w:val="single" w:color="000000" w:sz="4" w:space="0"/>
              <w:right w:val="single" w:color="000000" w:sz="4" w:space="0"/>
            </w:tcBorders>
            <w:vAlign w:val="center"/>
          </w:tcPr>
          <w:p w14:paraId="35EEEABE">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农村宅基地</w:t>
            </w:r>
          </w:p>
        </w:tc>
        <w:tc>
          <w:tcPr>
            <w:tcW w:w="524" w:type="pct"/>
            <w:vMerge w:val="continue"/>
            <w:tcBorders>
              <w:top w:val="single" w:color="000000" w:sz="4" w:space="0"/>
              <w:left w:val="single" w:color="000000" w:sz="4" w:space="0"/>
              <w:bottom w:val="single" w:color="000000" w:sz="4" w:space="0"/>
              <w:right w:val="single" w:color="000000" w:sz="4" w:space="0"/>
            </w:tcBorders>
            <w:vAlign w:val="center"/>
          </w:tcPr>
          <w:p w14:paraId="77978FD3">
            <w:pPr>
              <w:rPr>
                <w:rFonts w:cs="Times New Roman"/>
                <w:color w:val="FF0000"/>
              </w:rPr>
            </w:pPr>
          </w:p>
        </w:tc>
      </w:tr>
      <w:tr w14:paraId="00350491">
        <w:tblPrEx>
          <w:tblCellMar>
            <w:top w:w="0" w:type="dxa"/>
            <w:left w:w="108" w:type="dxa"/>
            <w:bottom w:w="0" w:type="dxa"/>
            <w:right w:w="108" w:type="dxa"/>
          </w:tblCellMar>
        </w:tblPrEx>
        <w:trPr>
          <w:trHeight w:val="340" w:hRule="atLeast"/>
          <w:jc w:val="center"/>
        </w:trPr>
        <w:tc>
          <w:tcPr>
            <w:tcW w:w="884" w:type="pct"/>
            <w:tcBorders>
              <w:top w:val="nil"/>
              <w:left w:val="single" w:color="000000" w:sz="4" w:space="0"/>
              <w:bottom w:val="single" w:color="000000" w:sz="4" w:space="0"/>
              <w:right w:val="single" w:color="000000" w:sz="4" w:space="0"/>
            </w:tcBorders>
            <w:vAlign w:val="center"/>
          </w:tcPr>
          <w:p w14:paraId="5ACB604B">
            <w:pPr>
              <w:textAlignment w:val="center"/>
              <w:rPr>
                <w:rFonts w:cs="Times New Roman"/>
                <w:color w:val="000000" w:themeColor="text1"/>
                <w14:textFill>
                  <w14:solidFill>
                    <w14:schemeClr w14:val="tx1"/>
                  </w14:solidFill>
                </w14:textFill>
              </w:rPr>
            </w:pPr>
            <w:r>
              <w:rPr>
                <w:rFonts w:hint="eastAsia" w:cs="Times New Roman"/>
                <w:color w:val="000000" w:themeColor="text1"/>
                <w:kern w:val="0"/>
                <w:lang w:bidi="ar"/>
                <w14:textFill>
                  <w14:solidFill>
                    <w14:schemeClr w14:val="tx1"/>
                  </w14:solidFill>
                </w14:textFill>
              </w:rPr>
              <w:t>办公室</w:t>
            </w:r>
          </w:p>
        </w:tc>
        <w:tc>
          <w:tcPr>
            <w:tcW w:w="461" w:type="pct"/>
            <w:tcBorders>
              <w:top w:val="single" w:color="000000" w:sz="4" w:space="0"/>
              <w:left w:val="single" w:color="000000" w:sz="4" w:space="0"/>
              <w:bottom w:val="single" w:color="000000" w:sz="4" w:space="0"/>
              <w:right w:val="single" w:color="000000" w:sz="4" w:space="0"/>
            </w:tcBorders>
            <w:vAlign w:val="center"/>
          </w:tcPr>
          <w:p w14:paraId="08DEE829">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240</w:t>
            </w:r>
          </w:p>
        </w:tc>
        <w:tc>
          <w:tcPr>
            <w:tcW w:w="452" w:type="pct"/>
            <w:tcBorders>
              <w:top w:val="single" w:color="000000" w:sz="4" w:space="0"/>
              <w:left w:val="single" w:color="000000" w:sz="4" w:space="0"/>
              <w:bottom w:val="single" w:color="000000" w:sz="4" w:space="0"/>
              <w:right w:val="single" w:color="000000" w:sz="4" w:space="0"/>
            </w:tcBorders>
            <w:vAlign w:val="center"/>
          </w:tcPr>
          <w:p w14:paraId="7934C7AB">
            <w:pPr>
              <w:textAlignment w:val="center"/>
              <w:rPr>
                <w:rFonts w:cs="Times New Roman"/>
                <w:color w:val="000000" w:themeColor="text1"/>
                <w14:textFill>
                  <w14:solidFill>
                    <w14:schemeClr w14:val="tx1"/>
                  </w14:solidFill>
                </w14:textFill>
              </w:rPr>
            </w:pPr>
            <w:r>
              <w:rPr>
                <w:rFonts w:cs="Times New Roman"/>
                <w:color w:val="000000" w:themeColor="text1"/>
                <w:kern w:val="0"/>
                <w:lang w:bidi="ar"/>
                <w14:textFill>
                  <w14:solidFill>
                    <w14:schemeClr w14:val="tx1"/>
                  </w14:solidFill>
                </w14:textFill>
              </w:rPr>
              <w:t>2</w:t>
            </w:r>
            <w:r>
              <w:rPr>
                <w:rFonts w:hint="eastAsia" w:cs="Times New Roman"/>
                <w:color w:val="000000" w:themeColor="text1"/>
                <w:kern w:val="0"/>
                <w:lang w:bidi="ar"/>
                <w14:textFill>
                  <w14:solidFill>
                    <w14:schemeClr w14:val="tx1"/>
                  </w14:solidFill>
                </w14:textFill>
              </w:rPr>
              <w:t>4</w:t>
            </w:r>
            <w:r>
              <w:rPr>
                <w:rFonts w:cs="Times New Roman"/>
                <w:color w:val="000000" w:themeColor="text1"/>
                <w:kern w:val="0"/>
                <w:lang w:bidi="ar"/>
                <w14:textFill>
                  <w14:solidFill>
                    <w14:schemeClr w14:val="tx1"/>
                  </w14:solidFill>
                </w14:textFill>
              </w:rPr>
              <w:t>0</w:t>
            </w:r>
          </w:p>
        </w:tc>
        <w:tc>
          <w:tcPr>
            <w:tcW w:w="435" w:type="pct"/>
            <w:tcBorders>
              <w:top w:val="single" w:color="000000" w:sz="4" w:space="0"/>
              <w:left w:val="single" w:color="000000" w:sz="4" w:space="0"/>
              <w:bottom w:val="single" w:color="000000" w:sz="4" w:space="0"/>
              <w:right w:val="single" w:color="000000" w:sz="4" w:space="0"/>
            </w:tcBorders>
            <w:vAlign w:val="center"/>
          </w:tcPr>
          <w:p w14:paraId="193723AB">
            <w:pPr>
              <w:textAlignment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04</w:t>
            </w:r>
          </w:p>
        </w:tc>
        <w:tc>
          <w:tcPr>
            <w:tcW w:w="975" w:type="pct"/>
            <w:tcBorders>
              <w:top w:val="single" w:color="000000" w:sz="4" w:space="0"/>
              <w:left w:val="single" w:color="000000" w:sz="4" w:space="0"/>
              <w:bottom w:val="single" w:color="000000" w:sz="4" w:space="0"/>
              <w:right w:val="single" w:color="000000" w:sz="4" w:space="0"/>
            </w:tcBorders>
            <w:vAlign w:val="center"/>
          </w:tcPr>
          <w:p w14:paraId="5CA6C4BA">
            <w:pPr>
              <w:textAlignment w:val="center"/>
              <w:rPr>
                <w:rFonts w:cs="Times New Roman"/>
                <w:color w:val="000000" w:themeColor="text1"/>
                <w14:textFill>
                  <w14:solidFill>
                    <w14:schemeClr w14:val="tx1"/>
                  </w14:solidFill>
                </w14:textFill>
              </w:rPr>
            </w:pPr>
            <w:r>
              <w:rPr>
                <w:rFonts w:cs="Times New Roman"/>
                <w:color w:val="000000" w:themeColor="text1"/>
                <w:kern w:val="0"/>
                <w:lang w:bidi="ar"/>
                <w14:textFill>
                  <w14:solidFill>
                    <w14:schemeClr w14:val="tx1"/>
                  </w14:solidFill>
                </w14:textFill>
              </w:rPr>
              <w:t>草地</w:t>
            </w:r>
          </w:p>
        </w:tc>
        <w:tc>
          <w:tcPr>
            <w:tcW w:w="470" w:type="pct"/>
            <w:tcBorders>
              <w:top w:val="single" w:color="000000" w:sz="4" w:space="0"/>
              <w:left w:val="single" w:color="000000" w:sz="4" w:space="0"/>
              <w:bottom w:val="single" w:color="000000" w:sz="4" w:space="0"/>
              <w:right w:val="single" w:color="000000" w:sz="4" w:space="0"/>
            </w:tcBorders>
            <w:vAlign w:val="center"/>
          </w:tcPr>
          <w:p w14:paraId="4B90AFA6">
            <w:pPr>
              <w:textAlignment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04</w:t>
            </w:r>
            <w:r>
              <w:rPr>
                <w:rFonts w:hint="eastAsia" w:cs="Times New Roman"/>
                <w:color w:val="000000" w:themeColor="text1"/>
                <w14:textFill>
                  <w14:solidFill>
                    <w14:schemeClr w14:val="tx1"/>
                  </w14:solidFill>
                </w14:textFill>
              </w:rPr>
              <w:t>04</w:t>
            </w:r>
          </w:p>
        </w:tc>
        <w:tc>
          <w:tcPr>
            <w:tcW w:w="794" w:type="pct"/>
            <w:tcBorders>
              <w:top w:val="single" w:color="000000" w:sz="4" w:space="0"/>
              <w:left w:val="single" w:color="000000" w:sz="4" w:space="0"/>
              <w:bottom w:val="single" w:color="000000" w:sz="4" w:space="0"/>
              <w:right w:val="single" w:color="000000" w:sz="4" w:space="0"/>
            </w:tcBorders>
            <w:vAlign w:val="center"/>
          </w:tcPr>
          <w:p w14:paraId="27B3C402">
            <w:pPr>
              <w:textAlignment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其他草地</w:t>
            </w:r>
          </w:p>
        </w:tc>
        <w:tc>
          <w:tcPr>
            <w:tcW w:w="524" w:type="pct"/>
            <w:vMerge w:val="continue"/>
            <w:tcBorders>
              <w:top w:val="single" w:color="000000" w:sz="4" w:space="0"/>
              <w:left w:val="single" w:color="000000" w:sz="4" w:space="0"/>
              <w:bottom w:val="single" w:color="000000" w:sz="4" w:space="0"/>
              <w:right w:val="single" w:color="000000" w:sz="4" w:space="0"/>
            </w:tcBorders>
            <w:vAlign w:val="center"/>
          </w:tcPr>
          <w:p w14:paraId="2AA5D646">
            <w:pPr>
              <w:rPr>
                <w:rFonts w:cs="Times New Roman"/>
                <w:color w:val="FF0000"/>
              </w:rPr>
            </w:pPr>
          </w:p>
        </w:tc>
      </w:tr>
      <w:tr w14:paraId="371304EF">
        <w:tblPrEx>
          <w:tblCellMar>
            <w:top w:w="0" w:type="dxa"/>
            <w:left w:w="108" w:type="dxa"/>
            <w:bottom w:w="0" w:type="dxa"/>
            <w:right w:w="108" w:type="dxa"/>
          </w:tblCellMar>
        </w:tblPrEx>
        <w:trPr>
          <w:trHeight w:val="340" w:hRule="atLeast"/>
          <w:jc w:val="center"/>
        </w:trPr>
        <w:tc>
          <w:tcPr>
            <w:tcW w:w="884" w:type="pct"/>
            <w:tcBorders>
              <w:top w:val="single" w:color="000000" w:sz="4" w:space="0"/>
              <w:left w:val="single" w:color="000000" w:sz="4" w:space="0"/>
              <w:bottom w:val="single" w:color="000000" w:sz="4" w:space="0"/>
              <w:right w:val="single" w:color="000000" w:sz="4" w:space="0"/>
            </w:tcBorders>
            <w:vAlign w:val="center"/>
          </w:tcPr>
          <w:p w14:paraId="61B3B94F">
            <w:pPr>
              <w:textAlignment w:val="center"/>
              <w:rPr>
                <w:rFonts w:cs="Times New Roman"/>
                <w:color w:val="000000" w:themeColor="text1"/>
                <w14:textFill>
                  <w14:solidFill>
                    <w14:schemeClr w14:val="tx1"/>
                  </w14:solidFill>
                </w14:textFill>
              </w:rPr>
            </w:pPr>
            <w:r>
              <w:rPr>
                <w:rFonts w:hint="eastAsia" w:cs="Times New Roman"/>
                <w:color w:val="000000" w:themeColor="text1"/>
                <w:kern w:val="0"/>
                <w:lang w:bidi="ar"/>
                <w14:textFill>
                  <w14:solidFill>
                    <w14:schemeClr w14:val="tx1"/>
                  </w14:solidFill>
                </w14:textFill>
              </w:rPr>
              <w:t>宿舍</w:t>
            </w:r>
          </w:p>
        </w:tc>
        <w:tc>
          <w:tcPr>
            <w:tcW w:w="461" w:type="pct"/>
            <w:tcBorders>
              <w:top w:val="single" w:color="000000" w:sz="4" w:space="0"/>
              <w:left w:val="single" w:color="000000" w:sz="4" w:space="0"/>
              <w:bottom w:val="single" w:color="000000" w:sz="4" w:space="0"/>
              <w:right w:val="single" w:color="000000" w:sz="4" w:space="0"/>
            </w:tcBorders>
            <w:vAlign w:val="center"/>
          </w:tcPr>
          <w:p w14:paraId="25DDA1EB">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190</w:t>
            </w:r>
          </w:p>
        </w:tc>
        <w:tc>
          <w:tcPr>
            <w:tcW w:w="452" w:type="pct"/>
            <w:tcBorders>
              <w:top w:val="single" w:color="000000" w:sz="4" w:space="0"/>
              <w:left w:val="single" w:color="000000" w:sz="4" w:space="0"/>
              <w:bottom w:val="single" w:color="000000" w:sz="4" w:space="0"/>
              <w:right w:val="single" w:color="000000" w:sz="4" w:space="0"/>
            </w:tcBorders>
            <w:vAlign w:val="center"/>
          </w:tcPr>
          <w:p w14:paraId="3BBB1690">
            <w:pPr>
              <w:textAlignment w:val="center"/>
              <w:rPr>
                <w:rFonts w:cs="Times New Roman"/>
                <w:color w:val="000000" w:themeColor="text1"/>
                <w14:textFill>
                  <w14:solidFill>
                    <w14:schemeClr w14:val="tx1"/>
                  </w14:solidFill>
                </w14:textFill>
              </w:rPr>
            </w:pPr>
            <w:r>
              <w:rPr>
                <w:rFonts w:hint="eastAsia" w:cs="Times New Roman"/>
                <w:color w:val="000000" w:themeColor="text1"/>
                <w:kern w:val="0"/>
                <w:lang w:bidi="ar"/>
                <w14:textFill>
                  <w14:solidFill>
                    <w14:schemeClr w14:val="tx1"/>
                  </w14:solidFill>
                </w14:textFill>
              </w:rPr>
              <w:t>190</w:t>
            </w:r>
          </w:p>
        </w:tc>
        <w:tc>
          <w:tcPr>
            <w:tcW w:w="435" w:type="pct"/>
            <w:tcBorders>
              <w:top w:val="single" w:color="000000" w:sz="4" w:space="0"/>
              <w:left w:val="single" w:color="000000" w:sz="4" w:space="0"/>
              <w:bottom w:val="single" w:color="000000" w:sz="4" w:space="0"/>
              <w:right w:val="single" w:color="000000" w:sz="4" w:space="0"/>
            </w:tcBorders>
            <w:vAlign w:val="center"/>
          </w:tcPr>
          <w:p w14:paraId="6B61E5FD">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07</w:t>
            </w:r>
          </w:p>
        </w:tc>
        <w:tc>
          <w:tcPr>
            <w:tcW w:w="975" w:type="pct"/>
            <w:tcBorders>
              <w:top w:val="single" w:color="000000" w:sz="4" w:space="0"/>
              <w:left w:val="single" w:color="000000" w:sz="4" w:space="0"/>
              <w:bottom w:val="single" w:color="000000" w:sz="4" w:space="0"/>
              <w:right w:val="single" w:color="000000" w:sz="4" w:space="0"/>
            </w:tcBorders>
            <w:vAlign w:val="center"/>
          </w:tcPr>
          <w:p w14:paraId="38E07E77">
            <w:pPr>
              <w:textAlignment w:val="center"/>
              <w:rPr>
                <w:rFonts w:cs="Times New Roman"/>
                <w:color w:val="FF0000"/>
              </w:rPr>
            </w:pPr>
            <w:r>
              <w:rPr>
                <w:rFonts w:hint="eastAsia" w:cs="Times New Roman"/>
                <w:color w:val="000000" w:themeColor="text1"/>
                <w:kern w:val="0"/>
                <w:lang w:bidi="ar"/>
                <w14:textFill>
                  <w14:solidFill>
                    <w14:schemeClr w14:val="tx1"/>
                  </w14:solidFill>
                </w14:textFill>
              </w:rPr>
              <w:t>住宅用地</w:t>
            </w:r>
          </w:p>
        </w:tc>
        <w:tc>
          <w:tcPr>
            <w:tcW w:w="470" w:type="pct"/>
            <w:tcBorders>
              <w:top w:val="single" w:color="000000" w:sz="4" w:space="0"/>
              <w:left w:val="single" w:color="000000" w:sz="4" w:space="0"/>
              <w:bottom w:val="single" w:color="000000" w:sz="4" w:space="0"/>
              <w:right w:val="single" w:color="000000" w:sz="4" w:space="0"/>
            </w:tcBorders>
            <w:vAlign w:val="center"/>
          </w:tcPr>
          <w:p w14:paraId="4B134F0F">
            <w:pPr>
              <w:textAlignment w:val="center"/>
              <w:rPr>
                <w:rFonts w:cs="Times New Roman"/>
                <w:color w:val="FF0000"/>
              </w:rPr>
            </w:pPr>
            <w:r>
              <w:rPr>
                <w:rFonts w:hint="eastAsia" w:cs="Times New Roman"/>
                <w:color w:val="000000" w:themeColor="text1"/>
                <w14:textFill>
                  <w14:solidFill>
                    <w14:schemeClr w14:val="tx1"/>
                  </w14:solidFill>
                </w14:textFill>
              </w:rPr>
              <w:t>0702</w:t>
            </w:r>
          </w:p>
        </w:tc>
        <w:tc>
          <w:tcPr>
            <w:tcW w:w="794" w:type="pct"/>
            <w:tcBorders>
              <w:top w:val="single" w:color="000000" w:sz="4" w:space="0"/>
              <w:left w:val="single" w:color="000000" w:sz="4" w:space="0"/>
              <w:bottom w:val="single" w:color="000000" w:sz="4" w:space="0"/>
              <w:right w:val="single" w:color="000000" w:sz="4" w:space="0"/>
            </w:tcBorders>
            <w:vAlign w:val="center"/>
          </w:tcPr>
          <w:p w14:paraId="206A15E7">
            <w:pPr>
              <w:textAlignment w:val="center"/>
              <w:rPr>
                <w:rFonts w:cs="Times New Roman"/>
                <w:color w:val="FF0000"/>
              </w:rPr>
            </w:pPr>
            <w:r>
              <w:rPr>
                <w:rFonts w:hint="eastAsia" w:cs="Times New Roman"/>
                <w:color w:val="000000" w:themeColor="text1"/>
                <w14:textFill>
                  <w14:solidFill>
                    <w14:schemeClr w14:val="tx1"/>
                  </w14:solidFill>
                </w14:textFill>
              </w:rPr>
              <w:t>农村宅基地</w:t>
            </w:r>
          </w:p>
        </w:tc>
        <w:tc>
          <w:tcPr>
            <w:tcW w:w="524" w:type="pct"/>
            <w:vMerge w:val="continue"/>
            <w:tcBorders>
              <w:top w:val="single" w:color="000000" w:sz="4" w:space="0"/>
              <w:left w:val="single" w:color="000000" w:sz="4" w:space="0"/>
              <w:bottom w:val="single" w:color="000000" w:sz="4" w:space="0"/>
              <w:right w:val="single" w:color="000000" w:sz="4" w:space="0"/>
            </w:tcBorders>
            <w:vAlign w:val="center"/>
          </w:tcPr>
          <w:p w14:paraId="11F3744F">
            <w:pPr>
              <w:rPr>
                <w:rFonts w:cs="Times New Roman"/>
                <w:color w:val="FF0000"/>
              </w:rPr>
            </w:pPr>
          </w:p>
        </w:tc>
      </w:tr>
      <w:tr w14:paraId="5B4BBEC6">
        <w:tblPrEx>
          <w:tblCellMar>
            <w:top w:w="0" w:type="dxa"/>
            <w:left w:w="108" w:type="dxa"/>
            <w:bottom w:w="0" w:type="dxa"/>
            <w:right w:w="108" w:type="dxa"/>
          </w:tblCellMar>
        </w:tblPrEx>
        <w:trPr>
          <w:trHeight w:val="340" w:hRule="atLeast"/>
          <w:jc w:val="center"/>
        </w:trPr>
        <w:tc>
          <w:tcPr>
            <w:tcW w:w="884" w:type="pct"/>
            <w:vMerge w:val="restart"/>
            <w:tcBorders>
              <w:top w:val="single" w:color="000000" w:sz="4" w:space="0"/>
              <w:left w:val="single" w:color="000000" w:sz="4" w:space="0"/>
              <w:right w:val="single" w:color="000000" w:sz="4" w:space="0"/>
            </w:tcBorders>
            <w:vAlign w:val="center"/>
          </w:tcPr>
          <w:p w14:paraId="39C966E0">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办公生活区</w:t>
            </w:r>
          </w:p>
        </w:tc>
        <w:tc>
          <w:tcPr>
            <w:tcW w:w="461" w:type="pct"/>
            <w:vMerge w:val="restart"/>
            <w:tcBorders>
              <w:top w:val="single" w:color="000000" w:sz="4" w:space="0"/>
              <w:left w:val="single" w:color="000000" w:sz="4" w:space="0"/>
              <w:right w:val="single" w:color="000000" w:sz="4" w:space="0"/>
            </w:tcBorders>
            <w:vAlign w:val="center"/>
          </w:tcPr>
          <w:p w14:paraId="1756A9C6">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5010</w:t>
            </w:r>
          </w:p>
        </w:tc>
        <w:tc>
          <w:tcPr>
            <w:tcW w:w="452" w:type="pct"/>
            <w:tcBorders>
              <w:top w:val="single" w:color="000000" w:sz="4" w:space="0"/>
              <w:left w:val="single" w:color="000000" w:sz="4" w:space="0"/>
              <w:bottom w:val="single" w:color="000000" w:sz="4" w:space="0"/>
              <w:right w:val="single" w:color="000000" w:sz="4" w:space="0"/>
            </w:tcBorders>
            <w:vAlign w:val="center"/>
          </w:tcPr>
          <w:p w14:paraId="07DCE008">
            <w:pPr>
              <w:textAlignment w:val="center"/>
              <w:rPr>
                <w:rFonts w:cs="Times New Roman"/>
                <w:color w:val="000000" w:themeColor="text1"/>
                <w14:textFill>
                  <w14:solidFill>
                    <w14:schemeClr w14:val="tx1"/>
                  </w14:solidFill>
                </w14:textFill>
              </w:rPr>
            </w:pPr>
            <w:r>
              <w:rPr>
                <w:rFonts w:hint="eastAsia" w:cs="Times New Roman"/>
                <w:color w:val="000000" w:themeColor="text1"/>
                <w:kern w:val="0"/>
                <w:lang w:bidi="ar"/>
                <w14:textFill>
                  <w14:solidFill>
                    <w14:schemeClr w14:val="tx1"/>
                  </w14:solidFill>
                </w14:textFill>
              </w:rPr>
              <w:t>3062</w:t>
            </w:r>
          </w:p>
        </w:tc>
        <w:tc>
          <w:tcPr>
            <w:tcW w:w="435" w:type="pct"/>
            <w:tcBorders>
              <w:top w:val="single" w:color="000000" w:sz="4" w:space="0"/>
              <w:left w:val="single" w:color="000000" w:sz="4" w:space="0"/>
              <w:bottom w:val="single" w:color="000000" w:sz="4" w:space="0"/>
              <w:right w:val="single" w:color="000000" w:sz="4" w:space="0"/>
            </w:tcBorders>
            <w:vAlign w:val="center"/>
          </w:tcPr>
          <w:p w14:paraId="66BB0744">
            <w:pPr>
              <w:textAlignment w:val="center"/>
              <w:rPr>
                <w:rFonts w:cs="Times New Roman"/>
                <w:color w:val="FF0000"/>
              </w:rPr>
            </w:pPr>
            <w:r>
              <w:rPr>
                <w:rFonts w:cs="Times New Roman"/>
                <w:color w:val="000000" w:themeColor="text1"/>
                <w14:textFill>
                  <w14:solidFill>
                    <w14:schemeClr w14:val="tx1"/>
                  </w14:solidFill>
                </w14:textFill>
              </w:rPr>
              <w:t>04</w:t>
            </w:r>
          </w:p>
        </w:tc>
        <w:tc>
          <w:tcPr>
            <w:tcW w:w="975" w:type="pct"/>
            <w:tcBorders>
              <w:top w:val="single" w:color="000000" w:sz="4" w:space="0"/>
              <w:left w:val="single" w:color="000000" w:sz="4" w:space="0"/>
              <w:bottom w:val="single" w:color="000000" w:sz="4" w:space="0"/>
              <w:right w:val="single" w:color="000000" w:sz="4" w:space="0"/>
            </w:tcBorders>
            <w:vAlign w:val="center"/>
          </w:tcPr>
          <w:p w14:paraId="5E9AF27E">
            <w:pPr>
              <w:textAlignment w:val="center"/>
              <w:rPr>
                <w:rFonts w:cs="Times New Roman"/>
                <w:color w:val="FF0000"/>
              </w:rPr>
            </w:pPr>
            <w:r>
              <w:rPr>
                <w:rFonts w:cs="Times New Roman"/>
                <w:color w:val="000000" w:themeColor="text1"/>
                <w:kern w:val="0"/>
                <w:lang w:bidi="ar"/>
                <w14:textFill>
                  <w14:solidFill>
                    <w14:schemeClr w14:val="tx1"/>
                  </w14:solidFill>
                </w14:textFill>
              </w:rPr>
              <w:t>草地</w:t>
            </w:r>
          </w:p>
        </w:tc>
        <w:tc>
          <w:tcPr>
            <w:tcW w:w="470" w:type="pct"/>
            <w:tcBorders>
              <w:top w:val="single" w:color="000000" w:sz="4" w:space="0"/>
              <w:left w:val="single" w:color="000000" w:sz="4" w:space="0"/>
              <w:bottom w:val="single" w:color="000000" w:sz="4" w:space="0"/>
              <w:right w:val="single" w:color="000000" w:sz="4" w:space="0"/>
            </w:tcBorders>
            <w:vAlign w:val="center"/>
          </w:tcPr>
          <w:p w14:paraId="45538EC5">
            <w:pPr>
              <w:textAlignment w:val="center"/>
              <w:rPr>
                <w:rFonts w:cs="Times New Roman"/>
                <w:color w:val="FF0000"/>
              </w:rPr>
            </w:pPr>
            <w:r>
              <w:rPr>
                <w:rFonts w:cs="Times New Roman"/>
                <w:color w:val="000000" w:themeColor="text1"/>
                <w14:textFill>
                  <w14:solidFill>
                    <w14:schemeClr w14:val="tx1"/>
                  </w14:solidFill>
                </w14:textFill>
              </w:rPr>
              <w:t>04</w:t>
            </w:r>
            <w:r>
              <w:rPr>
                <w:rFonts w:hint="eastAsia" w:cs="Times New Roman"/>
                <w:color w:val="000000" w:themeColor="text1"/>
                <w14:textFill>
                  <w14:solidFill>
                    <w14:schemeClr w14:val="tx1"/>
                  </w14:solidFill>
                </w14:textFill>
              </w:rPr>
              <w:t>04</w:t>
            </w:r>
          </w:p>
        </w:tc>
        <w:tc>
          <w:tcPr>
            <w:tcW w:w="794" w:type="pct"/>
            <w:tcBorders>
              <w:top w:val="single" w:color="000000" w:sz="4" w:space="0"/>
              <w:left w:val="single" w:color="000000" w:sz="4" w:space="0"/>
              <w:bottom w:val="single" w:color="000000" w:sz="4" w:space="0"/>
              <w:right w:val="single" w:color="000000" w:sz="4" w:space="0"/>
            </w:tcBorders>
            <w:vAlign w:val="center"/>
          </w:tcPr>
          <w:p w14:paraId="2B10C706">
            <w:pPr>
              <w:textAlignment w:val="center"/>
              <w:rPr>
                <w:rFonts w:cs="Times New Roman"/>
                <w:color w:val="FF0000"/>
              </w:rPr>
            </w:pPr>
            <w:r>
              <w:rPr>
                <w:rFonts w:cs="Times New Roman"/>
                <w:color w:val="000000" w:themeColor="text1"/>
                <w14:textFill>
                  <w14:solidFill>
                    <w14:schemeClr w14:val="tx1"/>
                  </w14:solidFill>
                </w14:textFill>
              </w:rPr>
              <w:t>其他草地</w:t>
            </w:r>
          </w:p>
        </w:tc>
        <w:tc>
          <w:tcPr>
            <w:tcW w:w="524" w:type="pct"/>
            <w:vMerge w:val="continue"/>
            <w:tcBorders>
              <w:top w:val="single" w:color="000000" w:sz="4" w:space="0"/>
              <w:left w:val="single" w:color="000000" w:sz="4" w:space="0"/>
              <w:bottom w:val="single" w:color="000000" w:sz="4" w:space="0"/>
              <w:right w:val="single" w:color="000000" w:sz="4" w:space="0"/>
            </w:tcBorders>
            <w:vAlign w:val="center"/>
          </w:tcPr>
          <w:p w14:paraId="16A81901">
            <w:pPr>
              <w:rPr>
                <w:rFonts w:cs="Times New Roman"/>
                <w:color w:val="FF0000"/>
              </w:rPr>
            </w:pPr>
          </w:p>
        </w:tc>
      </w:tr>
      <w:tr w14:paraId="5EDA8E19">
        <w:tblPrEx>
          <w:tblCellMar>
            <w:top w:w="0" w:type="dxa"/>
            <w:left w:w="108" w:type="dxa"/>
            <w:bottom w:w="0" w:type="dxa"/>
            <w:right w:w="108" w:type="dxa"/>
          </w:tblCellMar>
        </w:tblPrEx>
        <w:trPr>
          <w:trHeight w:val="340" w:hRule="atLeast"/>
          <w:jc w:val="center"/>
        </w:trPr>
        <w:tc>
          <w:tcPr>
            <w:tcW w:w="884" w:type="pct"/>
            <w:vMerge w:val="continue"/>
            <w:tcBorders>
              <w:left w:val="single" w:color="000000" w:sz="4" w:space="0"/>
              <w:right w:val="single" w:color="000000" w:sz="4" w:space="0"/>
            </w:tcBorders>
            <w:vAlign w:val="center"/>
          </w:tcPr>
          <w:p w14:paraId="1C8030E0">
            <w:pPr>
              <w:textAlignment w:val="center"/>
              <w:rPr>
                <w:rFonts w:cs="Times New Roman"/>
                <w:color w:val="000000" w:themeColor="text1"/>
                <w14:textFill>
                  <w14:solidFill>
                    <w14:schemeClr w14:val="tx1"/>
                  </w14:solidFill>
                </w14:textFill>
              </w:rPr>
            </w:pPr>
          </w:p>
        </w:tc>
        <w:tc>
          <w:tcPr>
            <w:tcW w:w="461" w:type="pct"/>
            <w:vMerge w:val="continue"/>
            <w:tcBorders>
              <w:left w:val="single" w:color="000000" w:sz="4" w:space="0"/>
              <w:right w:val="single" w:color="000000" w:sz="4" w:space="0"/>
            </w:tcBorders>
            <w:vAlign w:val="center"/>
          </w:tcPr>
          <w:p w14:paraId="62A5CE2D">
            <w:pPr>
              <w:textAlignment w:val="center"/>
              <w:rPr>
                <w:rFonts w:cs="Times New Roman"/>
                <w:color w:val="000000" w:themeColor="text1"/>
                <w14:textFill>
                  <w14:solidFill>
                    <w14:schemeClr w14:val="tx1"/>
                  </w14:solidFill>
                </w14:textFill>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2A28A010">
            <w:pPr>
              <w:textAlignment w:val="center"/>
              <w:rPr>
                <w:rFonts w:cs="Times New Roman"/>
                <w:color w:val="000000" w:themeColor="text1"/>
                <w:kern w:val="0"/>
                <w:lang w:bidi="ar"/>
                <w14:textFill>
                  <w14:solidFill>
                    <w14:schemeClr w14:val="tx1"/>
                  </w14:solidFill>
                </w14:textFill>
              </w:rPr>
            </w:pPr>
            <w:r>
              <w:rPr>
                <w:rFonts w:hint="eastAsia" w:cs="Times New Roman"/>
                <w:color w:val="000000" w:themeColor="text1"/>
                <w:kern w:val="0"/>
                <w:lang w:bidi="ar"/>
                <w14:textFill>
                  <w14:solidFill>
                    <w14:schemeClr w14:val="tx1"/>
                  </w14:solidFill>
                </w14:textFill>
              </w:rPr>
              <w:t>1948</w:t>
            </w:r>
          </w:p>
        </w:tc>
        <w:tc>
          <w:tcPr>
            <w:tcW w:w="435" w:type="pct"/>
            <w:tcBorders>
              <w:top w:val="single" w:color="000000" w:sz="4" w:space="0"/>
              <w:left w:val="single" w:color="000000" w:sz="4" w:space="0"/>
              <w:bottom w:val="single" w:color="000000" w:sz="4" w:space="0"/>
              <w:right w:val="single" w:color="000000" w:sz="4" w:space="0"/>
            </w:tcBorders>
            <w:vAlign w:val="center"/>
          </w:tcPr>
          <w:p w14:paraId="0D917BA9">
            <w:pPr>
              <w:textAlignment w:val="center"/>
              <w:rPr>
                <w:rFonts w:cs="Times New Roman"/>
                <w:color w:val="FF0000"/>
                <w:kern w:val="0"/>
                <w:lang w:bidi="ar"/>
              </w:rPr>
            </w:pPr>
            <w:r>
              <w:rPr>
                <w:rFonts w:hint="eastAsia" w:cs="Times New Roman"/>
                <w:color w:val="000000" w:themeColor="text1"/>
                <w14:textFill>
                  <w14:solidFill>
                    <w14:schemeClr w14:val="tx1"/>
                  </w14:solidFill>
                </w14:textFill>
              </w:rPr>
              <w:t>07</w:t>
            </w:r>
          </w:p>
        </w:tc>
        <w:tc>
          <w:tcPr>
            <w:tcW w:w="975" w:type="pct"/>
            <w:tcBorders>
              <w:top w:val="single" w:color="000000" w:sz="4" w:space="0"/>
              <w:left w:val="single" w:color="000000" w:sz="4" w:space="0"/>
              <w:bottom w:val="single" w:color="000000" w:sz="4" w:space="0"/>
              <w:right w:val="single" w:color="000000" w:sz="4" w:space="0"/>
            </w:tcBorders>
            <w:vAlign w:val="center"/>
          </w:tcPr>
          <w:p w14:paraId="4D01E774">
            <w:pPr>
              <w:textAlignment w:val="center"/>
              <w:rPr>
                <w:rFonts w:cs="Times New Roman"/>
                <w:color w:val="FF0000"/>
                <w:kern w:val="0"/>
                <w:lang w:bidi="ar"/>
              </w:rPr>
            </w:pPr>
            <w:r>
              <w:rPr>
                <w:rFonts w:hint="eastAsia" w:cs="Times New Roman"/>
                <w:color w:val="000000" w:themeColor="text1"/>
                <w:kern w:val="0"/>
                <w:lang w:bidi="ar"/>
                <w14:textFill>
                  <w14:solidFill>
                    <w14:schemeClr w14:val="tx1"/>
                  </w14:solidFill>
                </w14:textFill>
              </w:rPr>
              <w:t>住宅用地</w:t>
            </w:r>
          </w:p>
        </w:tc>
        <w:tc>
          <w:tcPr>
            <w:tcW w:w="470" w:type="pct"/>
            <w:tcBorders>
              <w:top w:val="single" w:color="000000" w:sz="4" w:space="0"/>
              <w:left w:val="single" w:color="000000" w:sz="4" w:space="0"/>
              <w:bottom w:val="single" w:color="000000" w:sz="4" w:space="0"/>
              <w:right w:val="single" w:color="000000" w:sz="4" w:space="0"/>
            </w:tcBorders>
            <w:vAlign w:val="center"/>
          </w:tcPr>
          <w:p w14:paraId="2ED7E128">
            <w:pPr>
              <w:textAlignment w:val="center"/>
              <w:rPr>
                <w:rFonts w:cs="Times New Roman"/>
                <w:color w:val="FF0000"/>
                <w:kern w:val="0"/>
                <w:lang w:bidi="ar"/>
              </w:rPr>
            </w:pPr>
            <w:r>
              <w:rPr>
                <w:rFonts w:hint="eastAsia" w:cs="Times New Roman"/>
                <w:color w:val="000000" w:themeColor="text1"/>
                <w14:textFill>
                  <w14:solidFill>
                    <w14:schemeClr w14:val="tx1"/>
                  </w14:solidFill>
                </w14:textFill>
              </w:rPr>
              <w:t>0702</w:t>
            </w:r>
          </w:p>
        </w:tc>
        <w:tc>
          <w:tcPr>
            <w:tcW w:w="794" w:type="pct"/>
            <w:tcBorders>
              <w:top w:val="single" w:color="000000" w:sz="4" w:space="0"/>
              <w:left w:val="single" w:color="000000" w:sz="4" w:space="0"/>
              <w:bottom w:val="single" w:color="000000" w:sz="4" w:space="0"/>
              <w:right w:val="single" w:color="000000" w:sz="4" w:space="0"/>
            </w:tcBorders>
            <w:vAlign w:val="center"/>
          </w:tcPr>
          <w:p w14:paraId="0D935967">
            <w:pPr>
              <w:textAlignment w:val="center"/>
              <w:rPr>
                <w:rFonts w:cs="Times New Roman"/>
                <w:color w:val="FF0000"/>
                <w:kern w:val="0"/>
                <w:lang w:bidi="ar"/>
              </w:rPr>
            </w:pPr>
            <w:r>
              <w:rPr>
                <w:rFonts w:hint="eastAsia" w:cs="Times New Roman"/>
                <w:color w:val="000000" w:themeColor="text1"/>
                <w14:textFill>
                  <w14:solidFill>
                    <w14:schemeClr w14:val="tx1"/>
                  </w14:solidFill>
                </w14:textFill>
              </w:rPr>
              <w:t>农村宅基地</w:t>
            </w:r>
          </w:p>
        </w:tc>
        <w:tc>
          <w:tcPr>
            <w:tcW w:w="524" w:type="pct"/>
            <w:vMerge w:val="continue"/>
            <w:tcBorders>
              <w:top w:val="single" w:color="000000" w:sz="4" w:space="0"/>
              <w:left w:val="single" w:color="000000" w:sz="4" w:space="0"/>
              <w:bottom w:val="single" w:color="000000" w:sz="4" w:space="0"/>
              <w:right w:val="single" w:color="000000" w:sz="4" w:space="0"/>
            </w:tcBorders>
            <w:vAlign w:val="center"/>
          </w:tcPr>
          <w:p w14:paraId="36159235">
            <w:pPr>
              <w:rPr>
                <w:rFonts w:cs="Times New Roman"/>
                <w:color w:val="FF0000"/>
              </w:rPr>
            </w:pPr>
          </w:p>
        </w:tc>
      </w:tr>
      <w:tr w14:paraId="7212DF49">
        <w:tblPrEx>
          <w:tblCellMar>
            <w:top w:w="0" w:type="dxa"/>
            <w:left w:w="108" w:type="dxa"/>
            <w:bottom w:w="0" w:type="dxa"/>
            <w:right w:w="108" w:type="dxa"/>
          </w:tblCellMar>
        </w:tblPrEx>
        <w:trPr>
          <w:trHeight w:val="340" w:hRule="atLeast"/>
          <w:jc w:val="center"/>
        </w:trPr>
        <w:tc>
          <w:tcPr>
            <w:tcW w:w="884" w:type="pct"/>
            <w:vMerge w:val="restart"/>
            <w:tcBorders>
              <w:top w:val="single" w:color="000000" w:sz="4" w:space="0"/>
              <w:left w:val="single" w:color="000000" w:sz="4" w:space="0"/>
              <w:bottom w:val="single" w:color="000000" w:sz="4" w:space="0"/>
              <w:right w:val="single" w:color="000000" w:sz="4" w:space="0"/>
            </w:tcBorders>
            <w:noWrap/>
            <w:vAlign w:val="center"/>
          </w:tcPr>
          <w:p w14:paraId="1837F635">
            <w:pPr>
              <w:textAlignment w:val="center"/>
              <w:rPr>
                <w:rFonts w:cs="Times New Roman"/>
                <w:color w:val="000000" w:themeColor="text1"/>
                <w14:textFill>
                  <w14:solidFill>
                    <w14:schemeClr w14:val="tx1"/>
                  </w14:solidFill>
                </w14:textFill>
              </w:rPr>
            </w:pPr>
            <w:r>
              <w:rPr>
                <w:rFonts w:cs="Times New Roman"/>
                <w:color w:val="000000" w:themeColor="text1"/>
                <w:kern w:val="0"/>
                <w:lang w:bidi="ar"/>
                <w14:textFill>
                  <w14:solidFill>
                    <w14:schemeClr w14:val="tx1"/>
                  </w14:solidFill>
                </w14:textFill>
              </w:rPr>
              <w:t>矿区道路</w:t>
            </w:r>
          </w:p>
        </w:tc>
        <w:tc>
          <w:tcPr>
            <w:tcW w:w="461" w:type="pct"/>
            <w:vMerge w:val="restart"/>
            <w:tcBorders>
              <w:top w:val="single" w:color="000000" w:sz="4" w:space="0"/>
              <w:left w:val="single" w:color="000000" w:sz="4" w:space="0"/>
              <w:bottom w:val="single" w:color="000000" w:sz="4" w:space="0"/>
              <w:right w:val="single" w:color="000000" w:sz="4" w:space="0"/>
            </w:tcBorders>
            <w:vAlign w:val="center"/>
          </w:tcPr>
          <w:p w14:paraId="2B7C9476">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1640</w:t>
            </w:r>
          </w:p>
        </w:tc>
        <w:tc>
          <w:tcPr>
            <w:tcW w:w="452" w:type="pct"/>
            <w:tcBorders>
              <w:top w:val="single" w:color="000000" w:sz="4" w:space="0"/>
              <w:left w:val="single" w:color="000000" w:sz="4" w:space="0"/>
              <w:bottom w:val="single" w:color="000000" w:sz="4" w:space="0"/>
              <w:right w:val="single" w:color="000000" w:sz="4" w:space="0"/>
            </w:tcBorders>
            <w:vAlign w:val="center"/>
          </w:tcPr>
          <w:p w14:paraId="4C62D8CD">
            <w:pPr>
              <w:textAlignment w:val="center"/>
              <w:rPr>
                <w:rFonts w:cs="Times New Roman"/>
                <w:color w:val="000000" w:themeColor="text1"/>
                <w14:textFill>
                  <w14:solidFill>
                    <w14:schemeClr w14:val="tx1"/>
                  </w14:solidFill>
                </w14:textFill>
              </w:rPr>
            </w:pPr>
            <w:r>
              <w:rPr>
                <w:rFonts w:hint="eastAsia" w:cs="Times New Roman"/>
                <w:color w:val="000000" w:themeColor="text1"/>
                <w:kern w:val="0"/>
                <w:lang w:bidi="ar"/>
                <w14:textFill>
                  <w14:solidFill>
                    <w14:schemeClr w14:val="tx1"/>
                  </w14:solidFill>
                </w14:textFill>
              </w:rPr>
              <w:t>39</w:t>
            </w:r>
          </w:p>
        </w:tc>
        <w:tc>
          <w:tcPr>
            <w:tcW w:w="750" w:type="dxa"/>
            <w:tcBorders>
              <w:top w:val="single" w:color="000000" w:sz="4" w:space="0"/>
              <w:left w:val="single" w:color="000000" w:sz="4" w:space="0"/>
              <w:bottom w:val="single" w:color="000000" w:sz="4" w:space="0"/>
              <w:right w:val="single" w:color="000000" w:sz="4" w:space="0"/>
            </w:tcBorders>
            <w:vAlign w:val="center"/>
          </w:tcPr>
          <w:p w14:paraId="61889553">
            <w:pPr>
              <w:textAlignment w:val="center"/>
              <w:rPr>
                <w:rFonts w:cs="Times New Roman"/>
                <w:color w:val="FF0000"/>
              </w:rPr>
            </w:pPr>
            <w:r>
              <w:rPr>
                <w:rFonts w:cs="Times New Roman"/>
                <w:color w:val="000000" w:themeColor="text1"/>
                <w14:textFill>
                  <w14:solidFill>
                    <w14:schemeClr w14:val="tx1"/>
                  </w14:solidFill>
                </w14:textFill>
              </w:rPr>
              <w:t>04</w:t>
            </w:r>
          </w:p>
        </w:tc>
        <w:tc>
          <w:tcPr>
            <w:tcW w:w="1680" w:type="dxa"/>
            <w:tcBorders>
              <w:top w:val="single" w:color="000000" w:sz="4" w:space="0"/>
              <w:left w:val="single" w:color="000000" w:sz="4" w:space="0"/>
              <w:bottom w:val="single" w:color="000000" w:sz="4" w:space="0"/>
              <w:right w:val="single" w:color="000000" w:sz="4" w:space="0"/>
            </w:tcBorders>
            <w:vAlign w:val="center"/>
          </w:tcPr>
          <w:p w14:paraId="0AF57651">
            <w:pPr>
              <w:textAlignment w:val="center"/>
              <w:rPr>
                <w:rFonts w:cs="Times New Roman"/>
                <w:color w:val="FF0000"/>
              </w:rPr>
            </w:pPr>
            <w:r>
              <w:rPr>
                <w:rFonts w:cs="Times New Roman"/>
                <w:color w:val="000000" w:themeColor="text1"/>
                <w:kern w:val="0"/>
                <w:lang w:bidi="ar"/>
                <w14:textFill>
                  <w14:solidFill>
                    <w14:schemeClr w14:val="tx1"/>
                  </w14:solidFill>
                </w14:textFill>
              </w:rPr>
              <w:t>草地</w:t>
            </w:r>
          </w:p>
        </w:tc>
        <w:tc>
          <w:tcPr>
            <w:tcW w:w="810" w:type="dxa"/>
            <w:tcBorders>
              <w:top w:val="single" w:color="000000" w:sz="4" w:space="0"/>
              <w:left w:val="single" w:color="000000" w:sz="4" w:space="0"/>
              <w:bottom w:val="single" w:color="000000" w:sz="4" w:space="0"/>
              <w:right w:val="single" w:color="000000" w:sz="4" w:space="0"/>
            </w:tcBorders>
            <w:vAlign w:val="center"/>
          </w:tcPr>
          <w:p w14:paraId="215F73D3">
            <w:pPr>
              <w:textAlignment w:val="center"/>
              <w:rPr>
                <w:rFonts w:cs="Times New Roman"/>
                <w:color w:val="FF0000"/>
              </w:rPr>
            </w:pPr>
            <w:r>
              <w:rPr>
                <w:rFonts w:cs="Times New Roman"/>
                <w:color w:val="000000" w:themeColor="text1"/>
                <w14:textFill>
                  <w14:solidFill>
                    <w14:schemeClr w14:val="tx1"/>
                  </w14:solidFill>
                </w14:textFill>
              </w:rPr>
              <w:t>04</w:t>
            </w:r>
            <w:r>
              <w:rPr>
                <w:rFonts w:hint="eastAsia" w:cs="Times New Roman"/>
                <w:color w:val="000000" w:themeColor="text1"/>
                <w14:textFill>
                  <w14:solidFill>
                    <w14:schemeClr w14:val="tx1"/>
                  </w14:solidFill>
                </w14:textFill>
              </w:rPr>
              <w:t>04</w:t>
            </w:r>
          </w:p>
        </w:tc>
        <w:tc>
          <w:tcPr>
            <w:tcW w:w="1368" w:type="dxa"/>
            <w:tcBorders>
              <w:top w:val="single" w:color="000000" w:sz="4" w:space="0"/>
              <w:left w:val="single" w:color="000000" w:sz="4" w:space="0"/>
              <w:bottom w:val="single" w:color="000000" w:sz="4" w:space="0"/>
              <w:right w:val="single" w:color="000000" w:sz="4" w:space="0"/>
            </w:tcBorders>
            <w:vAlign w:val="center"/>
          </w:tcPr>
          <w:p w14:paraId="2A7DE557">
            <w:pPr>
              <w:textAlignment w:val="center"/>
              <w:rPr>
                <w:rFonts w:cs="Times New Roman"/>
                <w:color w:val="FF0000"/>
              </w:rPr>
            </w:pPr>
            <w:r>
              <w:rPr>
                <w:rFonts w:cs="Times New Roman"/>
                <w:color w:val="000000" w:themeColor="text1"/>
                <w14:textFill>
                  <w14:solidFill>
                    <w14:schemeClr w14:val="tx1"/>
                  </w14:solidFill>
                </w14:textFill>
              </w:rPr>
              <w:t>其他草地</w:t>
            </w:r>
          </w:p>
        </w:tc>
        <w:tc>
          <w:tcPr>
            <w:tcW w:w="524" w:type="pct"/>
            <w:vMerge w:val="continue"/>
            <w:tcBorders>
              <w:top w:val="single" w:color="000000" w:sz="4" w:space="0"/>
              <w:left w:val="single" w:color="000000" w:sz="4" w:space="0"/>
              <w:bottom w:val="single" w:color="000000" w:sz="4" w:space="0"/>
              <w:right w:val="single" w:color="000000" w:sz="4" w:space="0"/>
            </w:tcBorders>
            <w:vAlign w:val="center"/>
          </w:tcPr>
          <w:p w14:paraId="31AC0BC5">
            <w:pPr>
              <w:rPr>
                <w:rFonts w:cs="Times New Roman"/>
                <w:color w:val="FF0000"/>
              </w:rPr>
            </w:pPr>
          </w:p>
        </w:tc>
      </w:tr>
      <w:tr w14:paraId="5923A81F">
        <w:tblPrEx>
          <w:tblCellMar>
            <w:top w:w="0" w:type="dxa"/>
            <w:left w:w="108" w:type="dxa"/>
            <w:bottom w:w="0" w:type="dxa"/>
            <w:right w:w="108" w:type="dxa"/>
          </w:tblCellMar>
        </w:tblPrEx>
        <w:trPr>
          <w:trHeight w:val="340" w:hRule="atLeast"/>
          <w:jc w:val="center"/>
        </w:trPr>
        <w:tc>
          <w:tcPr>
            <w:tcW w:w="884" w:type="pct"/>
            <w:vMerge w:val="continue"/>
            <w:tcBorders>
              <w:top w:val="single" w:color="000000" w:sz="4" w:space="0"/>
              <w:left w:val="single" w:color="000000" w:sz="4" w:space="0"/>
              <w:bottom w:val="single" w:color="000000" w:sz="4" w:space="0"/>
              <w:right w:val="single" w:color="000000" w:sz="4" w:space="0"/>
            </w:tcBorders>
            <w:noWrap/>
            <w:vAlign w:val="center"/>
          </w:tcPr>
          <w:p w14:paraId="58DF62BF">
            <w:pPr>
              <w:rPr>
                <w:rFonts w:cs="Times New Roman"/>
                <w:color w:val="FF0000"/>
              </w:rPr>
            </w:pPr>
          </w:p>
        </w:tc>
        <w:tc>
          <w:tcPr>
            <w:tcW w:w="461" w:type="pct"/>
            <w:vMerge w:val="continue"/>
            <w:tcBorders>
              <w:top w:val="single" w:color="000000" w:sz="4" w:space="0"/>
              <w:left w:val="single" w:color="000000" w:sz="4" w:space="0"/>
              <w:bottom w:val="single" w:color="000000" w:sz="4" w:space="0"/>
              <w:right w:val="single" w:color="000000" w:sz="4" w:space="0"/>
            </w:tcBorders>
            <w:vAlign w:val="center"/>
          </w:tcPr>
          <w:p w14:paraId="2CFFB9ED">
            <w:pPr>
              <w:rPr>
                <w:rFonts w:cs="Times New Roman"/>
                <w:color w:val="FF0000"/>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0E251A2D">
            <w:pPr>
              <w:textAlignment w:val="center"/>
              <w:rPr>
                <w:rFonts w:cs="Times New Roman"/>
                <w:color w:val="000000" w:themeColor="text1"/>
                <w14:textFill>
                  <w14:solidFill>
                    <w14:schemeClr w14:val="tx1"/>
                  </w14:solidFill>
                </w14:textFill>
              </w:rPr>
            </w:pPr>
            <w:r>
              <w:rPr>
                <w:rFonts w:hint="eastAsia" w:cs="Times New Roman"/>
                <w:color w:val="000000" w:themeColor="text1"/>
                <w:kern w:val="0"/>
                <w:lang w:bidi="ar"/>
                <w14:textFill>
                  <w14:solidFill>
                    <w14:schemeClr w14:val="tx1"/>
                  </w14:solidFill>
                </w14:textFill>
              </w:rPr>
              <w:t>1601</w:t>
            </w:r>
          </w:p>
        </w:tc>
        <w:tc>
          <w:tcPr>
            <w:tcW w:w="435" w:type="pct"/>
            <w:tcBorders>
              <w:top w:val="single" w:color="000000" w:sz="4" w:space="0"/>
              <w:left w:val="single" w:color="000000" w:sz="4" w:space="0"/>
              <w:bottom w:val="single" w:color="000000" w:sz="4" w:space="0"/>
              <w:right w:val="single" w:color="000000" w:sz="4" w:space="0"/>
            </w:tcBorders>
            <w:vAlign w:val="center"/>
          </w:tcPr>
          <w:p w14:paraId="0E3AD21A">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10</w:t>
            </w:r>
          </w:p>
        </w:tc>
        <w:tc>
          <w:tcPr>
            <w:tcW w:w="975" w:type="pct"/>
            <w:tcBorders>
              <w:top w:val="single" w:color="000000" w:sz="4" w:space="0"/>
              <w:left w:val="single" w:color="000000" w:sz="4" w:space="0"/>
              <w:bottom w:val="single" w:color="000000" w:sz="4" w:space="0"/>
              <w:right w:val="single" w:color="000000" w:sz="4" w:space="0"/>
            </w:tcBorders>
            <w:vAlign w:val="center"/>
          </w:tcPr>
          <w:p w14:paraId="4259550C">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交通运输用地</w:t>
            </w:r>
          </w:p>
        </w:tc>
        <w:tc>
          <w:tcPr>
            <w:tcW w:w="470" w:type="pct"/>
            <w:tcBorders>
              <w:top w:val="single" w:color="000000" w:sz="4" w:space="0"/>
              <w:left w:val="single" w:color="000000" w:sz="4" w:space="0"/>
              <w:bottom w:val="single" w:color="000000" w:sz="4" w:space="0"/>
              <w:right w:val="single" w:color="000000" w:sz="4" w:space="0"/>
            </w:tcBorders>
            <w:vAlign w:val="center"/>
          </w:tcPr>
          <w:p w14:paraId="39D7EC11">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1006</w:t>
            </w:r>
          </w:p>
        </w:tc>
        <w:tc>
          <w:tcPr>
            <w:tcW w:w="794" w:type="pct"/>
            <w:tcBorders>
              <w:top w:val="single" w:color="000000" w:sz="4" w:space="0"/>
              <w:left w:val="single" w:color="000000" w:sz="4" w:space="0"/>
              <w:bottom w:val="single" w:color="000000" w:sz="4" w:space="0"/>
              <w:right w:val="single" w:color="000000" w:sz="4" w:space="0"/>
            </w:tcBorders>
            <w:vAlign w:val="center"/>
          </w:tcPr>
          <w:p w14:paraId="4E2FCCE8">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农村道路</w:t>
            </w:r>
          </w:p>
        </w:tc>
        <w:tc>
          <w:tcPr>
            <w:tcW w:w="524" w:type="pct"/>
            <w:vMerge w:val="continue"/>
            <w:tcBorders>
              <w:top w:val="single" w:color="000000" w:sz="4" w:space="0"/>
              <w:left w:val="single" w:color="000000" w:sz="4" w:space="0"/>
              <w:bottom w:val="single" w:color="000000" w:sz="4" w:space="0"/>
              <w:right w:val="single" w:color="000000" w:sz="4" w:space="0"/>
            </w:tcBorders>
            <w:vAlign w:val="center"/>
          </w:tcPr>
          <w:p w14:paraId="510CD60F">
            <w:pPr>
              <w:rPr>
                <w:rFonts w:cs="Times New Roman"/>
                <w:color w:val="FF0000"/>
              </w:rPr>
            </w:pPr>
          </w:p>
        </w:tc>
      </w:tr>
      <w:tr w14:paraId="6E5992B9">
        <w:tblPrEx>
          <w:tblCellMar>
            <w:top w:w="0" w:type="dxa"/>
            <w:left w:w="108" w:type="dxa"/>
            <w:bottom w:w="0" w:type="dxa"/>
            <w:right w:w="108" w:type="dxa"/>
          </w:tblCellMar>
        </w:tblPrEx>
        <w:trPr>
          <w:trHeight w:val="340" w:hRule="atLeast"/>
          <w:jc w:val="center"/>
        </w:trPr>
        <w:tc>
          <w:tcPr>
            <w:tcW w:w="884" w:type="pct"/>
            <w:tcBorders>
              <w:top w:val="single" w:color="000000" w:sz="4" w:space="0"/>
              <w:left w:val="single" w:color="000000" w:sz="4" w:space="0"/>
              <w:bottom w:val="single" w:color="000000" w:sz="4" w:space="0"/>
              <w:right w:val="single" w:color="000000" w:sz="4" w:space="0"/>
            </w:tcBorders>
            <w:noWrap/>
            <w:vAlign w:val="center"/>
          </w:tcPr>
          <w:p w14:paraId="403B20EA">
            <w:pPr>
              <w:textAlignment w:val="center"/>
              <w:rPr>
                <w:rFonts w:cs="Times New Roman"/>
                <w:color w:val="000000" w:themeColor="text1"/>
                <w14:textFill>
                  <w14:solidFill>
                    <w14:schemeClr w14:val="tx1"/>
                  </w14:solidFill>
                </w14:textFill>
              </w:rPr>
            </w:pPr>
            <w:r>
              <w:rPr>
                <w:rFonts w:cs="Times New Roman"/>
                <w:color w:val="000000" w:themeColor="text1"/>
                <w:kern w:val="0"/>
                <w:lang w:bidi="ar"/>
                <w14:textFill>
                  <w14:solidFill>
                    <w14:schemeClr w14:val="tx1"/>
                  </w14:solidFill>
                </w14:textFill>
              </w:rPr>
              <w:t>合计</w:t>
            </w:r>
          </w:p>
        </w:tc>
        <w:tc>
          <w:tcPr>
            <w:tcW w:w="3590" w:type="pct"/>
            <w:gridSpan w:val="6"/>
            <w:tcBorders>
              <w:top w:val="single" w:color="000000" w:sz="4" w:space="0"/>
              <w:left w:val="single" w:color="000000" w:sz="4" w:space="0"/>
              <w:bottom w:val="single" w:color="000000" w:sz="4" w:space="0"/>
              <w:right w:val="single" w:color="000000" w:sz="4" w:space="0"/>
            </w:tcBorders>
            <w:noWrap/>
            <w:vAlign w:val="center"/>
          </w:tcPr>
          <w:p w14:paraId="6CD72150">
            <w:pPr>
              <w:textAlignment w:val="center"/>
              <w:rPr>
                <w:rFonts w:cs="Times New Roman"/>
                <w:color w:val="000000" w:themeColor="text1"/>
                <w14:textFill>
                  <w14:solidFill>
                    <w14:schemeClr w14:val="tx1"/>
                  </w14:solidFill>
                </w14:textFill>
              </w:rPr>
            </w:pPr>
            <w:r>
              <w:rPr>
                <w:rFonts w:hint="eastAsia" w:cs="Times New Roman"/>
                <w:color w:val="000000" w:themeColor="text1"/>
                <w:kern w:val="0"/>
                <w:lang w:bidi="ar"/>
                <w14:textFill>
                  <w14:solidFill>
                    <w14:schemeClr w14:val="tx1"/>
                  </w14:solidFill>
                </w14:textFill>
              </w:rPr>
              <w:t>12272</w:t>
            </w:r>
          </w:p>
        </w:tc>
        <w:tc>
          <w:tcPr>
            <w:tcW w:w="524" w:type="pct"/>
            <w:vMerge w:val="continue"/>
            <w:tcBorders>
              <w:top w:val="single" w:color="000000" w:sz="4" w:space="0"/>
              <w:left w:val="single" w:color="000000" w:sz="4" w:space="0"/>
              <w:bottom w:val="single" w:color="000000" w:sz="4" w:space="0"/>
              <w:right w:val="single" w:color="000000" w:sz="4" w:space="0"/>
            </w:tcBorders>
            <w:vAlign w:val="center"/>
          </w:tcPr>
          <w:p w14:paraId="56926978">
            <w:pPr>
              <w:rPr>
                <w:rFonts w:cs="Times New Roman"/>
                <w:color w:val="FF0000"/>
              </w:rPr>
            </w:pPr>
          </w:p>
        </w:tc>
      </w:tr>
    </w:tbl>
    <w:p w14:paraId="4457F333">
      <w:pPr>
        <w:spacing w:before="156" w:beforeLines="50" w:line="360" w:lineRule="auto"/>
        <w:jc w:val="both"/>
        <w:outlineLvl w:val="1"/>
        <w:rPr>
          <w:rFonts w:eastAsia="宋体" w:cs="Times New Roman"/>
          <w:b/>
          <w:bCs/>
          <w:color w:val="000000" w:themeColor="text1"/>
          <w:sz w:val="32"/>
          <w:szCs w:val="32"/>
          <w14:textFill>
            <w14:solidFill>
              <w14:schemeClr w14:val="tx1"/>
            </w14:solidFill>
          </w14:textFill>
        </w:rPr>
      </w:pPr>
      <w:bookmarkStart w:id="20" w:name="_Toc16463"/>
      <w:r>
        <w:rPr>
          <w:rFonts w:eastAsia="宋体" w:cs="Times New Roman"/>
          <w:b/>
          <w:bCs/>
          <w:color w:val="000000" w:themeColor="text1"/>
          <w:sz w:val="32"/>
          <w:szCs w:val="32"/>
          <w14:textFill>
            <w14:solidFill>
              <w14:schemeClr w14:val="tx1"/>
            </w14:solidFill>
          </w14:textFill>
        </w:rPr>
        <w:t>二、矿山地质环境问题预测</w:t>
      </w:r>
      <w:bookmarkEnd w:id="20"/>
    </w:p>
    <w:p w14:paraId="0A0FDEC7">
      <w:pPr>
        <w:pStyle w:val="16"/>
        <w:spacing w:line="360" w:lineRule="auto"/>
        <w:ind w:firstLine="480"/>
        <w:jc w:val="left"/>
        <w:rPr>
          <w:rFonts w:eastAsia="宋体" w:cs="Times New Roman"/>
          <w:color w:val="000000" w:themeColor="text1"/>
          <w:sz w:val="24"/>
          <w:szCs w:val="20"/>
          <w14:textFill>
            <w14:solidFill>
              <w14:schemeClr w14:val="tx1"/>
            </w14:solidFill>
          </w14:textFill>
        </w:rPr>
      </w:pPr>
      <w:r>
        <w:rPr>
          <w:rFonts w:hint="eastAsia" w:eastAsia="宋体" w:cs="Times New Roman"/>
          <w:color w:val="000000" w:themeColor="text1"/>
          <w:sz w:val="24"/>
          <w:szCs w:val="20"/>
          <w14:textFill>
            <w14:solidFill>
              <w14:schemeClr w14:val="tx1"/>
            </w14:solidFill>
          </w14:textFill>
        </w:rPr>
        <w:t>矿山目前处于停产状态。本年度未进行生产计划，本年度无新增工程单元。预测矿山地质环境问题与现状基本一致。</w:t>
      </w:r>
    </w:p>
    <w:p w14:paraId="230BDB70">
      <w:pPr>
        <w:rPr>
          <w:rFonts w:eastAsia="宋体" w:cs="Times New Roman"/>
          <w:b/>
          <w:bCs/>
          <w:color w:val="FF0000"/>
          <w:sz w:val="36"/>
          <w:szCs w:val="36"/>
        </w:rPr>
      </w:pPr>
      <w:bookmarkStart w:id="21" w:name="_Toc27200"/>
      <w:bookmarkStart w:id="22" w:name="_Toc19890"/>
      <w:r>
        <w:rPr>
          <w:rFonts w:eastAsia="宋体" w:cs="Times New Roman"/>
          <w:b/>
          <w:bCs/>
          <w:color w:val="FF0000"/>
          <w:sz w:val="36"/>
          <w:szCs w:val="36"/>
        </w:rPr>
        <w:br w:type="page"/>
      </w:r>
    </w:p>
    <w:p w14:paraId="08B15E3F">
      <w:pPr>
        <w:spacing w:line="360" w:lineRule="auto"/>
        <w:outlineLvl w:val="0"/>
        <w:rPr>
          <w:rFonts w:eastAsia="宋体" w:cs="Times New Roman"/>
          <w:b/>
          <w:bCs/>
          <w:color w:val="000000" w:themeColor="text1"/>
          <w:sz w:val="36"/>
          <w:szCs w:val="36"/>
          <w14:textFill>
            <w14:solidFill>
              <w14:schemeClr w14:val="tx1"/>
            </w14:solidFill>
          </w14:textFill>
        </w:rPr>
      </w:pPr>
      <w:r>
        <w:rPr>
          <w:rFonts w:eastAsia="宋体" w:cs="Times New Roman"/>
          <w:b/>
          <w:bCs/>
          <w:color w:val="000000" w:themeColor="text1"/>
          <w:sz w:val="36"/>
          <w:szCs w:val="36"/>
          <w14:textFill>
            <w14:solidFill>
              <w14:schemeClr w14:val="tx1"/>
            </w14:solidFill>
          </w14:textFill>
        </w:rPr>
        <w:t>第五章  矿山地质环境防治工程</w:t>
      </w:r>
      <w:bookmarkEnd w:id="21"/>
      <w:bookmarkEnd w:id="22"/>
    </w:p>
    <w:p w14:paraId="45BDE062">
      <w:pPr>
        <w:spacing w:line="360" w:lineRule="auto"/>
        <w:jc w:val="both"/>
        <w:outlineLvl w:val="1"/>
        <w:rPr>
          <w:rFonts w:eastAsia="宋体" w:cs="Times New Roman"/>
          <w:b/>
          <w:bCs/>
          <w:color w:val="000000" w:themeColor="text1"/>
          <w:sz w:val="32"/>
          <w:szCs w:val="32"/>
          <w14:textFill>
            <w14:solidFill>
              <w14:schemeClr w14:val="tx1"/>
            </w14:solidFill>
          </w14:textFill>
        </w:rPr>
      </w:pPr>
      <w:bookmarkStart w:id="23" w:name="_Toc3152"/>
      <w:bookmarkStart w:id="24" w:name="_Toc1322"/>
      <w:r>
        <w:rPr>
          <w:rFonts w:eastAsia="宋体" w:cs="Times New Roman"/>
          <w:b/>
          <w:bCs/>
          <w:color w:val="000000" w:themeColor="text1"/>
          <w:sz w:val="32"/>
          <w:szCs w:val="32"/>
          <w14:textFill>
            <w14:solidFill>
              <w14:schemeClr w14:val="tx1"/>
            </w14:solidFill>
          </w14:textFill>
        </w:rPr>
        <w:t>一、矿山地质环境治理区的确定</w:t>
      </w:r>
      <w:bookmarkEnd w:id="23"/>
      <w:bookmarkEnd w:id="24"/>
    </w:p>
    <w:p w14:paraId="3071F9CD">
      <w:pPr>
        <w:adjustRightInd/>
        <w:spacing w:line="360" w:lineRule="auto"/>
        <w:ind w:firstLine="480"/>
        <w:jc w:val="left"/>
        <w:rPr>
          <w:rFonts w:eastAsia="宋体" w:cs="Times New Roman"/>
          <w:color w:val="000000" w:themeColor="text1"/>
          <w:sz w:val="24"/>
          <w:szCs w:val="24"/>
          <w14:textFill>
            <w14:solidFill>
              <w14:schemeClr w14:val="tx1"/>
            </w14:solidFill>
          </w14:textFill>
        </w:rPr>
      </w:pPr>
      <w:r>
        <w:rPr>
          <w:rFonts w:eastAsia="宋体" w:cs="Times New Roman"/>
          <w:color w:val="000000" w:themeColor="text1"/>
          <w:sz w:val="24"/>
          <w:szCs w:val="24"/>
          <w14:textFill>
            <w14:solidFill>
              <w14:schemeClr w14:val="tx1"/>
            </w14:solidFill>
          </w14:textFill>
        </w:rPr>
        <w:t>本着坚持“边开采，边治理”、“预防为主，防治结合”、“在保护中开发，在开发中保护”、“谁损毁，谁复垦”的原则，矿山本年度不设开采计划，无新建工程。本年度治理计划为对矿区地形地貌景观、土地资源进行监测。</w:t>
      </w:r>
    </w:p>
    <w:p w14:paraId="0436B4B4">
      <w:pPr>
        <w:adjustRightInd/>
        <w:spacing w:line="360" w:lineRule="auto"/>
        <w:ind w:firstLine="480"/>
        <w:jc w:val="left"/>
        <w:rPr>
          <w:rFonts w:eastAsia="宋体" w:cs="Times New Roman"/>
          <w:color w:val="FF0000"/>
          <w:sz w:val="24"/>
          <w:szCs w:val="24"/>
        </w:rPr>
      </w:pPr>
      <w:r>
        <w:rPr>
          <w:rFonts w:eastAsia="宋体" w:cs="Times New Roman"/>
          <w:color w:val="000000" w:themeColor="text1"/>
          <w:sz w:val="24"/>
          <w:szCs w:val="24"/>
          <w14:textFill>
            <w14:solidFill>
              <w14:schemeClr w14:val="tx1"/>
            </w14:solidFill>
          </w14:textFill>
        </w:rPr>
        <w:t>综上，确定本年度的治理工程为对矿区地形地貌景观、土地资源进行监测。</w:t>
      </w:r>
    </w:p>
    <w:p w14:paraId="5FC0A838">
      <w:pPr>
        <w:spacing w:line="360" w:lineRule="auto"/>
        <w:jc w:val="both"/>
        <w:outlineLvl w:val="1"/>
        <w:rPr>
          <w:rFonts w:eastAsia="宋体" w:cs="Times New Roman"/>
          <w:b/>
          <w:bCs/>
          <w:color w:val="000000" w:themeColor="text1"/>
          <w:sz w:val="32"/>
          <w:szCs w:val="32"/>
          <w14:textFill>
            <w14:solidFill>
              <w14:schemeClr w14:val="tx1"/>
            </w14:solidFill>
          </w14:textFill>
        </w:rPr>
      </w:pPr>
      <w:bookmarkStart w:id="25" w:name="_Toc10123"/>
      <w:bookmarkStart w:id="26" w:name="_Toc32084"/>
      <w:r>
        <w:rPr>
          <w:rFonts w:eastAsia="宋体" w:cs="Times New Roman"/>
          <w:b/>
          <w:bCs/>
          <w:color w:val="000000" w:themeColor="text1"/>
          <w:sz w:val="32"/>
          <w:szCs w:val="32"/>
          <w14:textFill>
            <w14:solidFill>
              <w14:schemeClr w14:val="tx1"/>
            </w14:solidFill>
          </w14:textFill>
        </w:rPr>
        <w:t>二、矿山地质环境治理工程</w:t>
      </w:r>
      <w:bookmarkEnd w:id="25"/>
      <w:bookmarkEnd w:id="26"/>
    </w:p>
    <w:p w14:paraId="0828CACD">
      <w:pPr>
        <w:adjustRightInd/>
        <w:spacing w:line="360" w:lineRule="auto"/>
        <w:ind w:firstLine="480"/>
        <w:jc w:val="left"/>
        <w:rPr>
          <w:rFonts w:cs="Times New Roman"/>
          <w:bCs/>
          <w:color w:val="000000" w:themeColor="text1"/>
          <w:sz w:val="24"/>
          <w14:textFill>
            <w14:solidFill>
              <w14:schemeClr w14:val="tx1"/>
            </w14:solidFill>
          </w14:textFill>
        </w:rPr>
      </w:pPr>
      <w:r>
        <w:rPr>
          <w:rFonts w:cs="Times New Roman"/>
          <w:bCs/>
          <w:color w:val="000000" w:themeColor="text1"/>
          <w:sz w:val="24"/>
          <w14:textFill>
            <w14:solidFill>
              <w14:schemeClr w14:val="tx1"/>
            </w14:solidFill>
          </w14:textFill>
        </w:rPr>
        <w:t>本年度设计矿山地质环境治理内容为：对地形地貌景观及土地资源进行监测、对矿区及周边植被进行管护。</w:t>
      </w:r>
    </w:p>
    <w:p w14:paraId="5CDBF59E">
      <w:pPr>
        <w:spacing w:line="360" w:lineRule="auto"/>
        <w:jc w:val="both"/>
        <w:outlineLvl w:val="1"/>
        <w:rPr>
          <w:rFonts w:eastAsia="宋体" w:cs="Times New Roman"/>
          <w:b/>
          <w:color w:val="000000" w:themeColor="text1"/>
          <w:spacing w:val="-4"/>
          <w:sz w:val="13"/>
          <w:szCs w:val="13"/>
          <w14:textFill>
            <w14:solidFill>
              <w14:schemeClr w14:val="tx1"/>
            </w14:solidFill>
          </w14:textFill>
        </w:rPr>
      </w:pPr>
      <w:bookmarkStart w:id="27" w:name="_Toc16959"/>
      <w:bookmarkStart w:id="28" w:name="_Toc16419"/>
      <w:r>
        <w:rPr>
          <w:rFonts w:eastAsia="宋体" w:cs="Times New Roman"/>
          <w:b/>
          <w:bCs/>
          <w:color w:val="000000" w:themeColor="text1"/>
          <w:sz w:val="32"/>
          <w:szCs w:val="32"/>
          <w14:textFill>
            <w14:solidFill>
              <w14:schemeClr w14:val="tx1"/>
            </w14:solidFill>
          </w14:textFill>
        </w:rPr>
        <w:t>三、矿山地质环境监测工程</w:t>
      </w:r>
      <w:bookmarkEnd w:id="27"/>
      <w:bookmarkEnd w:id="28"/>
    </w:p>
    <w:p w14:paraId="215621D7">
      <w:pPr>
        <w:adjustRightInd/>
        <w:spacing w:line="360" w:lineRule="auto"/>
        <w:ind w:firstLine="480"/>
        <w:jc w:val="left"/>
        <w:rPr>
          <w:rFonts w:eastAsia="宋体" w:cs="Times New Roman"/>
          <w:color w:val="000000" w:themeColor="text1"/>
          <w:sz w:val="24"/>
          <w:szCs w:val="24"/>
          <w14:textFill>
            <w14:solidFill>
              <w14:schemeClr w14:val="tx1"/>
            </w14:solidFill>
          </w14:textFill>
        </w:rPr>
      </w:pPr>
      <w:r>
        <w:rPr>
          <w:rFonts w:cs="Times New Roman"/>
          <w:color w:val="000000" w:themeColor="text1"/>
          <w:sz w:val="24"/>
          <w14:textFill>
            <w14:solidFill>
              <w14:schemeClr w14:val="tx1"/>
            </w14:solidFill>
          </w14:textFill>
        </w:rPr>
        <w:t>为了切实加强矿山环境保护，矿山存在的地质环境问题主要有：采空区地质灾害、地形地貌景观影响及土地资源破坏。针对以上矿山地质环境问题进行监测工作布置，进行重点监测。本年度具体监测方案及内容如下：</w:t>
      </w:r>
    </w:p>
    <w:p w14:paraId="3787CA32">
      <w:pPr>
        <w:pStyle w:val="12"/>
        <w:spacing w:after="0" w:line="360" w:lineRule="auto"/>
        <w:ind w:firstLine="482" w:firstLineChars="200"/>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（一）</w:t>
      </w:r>
      <w:r>
        <w:rPr>
          <w:b/>
          <w:color w:val="000000" w:themeColor="text1"/>
          <w:sz w:val="24"/>
          <w14:textFill>
            <w14:solidFill>
              <w14:schemeClr w14:val="tx1"/>
            </w14:solidFill>
          </w14:textFill>
        </w:rPr>
        <w:t>地质灾害监测</w:t>
      </w:r>
    </w:p>
    <w:p w14:paraId="6E36AED4">
      <w:pPr>
        <w:pStyle w:val="12"/>
        <w:spacing w:after="0" w:line="360" w:lineRule="auto"/>
        <w:ind w:firstLine="480" w:firstLineChars="200"/>
        <w:jc w:val="left"/>
        <w:rPr>
          <w:rFonts w:eastAsia="宋体" w:cs="Times New Roman"/>
          <w:color w:val="000000" w:themeColor="text1"/>
          <w:sz w:val="24"/>
          <w:szCs w:val="24"/>
          <w14:textFill>
            <w14:solidFill>
              <w14:schemeClr w14:val="tx1"/>
            </w14:solidFill>
          </w14:textFill>
        </w:rPr>
      </w:pPr>
      <w:r>
        <w:rPr>
          <w:rFonts w:eastAsia="宋体" w:cs="Times New Roman"/>
          <w:color w:val="000000" w:themeColor="text1"/>
          <w:sz w:val="24"/>
          <w:szCs w:val="24"/>
          <w14:textFill>
            <w14:solidFill>
              <w14:schemeClr w14:val="tx1"/>
            </w14:solidFill>
          </w14:textFill>
        </w:rPr>
        <w:t>对采空区上面设立地质灾害监测点进行定期监测，针对地面塌陷地质灾害发生的特点，监测主要内容垂直位移量、水平位移量，共设置3个监测点和一个监测基点。</w:t>
      </w:r>
    </w:p>
    <w:p w14:paraId="3D32F596">
      <w:pPr>
        <w:spacing w:line="360" w:lineRule="auto"/>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表</w:t>
      </w:r>
      <w:r>
        <w:rPr>
          <w:rFonts w:hint="eastAsia" w:eastAsia="黑体"/>
          <w:color w:val="000000" w:themeColor="text1"/>
          <w:sz w:val="24"/>
          <w14:textFill>
            <w14:solidFill>
              <w14:schemeClr w14:val="tx1"/>
            </w14:solidFill>
          </w14:textFill>
        </w:rPr>
        <w:t>5-1</w:t>
      </w:r>
      <w:r>
        <w:rPr>
          <w:rFonts w:eastAsia="黑体"/>
          <w:color w:val="000000" w:themeColor="text1"/>
          <w:sz w:val="24"/>
          <w14:textFill>
            <w14:solidFill>
              <w14:schemeClr w14:val="tx1"/>
            </w14:solidFill>
          </w14:textFill>
        </w:rPr>
        <w:t xml:space="preserve">  地质灾害监测点坐标表</w:t>
      </w:r>
    </w:p>
    <w:tbl>
      <w:tblPr>
        <w:tblStyle w:val="13"/>
        <w:tblW w:w="4888" w:type="pct"/>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311"/>
        <w:gridCol w:w="1531"/>
        <w:gridCol w:w="1575"/>
        <w:gridCol w:w="1365"/>
        <w:gridCol w:w="1390"/>
      </w:tblGrid>
      <w:tr w14:paraId="31A3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95" w:type="pct"/>
            <w:vMerge w:val="restart"/>
            <w:tcBorders>
              <w:tl2br w:val="nil"/>
              <w:tr2bl w:val="nil"/>
            </w:tcBorders>
            <w:vAlign w:val="center"/>
          </w:tcPr>
          <w:p w14:paraId="04BC8DCB">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拐点编号</w:t>
            </w:r>
          </w:p>
        </w:tc>
        <w:tc>
          <w:tcPr>
            <w:tcW w:w="1706" w:type="pct"/>
            <w:gridSpan w:val="2"/>
            <w:tcBorders>
              <w:tl2br w:val="nil"/>
              <w:tr2bl w:val="nil"/>
            </w:tcBorders>
            <w:noWrap/>
            <w:vAlign w:val="center"/>
          </w:tcPr>
          <w:p w14:paraId="68E07014">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2000国家大地坐标系</w:t>
            </w:r>
          </w:p>
        </w:tc>
        <w:tc>
          <w:tcPr>
            <w:tcW w:w="945" w:type="pct"/>
            <w:vMerge w:val="restart"/>
            <w:tcBorders>
              <w:tl2br w:val="nil"/>
              <w:tr2bl w:val="nil"/>
            </w:tcBorders>
            <w:vAlign w:val="center"/>
          </w:tcPr>
          <w:p w14:paraId="55DEF23B">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拐点编号</w:t>
            </w:r>
          </w:p>
        </w:tc>
        <w:tc>
          <w:tcPr>
            <w:tcW w:w="1653" w:type="pct"/>
            <w:gridSpan w:val="2"/>
            <w:tcBorders>
              <w:tl2br w:val="nil"/>
              <w:tr2bl w:val="nil"/>
            </w:tcBorders>
            <w:noWrap/>
            <w:vAlign w:val="center"/>
          </w:tcPr>
          <w:p w14:paraId="15D01AC5">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2000国家大地坐标系</w:t>
            </w:r>
          </w:p>
        </w:tc>
      </w:tr>
      <w:tr w14:paraId="0F7E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95" w:type="pct"/>
            <w:vMerge w:val="continue"/>
            <w:tcBorders>
              <w:tl2br w:val="nil"/>
              <w:tr2bl w:val="nil"/>
            </w:tcBorders>
            <w:vAlign w:val="center"/>
          </w:tcPr>
          <w:p w14:paraId="4A752886">
            <w:pPr>
              <w:adjustRightInd/>
              <w:snapToGrid/>
              <w:rPr>
                <w:rFonts w:eastAsia="宋体" w:cs="Times New Roman"/>
                <w:color w:val="000000" w:themeColor="text1"/>
                <w:kern w:val="0"/>
                <w14:textFill>
                  <w14:solidFill>
                    <w14:schemeClr w14:val="tx1"/>
                  </w14:solidFill>
                </w14:textFill>
              </w:rPr>
            </w:pPr>
          </w:p>
        </w:tc>
        <w:tc>
          <w:tcPr>
            <w:tcW w:w="787" w:type="pct"/>
            <w:tcBorders>
              <w:tl2br w:val="nil"/>
              <w:tr2bl w:val="nil"/>
            </w:tcBorders>
            <w:noWrap/>
            <w:vAlign w:val="center"/>
          </w:tcPr>
          <w:p w14:paraId="0461DA62">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X</w:t>
            </w:r>
          </w:p>
        </w:tc>
        <w:tc>
          <w:tcPr>
            <w:tcW w:w="918" w:type="pct"/>
            <w:tcBorders>
              <w:tl2br w:val="nil"/>
              <w:tr2bl w:val="nil"/>
            </w:tcBorders>
            <w:noWrap/>
            <w:vAlign w:val="center"/>
          </w:tcPr>
          <w:p w14:paraId="3B8C4CDA">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Y</w:t>
            </w:r>
          </w:p>
        </w:tc>
        <w:tc>
          <w:tcPr>
            <w:tcW w:w="945" w:type="pct"/>
            <w:vMerge w:val="continue"/>
            <w:tcBorders>
              <w:tl2br w:val="nil"/>
              <w:tr2bl w:val="nil"/>
            </w:tcBorders>
            <w:vAlign w:val="center"/>
          </w:tcPr>
          <w:p w14:paraId="0087EC1C">
            <w:pPr>
              <w:adjustRightInd/>
              <w:snapToGrid/>
              <w:rPr>
                <w:rFonts w:eastAsia="宋体" w:cs="Times New Roman"/>
                <w:color w:val="000000" w:themeColor="text1"/>
                <w:kern w:val="0"/>
                <w14:textFill>
                  <w14:solidFill>
                    <w14:schemeClr w14:val="tx1"/>
                  </w14:solidFill>
                </w14:textFill>
              </w:rPr>
            </w:pPr>
          </w:p>
        </w:tc>
        <w:tc>
          <w:tcPr>
            <w:tcW w:w="819" w:type="pct"/>
            <w:tcBorders>
              <w:tl2br w:val="nil"/>
              <w:tr2bl w:val="nil"/>
            </w:tcBorders>
            <w:noWrap/>
            <w:vAlign w:val="center"/>
          </w:tcPr>
          <w:p w14:paraId="588151B3">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X</w:t>
            </w:r>
          </w:p>
        </w:tc>
        <w:tc>
          <w:tcPr>
            <w:tcW w:w="834" w:type="pct"/>
            <w:tcBorders>
              <w:tl2br w:val="nil"/>
              <w:tr2bl w:val="nil"/>
            </w:tcBorders>
            <w:noWrap/>
            <w:vAlign w:val="center"/>
          </w:tcPr>
          <w:p w14:paraId="0AD4A419">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Y</w:t>
            </w:r>
          </w:p>
        </w:tc>
      </w:tr>
      <w:tr w14:paraId="107F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95" w:type="pct"/>
            <w:tcBorders>
              <w:tl2br w:val="nil"/>
              <w:tr2bl w:val="nil"/>
            </w:tcBorders>
            <w:noWrap/>
            <w:vAlign w:val="center"/>
          </w:tcPr>
          <w:p w14:paraId="2DE1517C">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JC</w:t>
            </w:r>
            <w:r>
              <w:rPr>
                <w:rFonts w:hint="eastAsia" w:eastAsia="宋体" w:cs="Times New Roman"/>
                <w:color w:val="000000" w:themeColor="text1"/>
                <w:kern w:val="0"/>
                <w14:textFill>
                  <w14:solidFill>
                    <w14:schemeClr w14:val="tx1"/>
                  </w14:solidFill>
                </w14:textFill>
              </w:rPr>
              <w:t>1</w:t>
            </w:r>
          </w:p>
        </w:tc>
        <w:tc>
          <w:tcPr>
            <w:tcW w:w="787" w:type="pct"/>
            <w:tcBorders>
              <w:tl2br w:val="nil"/>
              <w:tr2bl w:val="nil"/>
            </w:tcBorders>
            <w:noWrap/>
            <w:vAlign w:val="center"/>
          </w:tcPr>
          <w:p w14:paraId="6FB85053">
            <w:pPr>
              <w:adjustRightInd/>
              <w:snapToGrid/>
              <w:textAlignment w:val="center"/>
              <w:rPr>
                <w:rFonts w:eastAsia="宋体" w:cs="Times New Roman"/>
                <w:color w:val="000000" w:themeColor="text1"/>
                <w:kern w:val="0"/>
                <w14:textFill>
                  <w14:solidFill>
                    <w14:schemeClr w14:val="tx1"/>
                  </w14:solidFill>
                </w14:textFill>
              </w:rPr>
            </w:pPr>
            <w:r>
              <w:rPr>
                <w:rFonts w:hint="eastAsia" w:eastAsia="宋体" w:cs="Times New Roman"/>
                <w:color w:val="000000" w:themeColor="text1"/>
                <w:kern w:val="0"/>
                <w14:textFill>
                  <w14:solidFill>
                    <w14:schemeClr w14:val="tx1"/>
                  </w14:solidFill>
                </w14:textFill>
              </w:rPr>
              <w:t>4699093</w:t>
            </w:r>
          </w:p>
        </w:tc>
        <w:tc>
          <w:tcPr>
            <w:tcW w:w="918" w:type="pct"/>
            <w:tcBorders>
              <w:tl2br w:val="nil"/>
              <w:tr2bl w:val="nil"/>
            </w:tcBorders>
            <w:noWrap/>
            <w:vAlign w:val="center"/>
          </w:tcPr>
          <w:p w14:paraId="4CF2C7EA">
            <w:pPr>
              <w:adjustRightInd/>
              <w:snapToGrid/>
              <w:textAlignment w:val="center"/>
              <w:rPr>
                <w:rFonts w:eastAsia="宋体" w:cs="Times New Roman"/>
                <w:color w:val="000000" w:themeColor="text1"/>
                <w:kern w:val="0"/>
                <w14:textFill>
                  <w14:solidFill>
                    <w14:schemeClr w14:val="tx1"/>
                  </w14:solidFill>
                </w14:textFill>
              </w:rPr>
            </w:pPr>
            <w:r>
              <w:rPr>
                <w:rFonts w:hint="eastAsia" w:eastAsia="宋体" w:cs="Times New Roman"/>
                <w:color w:val="000000" w:themeColor="text1"/>
                <w:kern w:val="0"/>
                <w14:textFill>
                  <w14:solidFill>
                    <w14:schemeClr w14:val="tx1"/>
                  </w14:solidFill>
                </w14:textFill>
              </w:rPr>
              <w:t>40391082</w:t>
            </w:r>
          </w:p>
        </w:tc>
        <w:tc>
          <w:tcPr>
            <w:tcW w:w="945" w:type="pct"/>
            <w:tcBorders>
              <w:tl2br w:val="nil"/>
              <w:tr2bl w:val="nil"/>
            </w:tcBorders>
            <w:noWrap/>
            <w:vAlign w:val="center"/>
          </w:tcPr>
          <w:p w14:paraId="324386AE">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JC</w:t>
            </w:r>
            <w:r>
              <w:rPr>
                <w:rFonts w:hint="eastAsia" w:eastAsia="宋体" w:cs="Times New Roman"/>
                <w:color w:val="000000" w:themeColor="text1"/>
                <w:kern w:val="0"/>
                <w14:textFill>
                  <w14:solidFill>
                    <w14:schemeClr w14:val="tx1"/>
                  </w14:solidFill>
                </w14:textFill>
              </w:rPr>
              <w:t>3</w:t>
            </w:r>
          </w:p>
        </w:tc>
        <w:tc>
          <w:tcPr>
            <w:tcW w:w="819" w:type="pct"/>
            <w:tcBorders>
              <w:tl2br w:val="nil"/>
              <w:tr2bl w:val="nil"/>
            </w:tcBorders>
            <w:noWrap/>
            <w:vAlign w:val="center"/>
          </w:tcPr>
          <w:p w14:paraId="00578BCB">
            <w:pPr>
              <w:adjustRightInd/>
              <w:snapToGrid/>
              <w:textAlignment w:val="center"/>
              <w:rPr>
                <w:rFonts w:eastAsia="宋体" w:cs="Times New Roman"/>
                <w:color w:val="000000" w:themeColor="text1"/>
                <w:kern w:val="0"/>
                <w14:textFill>
                  <w14:solidFill>
                    <w14:schemeClr w14:val="tx1"/>
                  </w14:solidFill>
                </w14:textFill>
              </w:rPr>
            </w:pPr>
            <w:r>
              <w:rPr>
                <w:rFonts w:hint="eastAsia" w:eastAsia="宋体" w:cs="Times New Roman"/>
                <w:color w:val="000000" w:themeColor="text1"/>
                <w:kern w:val="0"/>
                <w14:textFill>
                  <w14:solidFill>
                    <w14:schemeClr w14:val="tx1"/>
                  </w14:solidFill>
                </w14:textFill>
              </w:rPr>
              <w:t>4699059</w:t>
            </w:r>
          </w:p>
        </w:tc>
        <w:tc>
          <w:tcPr>
            <w:tcW w:w="834" w:type="pct"/>
            <w:tcBorders>
              <w:tl2br w:val="nil"/>
              <w:tr2bl w:val="nil"/>
            </w:tcBorders>
            <w:noWrap/>
            <w:vAlign w:val="center"/>
          </w:tcPr>
          <w:p w14:paraId="618079ED">
            <w:pPr>
              <w:adjustRightInd/>
              <w:snapToGrid/>
              <w:textAlignment w:val="center"/>
              <w:rPr>
                <w:rFonts w:eastAsia="宋体" w:cs="Times New Roman"/>
                <w:color w:val="000000" w:themeColor="text1"/>
                <w:kern w:val="0"/>
                <w14:textFill>
                  <w14:solidFill>
                    <w14:schemeClr w14:val="tx1"/>
                  </w14:solidFill>
                </w14:textFill>
              </w:rPr>
            </w:pPr>
            <w:r>
              <w:rPr>
                <w:rFonts w:hint="eastAsia" w:eastAsia="宋体" w:cs="Times New Roman"/>
                <w:color w:val="000000" w:themeColor="text1"/>
                <w:kern w:val="0"/>
                <w14:textFill>
                  <w14:solidFill>
                    <w14:schemeClr w14:val="tx1"/>
                  </w14:solidFill>
                </w14:textFill>
              </w:rPr>
              <w:t>40391104</w:t>
            </w:r>
          </w:p>
        </w:tc>
      </w:tr>
      <w:tr w14:paraId="7310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95" w:type="pct"/>
            <w:tcBorders>
              <w:tl2br w:val="nil"/>
              <w:tr2bl w:val="nil"/>
            </w:tcBorders>
            <w:noWrap/>
            <w:vAlign w:val="center"/>
          </w:tcPr>
          <w:p w14:paraId="5E7AF583">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JC</w:t>
            </w:r>
            <w:r>
              <w:rPr>
                <w:rFonts w:hint="eastAsia" w:eastAsia="宋体" w:cs="Times New Roman"/>
                <w:color w:val="000000" w:themeColor="text1"/>
                <w:kern w:val="0"/>
                <w14:textFill>
                  <w14:solidFill>
                    <w14:schemeClr w14:val="tx1"/>
                  </w14:solidFill>
                </w14:textFill>
              </w:rPr>
              <w:t>2</w:t>
            </w:r>
          </w:p>
        </w:tc>
        <w:tc>
          <w:tcPr>
            <w:tcW w:w="787" w:type="pct"/>
            <w:tcBorders>
              <w:tl2br w:val="nil"/>
              <w:tr2bl w:val="nil"/>
            </w:tcBorders>
            <w:noWrap/>
            <w:vAlign w:val="center"/>
          </w:tcPr>
          <w:p w14:paraId="6ABCB701">
            <w:pPr>
              <w:adjustRightInd/>
              <w:snapToGrid/>
              <w:textAlignment w:val="center"/>
              <w:rPr>
                <w:rFonts w:eastAsia="宋体" w:cs="Times New Roman"/>
                <w:color w:val="000000" w:themeColor="text1"/>
                <w:kern w:val="0"/>
                <w14:textFill>
                  <w14:solidFill>
                    <w14:schemeClr w14:val="tx1"/>
                  </w14:solidFill>
                </w14:textFill>
              </w:rPr>
            </w:pPr>
            <w:r>
              <w:rPr>
                <w:rFonts w:hint="eastAsia" w:eastAsia="宋体" w:cs="Times New Roman"/>
                <w:color w:val="000000" w:themeColor="text1"/>
                <w:kern w:val="0"/>
                <w14:textFill>
                  <w14:solidFill>
                    <w14:schemeClr w14:val="tx1"/>
                  </w14:solidFill>
                </w14:textFill>
              </w:rPr>
              <w:t>4699073</w:t>
            </w:r>
          </w:p>
        </w:tc>
        <w:tc>
          <w:tcPr>
            <w:tcW w:w="918" w:type="pct"/>
            <w:tcBorders>
              <w:tl2br w:val="nil"/>
              <w:tr2bl w:val="nil"/>
            </w:tcBorders>
            <w:noWrap/>
            <w:vAlign w:val="center"/>
          </w:tcPr>
          <w:p w14:paraId="742B57C7">
            <w:pPr>
              <w:adjustRightInd/>
              <w:snapToGrid/>
              <w:textAlignment w:val="center"/>
              <w:rPr>
                <w:rFonts w:eastAsia="宋体" w:cs="Times New Roman"/>
                <w:color w:val="000000" w:themeColor="text1"/>
                <w:kern w:val="0"/>
                <w14:textFill>
                  <w14:solidFill>
                    <w14:schemeClr w14:val="tx1"/>
                  </w14:solidFill>
                </w14:textFill>
              </w:rPr>
            </w:pPr>
            <w:r>
              <w:rPr>
                <w:rFonts w:hint="eastAsia" w:eastAsia="宋体" w:cs="Times New Roman"/>
                <w:color w:val="000000" w:themeColor="text1"/>
                <w:kern w:val="0"/>
                <w14:textFill>
                  <w14:solidFill>
                    <w14:schemeClr w14:val="tx1"/>
                  </w14:solidFill>
                </w14:textFill>
              </w:rPr>
              <w:t>40391092</w:t>
            </w:r>
          </w:p>
        </w:tc>
        <w:tc>
          <w:tcPr>
            <w:tcW w:w="945" w:type="pct"/>
            <w:tcBorders>
              <w:tl2br w:val="nil"/>
              <w:tr2bl w:val="nil"/>
            </w:tcBorders>
            <w:noWrap/>
            <w:vAlign w:val="center"/>
          </w:tcPr>
          <w:p w14:paraId="2784ADB0">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JC</w:t>
            </w:r>
            <w:r>
              <w:rPr>
                <w:rFonts w:hint="eastAsia" w:eastAsia="宋体" w:cs="Times New Roman"/>
                <w:color w:val="000000" w:themeColor="text1"/>
                <w:kern w:val="0"/>
                <w14:textFill>
                  <w14:solidFill>
                    <w14:schemeClr w14:val="tx1"/>
                  </w14:solidFill>
                </w14:textFill>
              </w:rPr>
              <w:t>4</w:t>
            </w:r>
            <w:r>
              <w:rPr>
                <w:rFonts w:eastAsia="宋体" w:cs="Times New Roman"/>
                <w:color w:val="000000" w:themeColor="text1"/>
                <w:kern w:val="0"/>
                <w14:textFill>
                  <w14:solidFill>
                    <w14:schemeClr w14:val="tx1"/>
                  </w14:solidFill>
                </w14:textFill>
              </w:rPr>
              <w:t>基准点</w:t>
            </w:r>
          </w:p>
        </w:tc>
        <w:tc>
          <w:tcPr>
            <w:tcW w:w="819" w:type="pct"/>
            <w:tcBorders>
              <w:tl2br w:val="nil"/>
              <w:tr2bl w:val="nil"/>
            </w:tcBorders>
            <w:noWrap/>
            <w:vAlign w:val="center"/>
          </w:tcPr>
          <w:p w14:paraId="616476DA">
            <w:pPr>
              <w:adjustRightInd/>
              <w:snapToGrid/>
              <w:textAlignment w:val="center"/>
              <w:rPr>
                <w:rFonts w:eastAsia="宋体" w:cs="Times New Roman"/>
                <w:color w:val="000000" w:themeColor="text1"/>
                <w:kern w:val="0"/>
                <w14:textFill>
                  <w14:solidFill>
                    <w14:schemeClr w14:val="tx1"/>
                  </w14:solidFill>
                </w14:textFill>
              </w:rPr>
            </w:pPr>
            <w:r>
              <w:rPr>
                <w:rFonts w:hint="eastAsia" w:eastAsia="宋体" w:cs="Times New Roman"/>
                <w:color w:val="000000" w:themeColor="text1"/>
                <w:kern w:val="0"/>
                <w14:textFill>
                  <w14:solidFill>
                    <w14:schemeClr w14:val="tx1"/>
                  </w14:solidFill>
                </w14:textFill>
              </w:rPr>
              <w:t>4699037</w:t>
            </w:r>
          </w:p>
        </w:tc>
        <w:tc>
          <w:tcPr>
            <w:tcW w:w="834" w:type="pct"/>
            <w:tcBorders>
              <w:tl2br w:val="nil"/>
              <w:tr2bl w:val="nil"/>
            </w:tcBorders>
            <w:noWrap/>
            <w:vAlign w:val="center"/>
          </w:tcPr>
          <w:p w14:paraId="7B222834">
            <w:pPr>
              <w:adjustRightInd/>
              <w:snapToGrid/>
              <w:textAlignment w:val="center"/>
              <w:rPr>
                <w:rFonts w:eastAsia="宋体" w:cs="Times New Roman"/>
                <w:color w:val="000000" w:themeColor="text1"/>
                <w:kern w:val="0"/>
                <w14:textFill>
                  <w14:solidFill>
                    <w14:schemeClr w14:val="tx1"/>
                  </w14:solidFill>
                </w14:textFill>
              </w:rPr>
            </w:pPr>
            <w:r>
              <w:rPr>
                <w:rFonts w:hint="eastAsia" w:eastAsia="宋体" w:cs="Times New Roman"/>
                <w:color w:val="000000" w:themeColor="text1"/>
                <w:kern w:val="0"/>
                <w14:textFill>
                  <w14:solidFill>
                    <w14:schemeClr w14:val="tx1"/>
                  </w14:solidFill>
                </w14:textFill>
              </w:rPr>
              <w:t>40391201</w:t>
            </w:r>
          </w:p>
        </w:tc>
      </w:tr>
    </w:tbl>
    <w:p w14:paraId="589D02FA">
      <w:pPr>
        <w:pStyle w:val="12"/>
        <w:spacing w:before="156" w:beforeLines="50" w:after="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1、监测内容：监测点垂直、水平位移量。每次监测要有监测记录，监测记录上体现监测时间、监测人员、监测点的变化情况。</w:t>
      </w:r>
    </w:p>
    <w:p w14:paraId="2A411E0B">
      <w:pPr>
        <w:pStyle w:val="12"/>
        <w:spacing w:after="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2、监测方法：采用水准测量和GPS测量。</w:t>
      </w:r>
    </w:p>
    <w:p w14:paraId="2B568AE0">
      <w:pPr>
        <w:pStyle w:val="12"/>
        <w:spacing w:after="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3、监测频率：每月监测一次，当出现裂缝时进行加密监测。</w:t>
      </w:r>
    </w:p>
    <w:p w14:paraId="37E0620F">
      <w:pPr>
        <w:pStyle w:val="12"/>
        <w:spacing w:after="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监测点位置：均匀的分布在采空区上部，每间隔一百米左右设置一个监测点，根据《中华人民共和国地质矿产行业标准（DZ/T0283—2015）地面沉降调查与监测规范》监测点采用水泥混凝土和钢筋埋桩，监测桩埋深1～3m。</w:t>
      </w:r>
    </w:p>
    <w:p w14:paraId="623A077F">
      <w:pPr>
        <w:spacing w:line="360" w:lineRule="auto"/>
        <w:ind w:firstLine="482" w:firstLineChars="200"/>
        <w:contextualSpacing/>
        <w:jc w:val="both"/>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（二）</w:t>
      </w:r>
      <w:r>
        <w:rPr>
          <w:b/>
          <w:color w:val="000000" w:themeColor="text1"/>
          <w:sz w:val="24"/>
          <w:szCs w:val="24"/>
          <w14:textFill>
            <w14:solidFill>
              <w14:schemeClr w14:val="tx1"/>
            </w14:solidFill>
          </w14:textFill>
        </w:rPr>
        <w:t>地形地貌景观监测</w:t>
      </w:r>
    </w:p>
    <w:p w14:paraId="6884E0E6">
      <w:pPr>
        <w:spacing w:line="360" w:lineRule="auto"/>
        <w:ind w:firstLine="480" w:firstLineChars="200"/>
        <w:jc w:val="left"/>
        <w:rPr>
          <w:rFonts w:eastAsia="宋体" w:cs="Times New Roman"/>
          <w:color w:val="000000"/>
          <w:sz w:val="24"/>
          <w:szCs w:val="24"/>
        </w:rPr>
      </w:pPr>
      <w:r>
        <w:rPr>
          <w:rFonts w:eastAsia="宋体" w:cs="Times New Roman"/>
          <w:color w:val="000000"/>
          <w:sz w:val="24"/>
          <w:szCs w:val="24"/>
        </w:rPr>
        <w:t>矿山存在的地质环境问题主要为矿区对土地资源及地形地貌景观的破坏。针对以上矿山地质环境问题进行监测工作布置。具体监测方案及内容如下：</w:t>
      </w:r>
    </w:p>
    <w:p w14:paraId="16EA0552">
      <w:pPr>
        <w:spacing w:line="360" w:lineRule="auto"/>
        <w:ind w:firstLine="480" w:firstLineChars="200"/>
        <w:jc w:val="left"/>
        <w:rPr>
          <w:rFonts w:eastAsia="宋体" w:cs="Times New Roman"/>
          <w:color w:val="000000"/>
          <w:sz w:val="24"/>
          <w:szCs w:val="24"/>
        </w:rPr>
      </w:pPr>
      <w:r>
        <w:rPr>
          <w:rFonts w:eastAsia="宋体" w:cs="Times New Roman"/>
          <w:color w:val="000000"/>
          <w:sz w:val="24"/>
          <w:szCs w:val="24"/>
        </w:rPr>
        <w:t>1、监测内容</w:t>
      </w:r>
    </w:p>
    <w:p w14:paraId="45FE7E8E">
      <w:pPr>
        <w:spacing w:line="360" w:lineRule="auto"/>
        <w:ind w:firstLine="480" w:firstLineChars="200"/>
        <w:jc w:val="left"/>
        <w:rPr>
          <w:rFonts w:eastAsia="宋体" w:cs="Times New Roman"/>
          <w:color w:val="000000"/>
          <w:sz w:val="24"/>
          <w:szCs w:val="24"/>
        </w:rPr>
      </w:pPr>
      <w:r>
        <w:rPr>
          <w:rFonts w:eastAsia="宋体" w:cs="Times New Roman"/>
          <w:color w:val="000000"/>
          <w:sz w:val="24"/>
          <w:szCs w:val="24"/>
        </w:rPr>
        <w:t>针对矿山存在的及需要预防的地质环境问题，矿山地质环境监测内容主要为对矿区范围内进行路线监测，对矿区内由于自然因素或认为因素引起的地形地貌及土地植被的变化情况进行监测，防止违法占用破坏区内土地资源及地形地貌景观。</w:t>
      </w:r>
    </w:p>
    <w:p w14:paraId="281C0D50">
      <w:pPr>
        <w:spacing w:line="360" w:lineRule="auto"/>
        <w:ind w:firstLine="480" w:firstLineChars="200"/>
        <w:jc w:val="left"/>
        <w:rPr>
          <w:rFonts w:eastAsia="宋体" w:cs="Times New Roman"/>
          <w:color w:val="000000"/>
          <w:sz w:val="24"/>
          <w:szCs w:val="24"/>
        </w:rPr>
      </w:pPr>
      <w:r>
        <w:rPr>
          <w:rFonts w:eastAsia="宋体" w:cs="Times New Roman"/>
          <w:color w:val="000000"/>
          <w:sz w:val="24"/>
          <w:szCs w:val="24"/>
        </w:rPr>
        <w:t>2、监测方法</w:t>
      </w:r>
    </w:p>
    <w:p w14:paraId="3618C126">
      <w:pPr>
        <w:spacing w:line="360" w:lineRule="auto"/>
        <w:ind w:firstLine="480" w:firstLineChars="200"/>
        <w:jc w:val="left"/>
        <w:rPr>
          <w:rFonts w:eastAsia="宋体" w:cs="Times New Roman"/>
          <w:color w:val="000000"/>
          <w:sz w:val="24"/>
          <w:szCs w:val="24"/>
        </w:rPr>
      </w:pPr>
      <w:r>
        <w:rPr>
          <w:rFonts w:eastAsia="宋体" w:cs="Times New Roman"/>
          <w:color w:val="000000"/>
          <w:sz w:val="24"/>
          <w:szCs w:val="24"/>
        </w:rPr>
        <w:t>通过实地调查，采用路线调查方法，对矿区内由于自然因素或认为因素引起的地形地貌及土地植被的变化情况进行监测，采用目测法进行现场调查。</w:t>
      </w:r>
    </w:p>
    <w:p w14:paraId="25C59FE0">
      <w:pPr>
        <w:spacing w:line="360" w:lineRule="auto"/>
        <w:ind w:firstLine="480" w:firstLineChars="200"/>
        <w:jc w:val="left"/>
        <w:rPr>
          <w:rFonts w:eastAsia="宋体" w:cs="Times New Roman"/>
          <w:color w:val="000000"/>
          <w:sz w:val="24"/>
          <w:szCs w:val="24"/>
        </w:rPr>
      </w:pPr>
      <w:r>
        <w:rPr>
          <w:rFonts w:eastAsia="宋体" w:cs="Times New Roman"/>
          <w:color w:val="000000"/>
          <w:sz w:val="24"/>
          <w:szCs w:val="24"/>
        </w:rPr>
        <w:t>3、监测点的布设</w:t>
      </w:r>
    </w:p>
    <w:p w14:paraId="387F2C58">
      <w:pPr>
        <w:spacing w:line="360" w:lineRule="auto"/>
        <w:ind w:firstLine="480" w:firstLineChars="200"/>
        <w:jc w:val="left"/>
        <w:rPr>
          <w:rFonts w:eastAsia="宋体" w:cs="Times New Roman"/>
          <w:color w:val="000000"/>
          <w:sz w:val="24"/>
          <w:szCs w:val="24"/>
        </w:rPr>
      </w:pPr>
      <w:r>
        <w:rPr>
          <w:rFonts w:eastAsia="宋体" w:cs="Times New Roman"/>
          <w:color w:val="000000"/>
          <w:sz w:val="24"/>
          <w:szCs w:val="24"/>
        </w:rPr>
        <w:t>根据矿山实际情况，治理范围内共设置监测路线1条，长度</w:t>
      </w:r>
      <w:r>
        <w:rPr>
          <w:rFonts w:hint="eastAsia" w:eastAsia="宋体" w:cs="Times New Roman"/>
          <w:color w:val="000000"/>
          <w:sz w:val="24"/>
          <w:szCs w:val="24"/>
        </w:rPr>
        <w:t>550m，</w:t>
      </w:r>
      <w:r>
        <w:rPr>
          <w:rFonts w:eastAsia="宋体" w:cs="Times New Roman"/>
          <w:color w:val="000000"/>
          <w:sz w:val="24"/>
          <w:szCs w:val="24"/>
        </w:rPr>
        <w:t>监测路线可根据矿区实际情况不定期进行调整，监测范围应覆盖整个矿区，记录样表见表5-</w:t>
      </w:r>
      <w:r>
        <w:rPr>
          <w:rFonts w:hint="eastAsia" w:eastAsia="宋体" w:cs="Times New Roman"/>
          <w:color w:val="000000"/>
          <w:sz w:val="24"/>
          <w:szCs w:val="24"/>
        </w:rPr>
        <w:t>2</w:t>
      </w:r>
      <w:r>
        <w:rPr>
          <w:rFonts w:eastAsia="宋体" w:cs="Times New Roman"/>
          <w:color w:val="000000"/>
          <w:sz w:val="24"/>
          <w:szCs w:val="24"/>
        </w:rPr>
        <w:t>。</w:t>
      </w:r>
    </w:p>
    <w:p w14:paraId="02126CC6">
      <w:pPr>
        <w:spacing w:line="360" w:lineRule="auto"/>
        <w:ind w:firstLine="480" w:firstLineChars="200"/>
        <w:jc w:val="left"/>
        <w:rPr>
          <w:rFonts w:eastAsia="宋体" w:cs="Times New Roman"/>
          <w:color w:val="000000"/>
          <w:sz w:val="24"/>
          <w:szCs w:val="24"/>
        </w:rPr>
      </w:pPr>
      <w:r>
        <w:rPr>
          <w:rFonts w:eastAsia="宋体" w:cs="Times New Roman"/>
          <w:color w:val="000000"/>
          <w:sz w:val="24"/>
          <w:szCs w:val="24"/>
        </w:rPr>
        <w:t>4、监测频率</w:t>
      </w:r>
    </w:p>
    <w:p w14:paraId="33E4D5C3">
      <w:pPr>
        <w:spacing w:line="360" w:lineRule="auto"/>
        <w:ind w:firstLine="480" w:firstLineChars="200"/>
        <w:contextualSpacing/>
        <w:jc w:val="both"/>
        <w:rPr>
          <w:rFonts w:eastAsia="宋体" w:cs="Times New Roman"/>
          <w:color w:val="000000"/>
          <w:sz w:val="24"/>
          <w:szCs w:val="24"/>
        </w:rPr>
      </w:pPr>
      <w:r>
        <w:rPr>
          <w:rFonts w:eastAsia="宋体" w:cs="Times New Roman"/>
          <w:color w:val="000000"/>
          <w:sz w:val="24"/>
          <w:szCs w:val="24"/>
        </w:rPr>
        <w:t>监测频率一月一次实地观察，路线监测采用定期监测与不定期监测相结合的方式，并做好记录，装订成册，进入雨季要增加监测次数，本年度设计监测</w:t>
      </w:r>
      <w:r>
        <w:rPr>
          <w:rFonts w:hint="eastAsia" w:cs="Times New Roman"/>
          <w:color w:val="000000"/>
          <w:sz w:val="24"/>
          <w:szCs w:val="24"/>
        </w:rPr>
        <w:t>1</w:t>
      </w:r>
      <w:r>
        <w:rPr>
          <w:rFonts w:eastAsia="宋体" w:cs="Times New Roman"/>
          <w:color w:val="000000"/>
          <w:sz w:val="24"/>
          <w:szCs w:val="24"/>
        </w:rPr>
        <w:t>2次。</w:t>
      </w:r>
    </w:p>
    <w:p w14:paraId="30AEAF20">
      <w:pPr>
        <w:spacing w:line="360" w:lineRule="auto"/>
        <w:rPr>
          <w:rFonts w:ascii="黑体" w:hAnsi="黑体" w:eastAsia="黑体" w:cs="黑体"/>
          <w:color w:val="000000"/>
          <w:sz w:val="24"/>
          <w:szCs w:val="24"/>
        </w:rPr>
      </w:pPr>
      <w:r>
        <w:rPr>
          <w:rFonts w:hint="eastAsia" w:ascii="黑体" w:hAnsi="黑体" w:eastAsia="黑体" w:cs="黑体"/>
          <w:color w:val="000000"/>
          <w:sz w:val="24"/>
          <w:szCs w:val="24"/>
        </w:rPr>
        <w:t>表5-2  地形地貌景观及土地资源监测记录表</w:t>
      </w:r>
    </w:p>
    <w:p w14:paraId="7DE6E9BE">
      <w:pPr>
        <w:ind w:firstLine="482"/>
        <w:jc w:val="right"/>
        <w:rPr>
          <w:rFonts w:eastAsia="宋体" w:cs="Times New Roman"/>
          <w:color w:val="000000"/>
        </w:rPr>
      </w:pPr>
      <w:r>
        <w:rPr>
          <w:rFonts w:eastAsia="宋体" w:cs="Times New Roman"/>
          <w:b/>
          <w:bCs/>
          <w:color w:val="000000"/>
        </w:rPr>
        <w:t xml:space="preserve">  </w:t>
      </w:r>
      <w:r>
        <w:rPr>
          <w:rFonts w:eastAsia="宋体" w:cs="Times New Roman"/>
          <w:color w:val="000000"/>
        </w:rPr>
        <w:t xml:space="preserve">第  页 </w:t>
      </w:r>
      <w:r>
        <w:rPr>
          <w:rFonts w:hint="eastAsia" w:eastAsia="宋体" w:cs="Times New Roman"/>
          <w:color w:val="000000"/>
        </w:rPr>
        <w:t xml:space="preserve">    </w:t>
      </w:r>
      <w:r>
        <w:rPr>
          <w:rFonts w:eastAsia="宋体" w:cs="Times New Roman"/>
          <w:color w:val="000000"/>
        </w:rPr>
        <w:t xml:space="preserve"> 共  页</w:t>
      </w:r>
    </w:p>
    <w:tbl>
      <w:tblPr>
        <w:tblStyle w:val="13"/>
        <w:tblW w:w="852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99"/>
        <w:gridCol w:w="343"/>
        <w:gridCol w:w="512"/>
        <w:gridCol w:w="855"/>
        <w:gridCol w:w="810"/>
        <w:gridCol w:w="15"/>
        <w:gridCol w:w="1034"/>
        <w:gridCol w:w="698"/>
        <w:gridCol w:w="351"/>
        <w:gridCol w:w="750"/>
        <w:gridCol w:w="1561"/>
      </w:tblGrid>
      <w:tr w14:paraId="586661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528" w:type="dxa"/>
            <w:gridSpan w:val="11"/>
            <w:tcBorders>
              <w:top w:val="single" w:color="auto" w:sz="2" w:space="0"/>
              <w:left w:val="single" w:color="auto" w:sz="2" w:space="0"/>
              <w:bottom w:val="single" w:color="auto" w:sz="2" w:space="0"/>
              <w:right w:val="single" w:color="auto" w:sz="2" w:space="0"/>
            </w:tcBorders>
            <w:vAlign w:val="center"/>
          </w:tcPr>
          <w:p w14:paraId="1F860DBE">
            <w:pPr>
              <w:pStyle w:val="30"/>
              <w:jc w:val="both"/>
              <w:rPr>
                <w:rFonts w:eastAsia="宋体" w:cs="Times New Roman"/>
                <w:color w:val="000000"/>
              </w:rPr>
            </w:pPr>
            <w:r>
              <w:rPr>
                <w:rFonts w:eastAsia="宋体" w:cs="Times New Roman"/>
                <w:color w:val="000000"/>
              </w:rPr>
              <w:t>项目名称：</w:t>
            </w:r>
          </w:p>
        </w:tc>
      </w:tr>
      <w:tr w14:paraId="6F5C6A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528" w:type="dxa"/>
            <w:gridSpan w:val="11"/>
            <w:tcBorders>
              <w:top w:val="single" w:color="auto" w:sz="2" w:space="0"/>
              <w:left w:val="single" w:color="auto" w:sz="2" w:space="0"/>
              <w:bottom w:val="single" w:color="auto" w:sz="2" w:space="0"/>
              <w:right w:val="single" w:color="auto" w:sz="2" w:space="0"/>
            </w:tcBorders>
            <w:vAlign w:val="center"/>
          </w:tcPr>
          <w:p w14:paraId="3D0B0809">
            <w:pPr>
              <w:pStyle w:val="30"/>
              <w:jc w:val="both"/>
              <w:rPr>
                <w:rFonts w:eastAsia="宋体" w:cs="Times New Roman"/>
                <w:color w:val="000000"/>
              </w:rPr>
            </w:pPr>
            <w:r>
              <w:rPr>
                <w:rFonts w:eastAsia="宋体" w:cs="Times New Roman"/>
                <w:color w:val="000000"/>
              </w:rPr>
              <w:t>监测位置：各单元旁、内部穿过</w:t>
            </w:r>
          </w:p>
        </w:tc>
      </w:tr>
      <w:tr w14:paraId="2D9AE0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528" w:type="dxa"/>
            <w:gridSpan w:val="11"/>
            <w:tcBorders>
              <w:top w:val="single" w:color="auto" w:sz="2" w:space="0"/>
              <w:left w:val="single" w:color="auto" w:sz="2" w:space="0"/>
              <w:bottom w:val="single" w:color="auto" w:sz="2" w:space="0"/>
              <w:right w:val="single" w:color="auto" w:sz="2" w:space="0"/>
            </w:tcBorders>
            <w:vAlign w:val="center"/>
          </w:tcPr>
          <w:p w14:paraId="1843C8C4">
            <w:pPr>
              <w:jc w:val="both"/>
              <w:rPr>
                <w:rFonts w:eastAsia="宋体" w:cs="Times New Roman"/>
                <w:color w:val="000000"/>
                <w:u w:val="single"/>
              </w:rPr>
            </w:pPr>
            <w:r>
              <w:rPr>
                <w:rFonts w:eastAsia="宋体" w:cs="Times New Roman"/>
                <w:color w:val="000000"/>
              </w:rPr>
              <w:t>监测日期：       年    月    日               天气情况：□晴   □阴</w:t>
            </w:r>
          </w:p>
        </w:tc>
      </w:tr>
      <w:tr w14:paraId="204B34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99" w:type="dxa"/>
            <w:vMerge w:val="restart"/>
            <w:tcBorders>
              <w:top w:val="single" w:color="auto" w:sz="2" w:space="0"/>
              <w:left w:val="single" w:color="auto" w:sz="2" w:space="0"/>
              <w:bottom w:val="single" w:color="auto" w:sz="2" w:space="0"/>
              <w:right w:val="single" w:color="auto" w:sz="2" w:space="0"/>
            </w:tcBorders>
            <w:vAlign w:val="center"/>
          </w:tcPr>
          <w:p w14:paraId="6230AF70">
            <w:pPr>
              <w:pStyle w:val="30"/>
              <w:rPr>
                <w:rFonts w:eastAsia="宋体" w:cs="Times New Roman"/>
                <w:color w:val="000000"/>
              </w:rPr>
            </w:pPr>
            <w:r>
              <w:rPr>
                <w:rFonts w:eastAsia="宋体" w:cs="Times New Roman"/>
                <w:color w:val="000000"/>
              </w:rPr>
              <w:t>地表单元名称</w:t>
            </w:r>
          </w:p>
        </w:tc>
        <w:tc>
          <w:tcPr>
            <w:tcW w:w="2520" w:type="dxa"/>
            <w:gridSpan w:val="4"/>
            <w:tcBorders>
              <w:top w:val="single" w:color="auto" w:sz="2" w:space="0"/>
              <w:left w:val="single" w:color="auto" w:sz="2" w:space="0"/>
              <w:bottom w:val="single" w:color="auto" w:sz="2" w:space="0"/>
              <w:right w:val="single" w:color="auto" w:sz="2" w:space="0"/>
            </w:tcBorders>
            <w:vAlign w:val="center"/>
          </w:tcPr>
          <w:p w14:paraId="1AFDD344">
            <w:pPr>
              <w:pStyle w:val="30"/>
              <w:rPr>
                <w:rFonts w:eastAsia="宋体" w:cs="Times New Roman"/>
                <w:color w:val="000000"/>
              </w:rPr>
            </w:pPr>
            <w:r>
              <w:rPr>
                <w:rFonts w:eastAsia="宋体" w:cs="Times New Roman"/>
                <w:color w:val="000000"/>
              </w:rPr>
              <w:t>监测路线坐标位置</w:t>
            </w:r>
          </w:p>
        </w:tc>
        <w:tc>
          <w:tcPr>
            <w:tcW w:w="1049" w:type="dxa"/>
            <w:gridSpan w:val="2"/>
            <w:vMerge w:val="restart"/>
            <w:tcBorders>
              <w:top w:val="single" w:color="auto" w:sz="2" w:space="0"/>
              <w:left w:val="single" w:color="auto" w:sz="2" w:space="0"/>
              <w:bottom w:val="single" w:color="auto" w:sz="2" w:space="0"/>
              <w:right w:val="single" w:color="auto" w:sz="2" w:space="0"/>
            </w:tcBorders>
            <w:vAlign w:val="center"/>
          </w:tcPr>
          <w:p w14:paraId="61F2EACC">
            <w:pPr>
              <w:pStyle w:val="30"/>
              <w:rPr>
                <w:rFonts w:eastAsia="宋体" w:cs="Times New Roman"/>
                <w:color w:val="000000"/>
              </w:rPr>
            </w:pPr>
            <w:r>
              <w:rPr>
                <w:rFonts w:eastAsia="宋体" w:cs="Times New Roman"/>
                <w:color w:val="000000"/>
              </w:rPr>
              <w:t>面积</w:t>
            </w:r>
          </w:p>
          <w:p w14:paraId="050CC82D">
            <w:pPr>
              <w:pStyle w:val="30"/>
              <w:rPr>
                <w:rFonts w:eastAsia="宋体" w:cs="Times New Roman"/>
                <w:color w:val="000000"/>
              </w:rPr>
            </w:pPr>
            <w:r>
              <w:rPr>
                <w:rFonts w:eastAsia="宋体" w:cs="Times New Roman"/>
                <w:color w:val="000000"/>
              </w:rPr>
              <w:t>(m</w:t>
            </w:r>
            <w:r>
              <w:rPr>
                <w:rFonts w:eastAsia="宋体" w:cs="Times New Roman"/>
                <w:color w:val="000000"/>
                <w:vertAlign w:val="superscript"/>
              </w:rPr>
              <w:t>2</w:t>
            </w:r>
            <w:r>
              <w:rPr>
                <w:rFonts w:eastAsia="宋体" w:cs="Times New Roman"/>
                <w:color w:val="000000"/>
              </w:rPr>
              <w:t>)</w:t>
            </w:r>
          </w:p>
        </w:tc>
        <w:tc>
          <w:tcPr>
            <w:tcW w:w="1049" w:type="dxa"/>
            <w:gridSpan w:val="2"/>
            <w:vMerge w:val="restart"/>
            <w:tcBorders>
              <w:top w:val="single" w:color="auto" w:sz="2" w:space="0"/>
              <w:left w:val="single" w:color="auto" w:sz="2" w:space="0"/>
              <w:bottom w:val="single" w:color="auto" w:sz="2" w:space="0"/>
              <w:right w:val="single" w:color="auto" w:sz="2" w:space="0"/>
            </w:tcBorders>
            <w:vAlign w:val="center"/>
          </w:tcPr>
          <w:p w14:paraId="51198565">
            <w:pPr>
              <w:pStyle w:val="30"/>
              <w:rPr>
                <w:rFonts w:eastAsia="宋体" w:cs="Times New Roman"/>
                <w:color w:val="000000"/>
              </w:rPr>
            </w:pPr>
            <w:r>
              <w:rPr>
                <w:rFonts w:eastAsia="宋体" w:cs="Times New Roman"/>
                <w:color w:val="000000"/>
              </w:rPr>
              <w:t>挖掘</w:t>
            </w:r>
          </w:p>
          <w:p w14:paraId="4E4FC0C7">
            <w:pPr>
              <w:pStyle w:val="30"/>
              <w:rPr>
                <w:rFonts w:eastAsia="宋体" w:cs="Times New Roman"/>
                <w:color w:val="000000"/>
              </w:rPr>
            </w:pPr>
            <w:r>
              <w:rPr>
                <w:rFonts w:eastAsia="宋体" w:cs="Times New Roman"/>
                <w:color w:val="000000"/>
              </w:rPr>
              <w:t>深度</w:t>
            </w:r>
          </w:p>
          <w:p w14:paraId="77255C30">
            <w:pPr>
              <w:pStyle w:val="30"/>
              <w:rPr>
                <w:rFonts w:eastAsia="宋体" w:cs="Times New Roman"/>
                <w:color w:val="000000"/>
              </w:rPr>
            </w:pPr>
            <w:r>
              <w:rPr>
                <w:rFonts w:eastAsia="宋体" w:cs="Times New Roman"/>
                <w:color w:val="000000"/>
              </w:rPr>
              <w:t>(m)</w:t>
            </w:r>
          </w:p>
        </w:tc>
        <w:tc>
          <w:tcPr>
            <w:tcW w:w="750" w:type="dxa"/>
            <w:vMerge w:val="restart"/>
            <w:tcBorders>
              <w:top w:val="single" w:color="auto" w:sz="2" w:space="0"/>
              <w:left w:val="single" w:color="auto" w:sz="2" w:space="0"/>
              <w:bottom w:val="single" w:color="auto" w:sz="2" w:space="0"/>
              <w:right w:val="single" w:color="auto" w:sz="2" w:space="0"/>
            </w:tcBorders>
            <w:vAlign w:val="center"/>
          </w:tcPr>
          <w:p w14:paraId="7E9AF03E">
            <w:pPr>
              <w:pStyle w:val="30"/>
              <w:rPr>
                <w:rFonts w:eastAsia="宋体" w:cs="Times New Roman"/>
                <w:color w:val="000000"/>
              </w:rPr>
            </w:pPr>
            <w:r>
              <w:rPr>
                <w:rFonts w:eastAsia="宋体" w:cs="Times New Roman"/>
                <w:color w:val="000000"/>
              </w:rPr>
              <w:t>堆积</w:t>
            </w:r>
          </w:p>
          <w:p w14:paraId="0A2A5E8D">
            <w:pPr>
              <w:pStyle w:val="30"/>
              <w:rPr>
                <w:rFonts w:eastAsia="宋体" w:cs="Times New Roman"/>
                <w:color w:val="000000"/>
              </w:rPr>
            </w:pPr>
            <w:r>
              <w:rPr>
                <w:rFonts w:eastAsia="宋体" w:cs="Times New Roman"/>
                <w:color w:val="000000"/>
              </w:rPr>
              <w:t>高度</w:t>
            </w:r>
          </w:p>
          <w:p w14:paraId="01691274">
            <w:pPr>
              <w:pStyle w:val="30"/>
              <w:rPr>
                <w:rFonts w:eastAsia="宋体" w:cs="Times New Roman"/>
                <w:color w:val="000000"/>
              </w:rPr>
            </w:pPr>
            <w:r>
              <w:rPr>
                <w:rFonts w:eastAsia="宋体" w:cs="Times New Roman"/>
                <w:color w:val="000000"/>
              </w:rPr>
              <w:t>(m)</w:t>
            </w:r>
          </w:p>
        </w:tc>
        <w:tc>
          <w:tcPr>
            <w:tcW w:w="1561" w:type="dxa"/>
            <w:vMerge w:val="restart"/>
            <w:tcBorders>
              <w:top w:val="single" w:color="auto" w:sz="2" w:space="0"/>
              <w:left w:val="single" w:color="auto" w:sz="2" w:space="0"/>
              <w:bottom w:val="single" w:color="auto" w:sz="2" w:space="0"/>
              <w:right w:val="single" w:color="auto" w:sz="2" w:space="0"/>
            </w:tcBorders>
            <w:vAlign w:val="center"/>
          </w:tcPr>
          <w:p w14:paraId="3E0C7206">
            <w:pPr>
              <w:pStyle w:val="30"/>
              <w:rPr>
                <w:rFonts w:eastAsia="宋体" w:cs="Times New Roman"/>
                <w:color w:val="000000"/>
              </w:rPr>
            </w:pPr>
            <w:r>
              <w:rPr>
                <w:rFonts w:eastAsia="宋体" w:cs="Times New Roman"/>
                <w:color w:val="000000"/>
              </w:rPr>
              <w:t>治理果等外观</w:t>
            </w:r>
          </w:p>
          <w:p w14:paraId="269F7839">
            <w:pPr>
              <w:pStyle w:val="30"/>
              <w:rPr>
                <w:rFonts w:eastAsia="宋体" w:cs="Times New Roman"/>
                <w:color w:val="000000"/>
              </w:rPr>
            </w:pPr>
            <w:r>
              <w:rPr>
                <w:rFonts w:eastAsia="宋体" w:cs="Times New Roman"/>
                <w:color w:val="000000"/>
              </w:rPr>
              <w:t>表现特征</w:t>
            </w:r>
          </w:p>
        </w:tc>
      </w:tr>
      <w:tr w14:paraId="5C8CC8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99" w:type="dxa"/>
            <w:vMerge w:val="continue"/>
            <w:tcBorders>
              <w:top w:val="single" w:color="auto" w:sz="2" w:space="0"/>
              <w:left w:val="single" w:color="auto" w:sz="2" w:space="0"/>
              <w:bottom w:val="single" w:color="auto" w:sz="2" w:space="0"/>
              <w:right w:val="single" w:color="auto" w:sz="2" w:space="0"/>
            </w:tcBorders>
            <w:vAlign w:val="center"/>
          </w:tcPr>
          <w:p w14:paraId="6151DEE8">
            <w:pPr>
              <w:ind w:firstLine="420"/>
              <w:rPr>
                <w:rFonts w:eastAsia="宋体" w:cs="Times New Roman"/>
                <w:color w:val="000000"/>
                <w:kern w:val="0"/>
              </w:rPr>
            </w:pPr>
          </w:p>
        </w:tc>
        <w:tc>
          <w:tcPr>
            <w:tcW w:w="855" w:type="dxa"/>
            <w:gridSpan w:val="2"/>
            <w:tcBorders>
              <w:top w:val="single" w:color="auto" w:sz="2" w:space="0"/>
              <w:left w:val="single" w:color="auto" w:sz="2" w:space="0"/>
              <w:bottom w:val="single" w:color="auto" w:sz="2" w:space="0"/>
              <w:right w:val="single" w:color="auto" w:sz="2" w:space="0"/>
            </w:tcBorders>
            <w:vAlign w:val="center"/>
          </w:tcPr>
          <w:p w14:paraId="0C1AF471">
            <w:pPr>
              <w:pStyle w:val="30"/>
              <w:rPr>
                <w:rFonts w:eastAsia="宋体" w:cs="Times New Roman"/>
                <w:color w:val="000000"/>
              </w:rPr>
            </w:pPr>
            <w:r>
              <w:rPr>
                <w:rFonts w:eastAsia="宋体" w:cs="Times New Roman"/>
                <w:color w:val="000000"/>
              </w:rPr>
              <w:t>X</w:t>
            </w:r>
          </w:p>
        </w:tc>
        <w:tc>
          <w:tcPr>
            <w:tcW w:w="855" w:type="dxa"/>
            <w:tcBorders>
              <w:top w:val="single" w:color="auto" w:sz="2" w:space="0"/>
              <w:left w:val="single" w:color="auto" w:sz="2" w:space="0"/>
              <w:bottom w:val="single" w:color="auto" w:sz="2" w:space="0"/>
              <w:right w:val="single" w:color="auto" w:sz="2" w:space="0"/>
            </w:tcBorders>
            <w:vAlign w:val="center"/>
          </w:tcPr>
          <w:p w14:paraId="50A754C8">
            <w:pPr>
              <w:pStyle w:val="30"/>
              <w:rPr>
                <w:rFonts w:eastAsia="宋体" w:cs="Times New Roman"/>
                <w:color w:val="000000"/>
              </w:rPr>
            </w:pPr>
            <w:r>
              <w:rPr>
                <w:rFonts w:eastAsia="宋体" w:cs="Times New Roman"/>
                <w:color w:val="000000"/>
              </w:rPr>
              <w:t>Y</w:t>
            </w:r>
          </w:p>
        </w:tc>
        <w:tc>
          <w:tcPr>
            <w:tcW w:w="810" w:type="dxa"/>
            <w:tcBorders>
              <w:top w:val="single" w:color="auto" w:sz="2" w:space="0"/>
              <w:left w:val="single" w:color="auto" w:sz="2" w:space="0"/>
              <w:bottom w:val="single" w:color="auto" w:sz="2" w:space="0"/>
              <w:right w:val="single" w:color="auto" w:sz="2" w:space="0"/>
            </w:tcBorders>
            <w:vAlign w:val="center"/>
          </w:tcPr>
          <w:p w14:paraId="346C1530">
            <w:pPr>
              <w:pStyle w:val="30"/>
              <w:rPr>
                <w:rFonts w:eastAsia="宋体" w:cs="Times New Roman"/>
                <w:color w:val="000000"/>
              </w:rPr>
            </w:pPr>
            <w:r>
              <w:rPr>
                <w:rFonts w:eastAsia="宋体" w:cs="Times New Roman"/>
                <w:color w:val="000000"/>
              </w:rPr>
              <w:t>H</w:t>
            </w:r>
          </w:p>
        </w:tc>
        <w:tc>
          <w:tcPr>
            <w:tcW w:w="1049" w:type="dxa"/>
            <w:gridSpan w:val="2"/>
            <w:vMerge w:val="continue"/>
            <w:tcBorders>
              <w:top w:val="single" w:color="auto" w:sz="2" w:space="0"/>
              <w:left w:val="single" w:color="auto" w:sz="2" w:space="0"/>
              <w:bottom w:val="single" w:color="auto" w:sz="2" w:space="0"/>
              <w:right w:val="single" w:color="auto" w:sz="2" w:space="0"/>
            </w:tcBorders>
            <w:vAlign w:val="center"/>
          </w:tcPr>
          <w:p w14:paraId="4E17B636">
            <w:pPr>
              <w:ind w:firstLine="420"/>
              <w:rPr>
                <w:rFonts w:eastAsia="宋体" w:cs="Times New Roman"/>
                <w:color w:val="000000"/>
                <w:kern w:val="0"/>
              </w:rPr>
            </w:pPr>
          </w:p>
        </w:tc>
        <w:tc>
          <w:tcPr>
            <w:tcW w:w="1049" w:type="dxa"/>
            <w:gridSpan w:val="2"/>
            <w:vMerge w:val="continue"/>
            <w:tcBorders>
              <w:top w:val="single" w:color="auto" w:sz="2" w:space="0"/>
              <w:left w:val="single" w:color="auto" w:sz="2" w:space="0"/>
              <w:bottom w:val="single" w:color="auto" w:sz="2" w:space="0"/>
              <w:right w:val="single" w:color="auto" w:sz="2" w:space="0"/>
            </w:tcBorders>
            <w:vAlign w:val="center"/>
          </w:tcPr>
          <w:p w14:paraId="4539F320">
            <w:pPr>
              <w:ind w:firstLine="420"/>
              <w:rPr>
                <w:rFonts w:eastAsia="宋体" w:cs="Times New Roman"/>
                <w:color w:val="000000"/>
                <w:kern w:val="0"/>
              </w:rPr>
            </w:pPr>
          </w:p>
        </w:tc>
        <w:tc>
          <w:tcPr>
            <w:tcW w:w="750" w:type="dxa"/>
            <w:vMerge w:val="continue"/>
            <w:tcBorders>
              <w:top w:val="single" w:color="auto" w:sz="2" w:space="0"/>
              <w:left w:val="single" w:color="auto" w:sz="2" w:space="0"/>
              <w:bottom w:val="single" w:color="auto" w:sz="2" w:space="0"/>
              <w:right w:val="single" w:color="auto" w:sz="2" w:space="0"/>
            </w:tcBorders>
            <w:vAlign w:val="center"/>
          </w:tcPr>
          <w:p w14:paraId="5644ACD7">
            <w:pPr>
              <w:ind w:firstLine="420"/>
              <w:rPr>
                <w:rFonts w:eastAsia="宋体" w:cs="Times New Roman"/>
                <w:color w:val="000000"/>
                <w:kern w:val="0"/>
              </w:rPr>
            </w:pPr>
          </w:p>
        </w:tc>
        <w:tc>
          <w:tcPr>
            <w:tcW w:w="1561" w:type="dxa"/>
            <w:vMerge w:val="continue"/>
            <w:tcBorders>
              <w:top w:val="single" w:color="auto" w:sz="2" w:space="0"/>
              <w:left w:val="single" w:color="auto" w:sz="2" w:space="0"/>
              <w:bottom w:val="single" w:color="auto" w:sz="2" w:space="0"/>
              <w:right w:val="single" w:color="auto" w:sz="2" w:space="0"/>
            </w:tcBorders>
            <w:vAlign w:val="center"/>
          </w:tcPr>
          <w:p w14:paraId="1D78C7FB">
            <w:pPr>
              <w:ind w:firstLine="420"/>
              <w:rPr>
                <w:rFonts w:eastAsia="宋体" w:cs="Times New Roman"/>
                <w:color w:val="000000"/>
                <w:kern w:val="0"/>
              </w:rPr>
            </w:pPr>
          </w:p>
        </w:tc>
      </w:tr>
      <w:tr w14:paraId="40A7B9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99" w:type="dxa"/>
            <w:tcBorders>
              <w:top w:val="single" w:color="auto" w:sz="2" w:space="0"/>
              <w:left w:val="single" w:color="auto" w:sz="2" w:space="0"/>
              <w:bottom w:val="single" w:color="auto" w:sz="2" w:space="0"/>
              <w:right w:val="single" w:color="auto" w:sz="2" w:space="0"/>
            </w:tcBorders>
            <w:vAlign w:val="center"/>
          </w:tcPr>
          <w:p w14:paraId="1CA12CCA">
            <w:pPr>
              <w:pStyle w:val="30"/>
              <w:rPr>
                <w:rFonts w:eastAsia="宋体" w:cs="Times New Roman"/>
                <w:color w:val="000000"/>
              </w:rPr>
            </w:pPr>
          </w:p>
        </w:tc>
        <w:tc>
          <w:tcPr>
            <w:tcW w:w="855" w:type="dxa"/>
            <w:gridSpan w:val="2"/>
            <w:tcBorders>
              <w:top w:val="single" w:color="auto" w:sz="2" w:space="0"/>
              <w:left w:val="single" w:color="auto" w:sz="2" w:space="0"/>
              <w:bottom w:val="single" w:color="auto" w:sz="2" w:space="0"/>
              <w:right w:val="single" w:color="auto" w:sz="2" w:space="0"/>
            </w:tcBorders>
            <w:vAlign w:val="center"/>
          </w:tcPr>
          <w:p w14:paraId="71018EA9">
            <w:pPr>
              <w:pStyle w:val="30"/>
              <w:rPr>
                <w:rFonts w:eastAsia="宋体" w:cs="Times New Roman"/>
                <w:color w:val="000000"/>
              </w:rPr>
            </w:pPr>
          </w:p>
        </w:tc>
        <w:tc>
          <w:tcPr>
            <w:tcW w:w="855" w:type="dxa"/>
            <w:tcBorders>
              <w:top w:val="single" w:color="auto" w:sz="2" w:space="0"/>
              <w:left w:val="single" w:color="auto" w:sz="2" w:space="0"/>
              <w:bottom w:val="single" w:color="auto" w:sz="2" w:space="0"/>
              <w:right w:val="single" w:color="auto" w:sz="2" w:space="0"/>
            </w:tcBorders>
            <w:vAlign w:val="center"/>
          </w:tcPr>
          <w:p w14:paraId="64479048">
            <w:pPr>
              <w:pStyle w:val="30"/>
              <w:rPr>
                <w:rFonts w:eastAsia="宋体" w:cs="Times New Roman"/>
                <w:color w:val="000000"/>
              </w:rPr>
            </w:pPr>
          </w:p>
        </w:tc>
        <w:tc>
          <w:tcPr>
            <w:tcW w:w="810" w:type="dxa"/>
            <w:tcBorders>
              <w:top w:val="single" w:color="auto" w:sz="2" w:space="0"/>
              <w:left w:val="single" w:color="auto" w:sz="2" w:space="0"/>
              <w:bottom w:val="single" w:color="auto" w:sz="2" w:space="0"/>
              <w:right w:val="single" w:color="auto" w:sz="2" w:space="0"/>
            </w:tcBorders>
            <w:vAlign w:val="center"/>
          </w:tcPr>
          <w:p w14:paraId="35F7D5AF">
            <w:pPr>
              <w:pStyle w:val="30"/>
              <w:rPr>
                <w:rFonts w:eastAsia="宋体" w:cs="Times New Roman"/>
                <w:color w:val="000000"/>
              </w:rPr>
            </w:pPr>
          </w:p>
        </w:tc>
        <w:tc>
          <w:tcPr>
            <w:tcW w:w="1049" w:type="dxa"/>
            <w:gridSpan w:val="2"/>
            <w:tcBorders>
              <w:top w:val="single" w:color="auto" w:sz="2" w:space="0"/>
              <w:left w:val="single" w:color="auto" w:sz="2" w:space="0"/>
              <w:bottom w:val="single" w:color="auto" w:sz="2" w:space="0"/>
              <w:right w:val="single" w:color="auto" w:sz="2" w:space="0"/>
            </w:tcBorders>
            <w:vAlign w:val="center"/>
          </w:tcPr>
          <w:p w14:paraId="416C9484">
            <w:pPr>
              <w:pStyle w:val="30"/>
              <w:rPr>
                <w:rFonts w:eastAsia="宋体" w:cs="Times New Roman"/>
                <w:color w:val="000000"/>
              </w:rPr>
            </w:pPr>
          </w:p>
        </w:tc>
        <w:tc>
          <w:tcPr>
            <w:tcW w:w="1049" w:type="dxa"/>
            <w:gridSpan w:val="2"/>
            <w:tcBorders>
              <w:top w:val="single" w:color="auto" w:sz="2" w:space="0"/>
              <w:left w:val="single" w:color="auto" w:sz="2" w:space="0"/>
              <w:bottom w:val="single" w:color="auto" w:sz="2" w:space="0"/>
              <w:right w:val="single" w:color="auto" w:sz="2" w:space="0"/>
            </w:tcBorders>
            <w:vAlign w:val="center"/>
          </w:tcPr>
          <w:p w14:paraId="6C9DB17A">
            <w:pPr>
              <w:pStyle w:val="30"/>
              <w:rPr>
                <w:rFonts w:eastAsia="宋体" w:cs="Times New Roman"/>
                <w:color w:val="000000"/>
              </w:rPr>
            </w:pPr>
          </w:p>
        </w:tc>
        <w:tc>
          <w:tcPr>
            <w:tcW w:w="750" w:type="dxa"/>
            <w:tcBorders>
              <w:top w:val="single" w:color="auto" w:sz="2" w:space="0"/>
              <w:left w:val="single" w:color="auto" w:sz="2" w:space="0"/>
              <w:bottom w:val="single" w:color="auto" w:sz="2" w:space="0"/>
              <w:right w:val="single" w:color="auto" w:sz="2" w:space="0"/>
            </w:tcBorders>
            <w:vAlign w:val="center"/>
          </w:tcPr>
          <w:p w14:paraId="3FCB9554">
            <w:pPr>
              <w:pStyle w:val="30"/>
              <w:rPr>
                <w:rFonts w:eastAsia="宋体" w:cs="Times New Roman"/>
                <w:color w:val="000000"/>
              </w:rPr>
            </w:pPr>
          </w:p>
        </w:tc>
        <w:tc>
          <w:tcPr>
            <w:tcW w:w="1561" w:type="dxa"/>
            <w:tcBorders>
              <w:top w:val="single" w:color="auto" w:sz="2" w:space="0"/>
              <w:left w:val="single" w:color="auto" w:sz="2" w:space="0"/>
              <w:bottom w:val="single" w:color="auto" w:sz="2" w:space="0"/>
              <w:right w:val="single" w:color="auto" w:sz="2" w:space="0"/>
            </w:tcBorders>
            <w:vAlign w:val="center"/>
          </w:tcPr>
          <w:p w14:paraId="6EFDA2C0">
            <w:pPr>
              <w:pStyle w:val="30"/>
              <w:rPr>
                <w:rFonts w:eastAsia="宋体" w:cs="Times New Roman"/>
                <w:color w:val="000000"/>
              </w:rPr>
            </w:pPr>
          </w:p>
        </w:tc>
      </w:tr>
      <w:tr w14:paraId="2C8C29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99" w:type="dxa"/>
            <w:tcBorders>
              <w:top w:val="single" w:color="auto" w:sz="2" w:space="0"/>
              <w:left w:val="single" w:color="auto" w:sz="2" w:space="0"/>
              <w:bottom w:val="single" w:color="auto" w:sz="2" w:space="0"/>
              <w:right w:val="single" w:color="auto" w:sz="2" w:space="0"/>
            </w:tcBorders>
            <w:vAlign w:val="center"/>
          </w:tcPr>
          <w:p w14:paraId="5B4C26E6">
            <w:pPr>
              <w:pStyle w:val="30"/>
              <w:rPr>
                <w:rFonts w:eastAsia="宋体" w:cs="Times New Roman"/>
                <w:color w:val="000000"/>
              </w:rPr>
            </w:pPr>
          </w:p>
        </w:tc>
        <w:tc>
          <w:tcPr>
            <w:tcW w:w="855" w:type="dxa"/>
            <w:gridSpan w:val="2"/>
            <w:tcBorders>
              <w:top w:val="single" w:color="auto" w:sz="2" w:space="0"/>
              <w:left w:val="single" w:color="auto" w:sz="2" w:space="0"/>
              <w:bottom w:val="single" w:color="auto" w:sz="2" w:space="0"/>
              <w:right w:val="single" w:color="auto" w:sz="2" w:space="0"/>
            </w:tcBorders>
            <w:vAlign w:val="center"/>
          </w:tcPr>
          <w:p w14:paraId="09D04F45">
            <w:pPr>
              <w:pStyle w:val="30"/>
              <w:rPr>
                <w:rFonts w:eastAsia="宋体" w:cs="Times New Roman"/>
                <w:color w:val="000000"/>
              </w:rPr>
            </w:pPr>
          </w:p>
        </w:tc>
        <w:tc>
          <w:tcPr>
            <w:tcW w:w="855" w:type="dxa"/>
            <w:tcBorders>
              <w:top w:val="single" w:color="auto" w:sz="2" w:space="0"/>
              <w:left w:val="single" w:color="auto" w:sz="2" w:space="0"/>
              <w:bottom w:val="single" w:color="auto" w:sz="2" w:space="0"/>
              <w:right w:val="single" w:color="auto" w:sz="2" w:space="0"/>
            </w:tcBorders>
            <w:vAlign w:val="center"/>
          </w:tcPr>
          <w:p w14:paraId="31B643DF">
            <w:pPr>
              <w:pStyle w:val="30"/>
              <w:rPr>
                <w:rFonts w:eastAsia="宋体" w:cs="Times New Roman"/>
                <w:color w:val="000000"/>
              </w:rPr>
            </w:pPr>
          </w:p>
        </w:tc>
        <w:tc>
          <w:tcPr>
            <w:tcW w:w="810" w:type="dxa"/>
            <w:tcBorders>
              <w:top w:val="single" w:color="auto" w:sz="2" w:space="0"/>
              <w:left w:val="single" w:color="auto" w:sz="2" w:space="0"/>
              <w:bottom w:val="single" w:color="auto" w:sz="2" w:space="0"/>
              <w:right w:val="single" w:color="auto" w:sz="2" w:space="0"/>
            </w:tcBorders>
            <w:vAlign w:val="center"/>
          </w:tcPr>
          <w:p w14:paraId="385CB25F">
            <w:pPr>
              <w:pStyle w:val="30"/>
              <w:rPr>
                <w:rFonts w:eastAsia="宋体" w:cs="Times New Roman"/>
                <w:color w:val="000000"/>
              </w:rPr>
            </w:pPr>
          </w:p>
        </w:tc>
        <w:tc>
          <w:tcPr>
            <w:tcW w:w="1049" w:type="dxa"/>
            <w:gridSpan w:val="2"/>
            <w:tcBorders>
              <w:top w:val="single" w:color="auto" w:sz="2" w:space="0"/>
              <w:left w:val="single" w:color="auto" w:sz="2" w:space="0"/>
              <w:bottom w:val="single" w:color="auto" w:sz="2" w:space="0"/>
              <w:right w:val="single" w:color="auto" w:sz="2" w:space="0"/>
            </w:tcBorders>
            <w:vAlign w:val="center"/>
          </w:tcPr>
          <w:p w14:paraId="0F50D111">
            <w:pPr>
              <w:pStyle w:val="30"/>
              <w:rPr>
                <w:rFonts w:eastAsia="宋体" w:cs="Times New Roman"/>
                <w:color w:val="000000"/>
              </w:rPr>
            </w:pPr>
          </w:p>
        </w:tc>
        <w:tc>
          <w:tcPr>
            <w:tcW w:w="1049" w:type="dxa"/>
            <w:gridSpan w:val="2"/>
            <w:tcBorders>
              <w:top w:val="single" w:color="auto" w:sz="2" w:space="0"/>
              <w:left w:val="single" w:color="auto" w:sz="2" w:space="0"/>
              <w:bottom w:val="single" w:color="auto" w:sz="2" w:space="0"/>
              <w:right w:val="single" w:color="auto" w:sz="2" w:space="0"/>
            </w:tcBorders>
            <w:vAlign w:val="center"/>
          </w:tcPr>
          <w:p w14:paraId="2E137682">
            <w:pPr>
              <w:pStyle w:val="30"/>
              <w:rPr>
                <w:rFonts w:eastAsia="宋体" w:cs="Times New Roman"/>
                <w:color w:val="000000"/>
              </w:rPr>
            </w:pPr>
          </w:p>
        </w:tc>
        <w:tc>
          <w:tcPr>
            <w:tcW w:w="750" w:type="dxa"/>
            <w:tcBorders>
              <w:top w:val="single" w:color="auto" w:sz="2" w:space="0"/>
              <w:left w:val="single" w:color="auto" w:sz="2" w:space="0"/>
              <w:bottom w:val="single" w:color="auto" w:sz="2" w:space="0"/>
              <w:right w:val="single" w:color="auto" w:sz="2" w:space="0"/>
            </w:tcBorders>
            <w:vAlign w:val="center"/>
          </w:tcPr>
          <w:p w14:paraId="0FCCB050">
            <w:pPr>
              <w:pStyle w:val="30"/>
              <w:rPr>
                <w:rFonts w:eastAsia="宋体" w:cs="Times New Roman"/>
                <w:color w:val="000000"/>
              </w:rPr>
            </w:pPr>
          </w:p>
        </w:tc>
        <w:tc>
          <w:tcPr>
            <w:tcW w:w="1561" w:type="dxa"/>
            <w:tcBorders>
              <w:top w:val="single" w:color="auto" w:sz="2" w:space="0"/>
              <w:left w:val="single" w:color="auto" w:sz="2" w:space="0"/>
              <w:bottom w:val="single" w:color="auto" w:sz="2" w:space="0"/>
              <w:right w:val="single" w:color="auto" w:sz="2" w:space="0"/>
            </w:tcBorders>
            <w:vAlign w:val="center"/>
          </w:tcPr>
          <w:p w14:paraId="450E1DBE">
            <w:pPr>
              <w:pStyle w:val="30"/>
              <w:rPr>
                <w:rFonts w:eastAsia="宋体" w:cs="Times New Roman"/>
                <w:color w:val="000000"/>
              </w:rPr>
            </w:pPr>
          </w:p>
        </w:tc>
      </w:tr>
      <w:tr w14:paraId="78BF5F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99" w:type="dxa"/>
            <w:tcBorders>
              <w:top w:val="single" w:color="auto" w:sz="2" w:space="0"/>
              <w:left w:val="single" w:color="auto" w:sz="2" w:space="0"/>
              <w:bottom w:val="single" w:color="auto" w:sz="2" w:space="0"/>
              <w:right w:val="single" w:color="auto" w:sz="2" w:space="0"/>
            </w:tcBorders>
            <w:vAlign w:val="center"/>
          </w:tcPr>
          <w:p w14:paraId="2664BDF7">
            <w:pPr>
              <w:pStyle w:val="30"/>
              <w:rPr>
                <w:rFonts w:eastAsia="宋体" w:cs="Times New Roman"/>
                <w:color w:val="000000"/>
              </w:rPr>
            </w:pPr>
          </w:p>
        </w:tc>
        <w:tc>
          <w:tcPr>
            <w:tcW w:w="855" w:type="dxa"/>
            <w:gridSpan w:val="2"/>
            <w:tcBorders>
              <w:top w:val="single" w:color="auto" w:sz="2" w:space="0"/>
              <w:left w:val="single" w:color="auto" w:sz="2" w:space="0"/>
              <w:bottom w:val="single" w:color="auto" w:sz="2" w:space="0"/>
              <w:right w:val="single" w:color="auto" w:sz="2" w:space="0"/>
            </w:tcBorders>
            <w:vAlign w:val="center"/>
          </w:tcPr>
          <w:p w14:paraId="4486675C">
            <w:pPr>
              <w:pStyle w:val="30"/>
              <w:rPr>
                <w:rFonts w:eastAsia="宋体" w:cs="Times New Roman"/>
                <w:color w:val="000000"/>
              </w:rPr>
            </w:pPr>
          </w:p>
        </w:tc>
        <w:tc>
          <w:tcPr>
            <w:tcW w:w="855" w:type="dxa"/>
            <w:tcBorders>
              <w:top w:val="single" w:color="auto" w:sz="2" w:space="0"/>
              <w:left w:val="single" w:color="auto" w:sz="2" w:space="0"/>
              <w:bottom w:val="single" w:color="auto" w:sz="2" w:space="0"/>
              <w:right w:val="single" w:color="auto" w:sz="2" w:space="0"/>
            </w:tcBorders>
            <w:vAlign w:val="center"/>
          </w:tcPr>
          <w:p w14:paraId="286FBD3F">
            <w:pPr>
              <w:pStyle w:val="30"/>
              <w:rPr>
                <w:rFonts w:eastAsia="宋体" w:cs="Times New Roman"/>
                <w:color w:val="000000"/>
              </w:rPr>
            </w:pPr>
          </w:p>
        </w:tc>
        <w:tc>
          <w:tcPr>
            <w:tcW w:w="810" w:type="dxa"/>
            <w:tcBorders>
              <w:top w:val="single" w:color="auto" w:sz="2" w:space="0"/>
              <w:left w:val="single" w:color="auto" w:sz="2" w:space="0"/>
              <w:bottom w:val="single" w:color="auto" w:sz="2" w:space="0"/>
              <w:right w:val="single" w:color="auto" w:sz="2" w:space="0"/>
            </w:tcBorders>
            <w:vAlign w:val="center"/>
          </w:tcPr>
          <w:p w14:paraId="413DBF80">
            <w:pPr>
              <w:pStyle w:val="30"/>
              <w:rPr>
                <w:rFonts w:eastAsia="宋体" w:cs="Times New Roman"/>
                <w:color w:val="000000"/>
              </w:rPr>
            </w:pPr>
          </w:p>
        </w:tc>
        <w:tc>
          <w:tcPr>
            <w:tcW w:w="1049" w:type="dxa"/>
            <w:gridSpan w:val="2"/>
            <w:tcBorders>
              <w:top w:val="single" w:color="auto" w:sz="2" w:space="0"/>
              <w:left w:val="single" w:color="auto" w:sz="2" w:space="0"/>
              <w:bottom w:val="single" w:color="auto" w:sz="2" w:space="0"/>
              <w:right w:val="single" w:color="auto" w:sz="2" w:space="0"/>
            </w:tcBorders>
            <w:vAlign w:val="center"/>
          </w:tcPr>
          <w:p w14:paraId="7D453364">
            <w:pPr>
              <w:pStyle w:val="30"/>
              <w:rPr>
                <w:rFonts w:eastAsia="宋体" w:cs="Times New Roman"/>
                <w:color w:val="000000"/>
              </w:rPr>
            </w:pPr>
          </w:p>
        </w:tc>
        <w:tc>
          <w:tcPr>
            <w:tcW w:w="1049" w:type="dxa"/>
            <w:gridSpan w:val="2"/>
            <w:tcBorders>
              <w:top w:val="single" w:color="auto" w:sz="2" w:space="0"/>
              <w:left w:val="single" w:color="auto" w:sz="2" w:space="0"/>
              <w:bottom w:val="single" w:color="auto" w:sz="2" w:space="0"/>
              <w:right w:val="single" w:color="auto" w:sz="2" w:space="0"/>
            </w:tcBorders>
            <w:vAlign w:val="center"/>
          </w:tcPr>
          <w:p w14:paraId="6EC3752E">
            <w:pPr>
              <w:pStyle w:val="30"/>
              <w:rPr>
                <w:rFonts w:eastAsia="宋体" w:cs="Times New Roman"/>
                <w:color w:val="000000"/>
              </w:rPr>
            </w:pPr>
          </w:p>
        </w:tc>
        <w:tc>
          <w:tcPr>
            <w:tcW w:w="750" w:type="dxa"/>
            <w:tcBorders>
              <w:top w:val="single" w:color="auto" w:sz="2" w:space="0"/>
              <w:left w:val="single" w:color="auto" w:sz="2" w:space="0"/>
              <w:bottom w:val="single" w:color="auto" w:sz="2" w:space="0"/>
              <w:right w:val="single" w:color="auto" w:sz="2" w:space="0"/>
            </w:tcBorders>
            <w:vAlign w:val="center"/>
          </w:tcPr>
          <w:p w14:paraId="311C8273">
            <w:pPr>
              <w:pStyle w:val="30"/>
              <w:rPr>
                <w:rFonts w:eastAsia="宋体" w:cs="Times New Roman"/>
                <w:color w:val="000000"/>
              </w:rPr>
            </w:pPr>
          </w:p>
        </w:tc>
        <w:tc>
          <w:tcPr>
            <w:tcW w:w="1561" w:type="dxa"/>
            <w:tcBorders>
              <w:top w:val="single" w:color="auto" w:sz="2" w:space="0"/>
              <w:left w:val="single" w:color="auto" w:sz="2" w:space="0"/>
              <w:bottom w:val="single" w:color="auto" w:sz="2" w:space="0"/>
              <w:right w:val="single" w:color="auto" w:sz="2" w:space="0"/>
            </w:tcBorders>
            <w:vAlign w:val="center"/>
          </w:tcPr>
          <w:p w14:paraId="74746919">
            <w:pPr>
              <w:pStyle w:val="30"/>
              <w:rPr>
                <w:rFonts w:eastAsia="宋体" w:cs="Times New Roman"/>
                <w:color w:val="000000"/>
              </w:rPr>
            </w:pPr>
          </w:p>
        </w:tc>
      </w:tr>
      <w:tr w14:paraId="5D3149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99" w:type="dxa"/>
            <w:tcBorders>
              <w:top w:val="single" w:color="auto" w:sz="2" w:space="0"/>
              <w:left w:val="single" w:color="auto" w:sz="2" w:space="0"/>
              <w:bottom w:val="single" w:color="auto" w:sz="2" w:space="0"/>
              <w:right w:val="single" w:color="auto" w:sz="2" w:space="0"/>
            </w:tcBorders>
            <w:vAlign w:val="center"/>
          </w:tcPr>
          <w:p w14:paraId="6137B6CA">
            <w:pPr>
              <w:pStyle w:val="30"/>
              <w:rPr>
                <w:rFonts w:eastAsia="宋体" w:cs="Times New Roman"/>
                <w:color w:val="000000"/>
              </w:rPr>
            </w:pPr>
          </w:p>
        </w:tc>
        <w:tc>
          <w:tcPr>
            <w:tcW w:w="855" w:type="dxa"/>
            <w:gridSpan w:val="2"/>
            <w:tcBorders>
              <w:top w:val="single" w:color="auto" w:sz="2" w:space="0"/>
              <w:left w:val="single" w:color="auto" w:sz="2" w:space="0"/>
              <w:bottom w:val="single" w:color="auto" w:sz="2" w:space="0"/>
              <w:right w:val="single" w:color="auto" w:sz="2" w:space="0"/>
            </w:tcBorders>
            <w:vAlign w:val="center"/>
          </w:tcPr>
          <w:p w14:paraId="7EAE3CB4">
            <w:pPr>
              <w:pStyle w:val="30"/>
              <w:rPr>
                <w:rFonts w:eastAsia="宋体" w:cs="Times New Roman"/>
                <w:color w:val="000000"/>
              </w:rPr>
            </w:pPr>
          </w:p>
        </w:tc>
        <w:tc>
          <w:tcPr>
            <w:tcW w:w="855" w:type="dxa"/>
            <w:tcBorders>
              <w:top w:val="single" w:color="auto" w:sz="2" w:space="0"/>
              <w:left w:val="single" w:color="auto" w:sz="2" w:space="0"/>
              <w:bottom w:val="single" w:color="auto" w:sz="2" w:space="0"/>
              <w:right w:val="single" w:color="auto" w:sz="2" w:space="0"/>
            </w:tcBorders>
            <w:vAlign w:val="center"/>
          </w:tcPr>
          <w:p w14:paraId="3E0B698C">
            <w:pPr>
              <w:pStyle w:val="30"/>
              <w:rPr>
                <w:rFonts w:eastAsia="宋体" w:cs="Times New Roman"/>
                <w:color w:val="000000"/>
              </w:rPr>
            </w:pPr>
          </w:p>
        </w:tc>
        <w:tc>
          <w:tcPr>
            <w:tcW w:w="810" w:type="dxa"/>
            <w:tcBorders>
              <w:top w:val="single" w:color="auto" w:sz="2" w:space="0"/>
              <w:left w:val="single" w:color="auto" w:sz="2" w:space="0"/>
              <w:bottom w:val="single" w:color="auto" w:sz="2" w:space="0"/>
              <w:right w:val="single" w:color="auto" w:sz="2" w:space="0"/>
            </w:tcBorders>
            <w:vAlign w:val="center"/>
          </w:tcPr>
          <w:p w14:paraId="0EEE8FFD">
            <w:pPr>
              <w:pStyle w:val="30"/>
              <w:rPr>
                <w:rFonts w:eastAsia="宋体" w:cs="Times New Roman"/>
                <w:color w:val="000000"/>
              </w:rPr>
            </w:pPr>
          </w:p>
        </w:tc>
        <w:tc>
          <w:tcPr>
            <w:tcW w:w="1049" w:type="dxa"/>
            <w:gridSpan w:val="2"/>
            <w:tcBorders>
              <w:top w:val="single" w:color="auto" w:sz="2" w:space="0"/>
              <w:left w:val="single" w:color="auto" w:sz="2" w:space="0"/>
              <w:bottom w:val="single" w:color="auto" w:sz="2" w:space="0"/>
              <w:right w:val="single" w:color="auto" w:sz="2" w:space="0"/>
            </w:tcBorders>
            <w:vAlign w:val="center"/>
          </w:tcPr>
          <w:p w14:paraId="58F1BE70">
            <w:pPr>
              <w:pStyle w:val="30"/>
              <w:rPr>
                <w:rFonts w:eastAsia="宋体" w:cs="Times New Roman"/>
                <w:color w:val="000000"/>
              </w:rPr>
            </w:pPr>
          </w:p>
        </w:tc>
        <w:tc>
          <w:tcPr>
            <w:tcW w:w="1049" w:type="dxa"/>
            <w:gridSpan w:val="2"/>
            <w:tcBorders>
              <w:top w:val="single" w:color="auto" w:sz="2" w:space="0"/>
              <w:left w:val="single" w:color="auto" w:sz="2" w:space="0"/>
              <w:bottom w:val="single" w:color="auto" w:sz="2" w:space="0"/>
              <w:right w:val="single" w:color="auto" w:sz="2" w:space="0"/>
            </w:tcBorders>
            <w:vAlign w:val="center"/>
          </w:tcPr>
          <w:p w14:paraId="47E86949">
            <w:pPr>
              <w:pStyle w:val="30"/>
              <w:rPr>
                <w:rFonts w:eastAsia="宋体" w:cs="Times New Roman"/>
                <w:color w:val="000000"/>
              </w:rPr>
            </w:pPr>
          </w:p>
        </w:tc>
        <w:tc>
          <w:tcPr>
            <w:tcW w:w="750" w:type="dxa"/>
            <w:tcBorders>
              <w:top w:val="single" w:color="auto" w:sz="2" w:space="0"/>
              <w:left w:val="single" w:color="auto" w:sz="2" w:space="0"/>
              <w:bottom w:val="single" w:color="auto" w:sz="2" w:space="0"/>
              <w:right w:val="single" w:color="auto" w:sz="2" w:space="0"/>
            </w:tcBorders>
            <w:vAlign w:val="center"/>
          </w:tcPr>
          <w:p w14:paraId="65D82D0F">
            <w:pPr>
              <w:pStyle w:val="30"/>
              <w:rPr>
                <w:rFonts w:eastAsia="宋体" w:cs="Times New Roman"/>
                <w:color w:val="000000"/>
              </w:rPr>
            </w:pPr>
          </w:p>
        </w:tc>
        <w:tc>
          <w:tcPr>
            <w:tcW w:w="1561" w:type="dxa"/>
            <w:tcBorders>
              <w:top w:val="single" w:color="auto" w:sz="2" w:space="0"/>
              <w:left w:val="single" w:color="auto" w:sz="2" w:space="0"/>
              <w:bottom w:val="single" w:color="auto" w:sz="2" w:space="0"/>
              <w:right w:val="single" w:color="auto" w:sz="2" w:space="0"/>
            </w:tcBorders>
            <w:vAlign w:val="center"/>
          </w:tcPr>
          <w:p w14:paraId="3A94B3E5">
            <w:pPr>
              <w:pStyle w:val="30"/>
              <w:rPr>
                <w:rFonts w:eastAsia="宋体" w:cs="Times New Roman"/>
                <w:color w:val="000000"/>
              </w:rPr>
            </w:pPr>
          </w:p>
        </w:tc>
      </w:tr>
      <w:tr w14:paraId="5F81AB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454" w:type="dxa"/>
            <w:gridSpan w:val="3"/>
            <w:tcBorders>
              <w:top w:val="single" w:color="auto" w:sz="2" w:space="0"/>
              <w:left w:val="single" w:color="auto" w:sz="2" w:space="0"/>
              <w:bottom w:val="single" w:color="auto" w:sz="2" w:space="0"/>
              <w:right w:val="single" w:color="auto" w:sz="2" w:space="0"/>
            </w:tcBorders>
            <w:vAlign w:val="center"/>
          </w:tcPr>
          <w:p w14:paraId="6C8DDFE3">
            <w:pPr>
              <w:rPr>
                <w:rFonts w:eastAsia="宋体" w:cs="Times New Roman"/>
                <w:color w:val="000000"/>
              </w:rPr>
            </w:pPr>
            <w:r>
              <w:rPr>
                <w:rFonts w:eastAsia="宋体" w:cs="Times New Roman"/>
                <w:color w:val="000000"/>
              </w:rPr>
              <w:t>变化情况剖面示意图</w:t>
            </w:r>
          </w:p>
        </w:tc>
        <w:tc>
          <w:tcPr>
            <w:tcW w:w="6074" w:type="dxa"/>
            <w:gridSpan w:val="8"/>
            <w:tcBorders>
              <w:top w:val="single" w:color="auto" w:sz="2" w:space="0"/>
              <w:left w:val="single" w:color="auto" w:sz="2" w:space="0"/>
              <w:bottom w:val="single" w:color="auto" w:sz="2" w:space="0"/>
              <w:right w:val="single" w:color="auto" w:sz="2" w:space="0"/>
            </w:tcBorders>
            <w:vAlign w:val="center"/>
          </w:tcPr>
          <w:p w14:paraId="0CFE84BC">
            <w:pPr>
              <w:ind w:firstLine="420"/>
              <w:rPr>
                <w:rFonts w:eastAsia="宋体" w:cs="Times New Roman"/>
                <w:color w:val="000000"/>
              </w:rPr>
            </w:pPr>
          </w:p>
        </w:tc>
      </w:tr>
      <w:tr w14:paraId="06D441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942" w:type="dxa"/>
            <w:gridSpan w:val="2"/>
            <w:tcBorders>
              <w:top w:val="single" w:color="auto" w:sz="2" w:space="0"/>
              <w:left w:val="single" w:color="auto" w:sz="2" w:space="0"/>
              <w:bottom w:val="single" w:color="auto" w:sz="2" w:space="0"/>
              <w:right w:val="single" w:color="auto" w:sz="2" w:space="0"/>
            </w:tcBorders>
            <w:vAlign w:val="center"/>
          </w:tcPr>
          <w:p w14:paraId="0EA0BDAA">
            <w:pPr>
              <w:rPr>
                <w:rFonts w:eastAsia="宋体" w:cs="Times New Roman"/>
                <w:color w:val="000000"/>
              </w:rPr>
            </w:pPr>
            <w:r>
              <w:rPr>
                <w:rFonts w:eastAsia="宋体" w:cs="Times New Roman"/>
                <w:color w:val="000000"/>
              </w:rPr>
              <w:t>填表人</w:t>
            </w:r>
          </w:p>
        </w:tc>
        <w:tc>
          <w:tcPr>
            <w:tcW w:w="2192" w:type="dxa"/>
            <w:gridSpan w:val="4"/>
            <w:tcBorders>
              <w:top w:val="single" w:color="auto" w:sz="2" w:space="0"/>
              <w:left w:val="single" w:color="auto" w:sz="2" w:space="0"/>
              <w:bottom w:val="single" w:color="auto" w:sz="2" w:space="0"/>
              <w:right w:val="single" w:color="auto" w:sz="2" w:space="0"/>
            </w:tcBorders>
            <w:vAlign w:val="center"/>
          </w:tcPr>
          <w:p w14:paraId="0E8DC04D">
            <w:pPr>
              <w:rPr>
                <w:rFonts w:eastAsia="宋体" w:cs="Times New Roman"/>
                <w:color w:val="000000"/>
              </w:rPr>
            </w:pPr>
            <w:r>
              <w:rPr>
                <w:rFonts w:eastAsia="宋体" w:cs="Times New Roman"/>
                <w:color w:val="000000"/>
              </w:rPr>
              <w:t>审核人</w:t>
            </w:r>
          </w:p>
        </w:tc>
        <w:tc>
          <w:tcPr>
            <w:tcW w:w="1732" w:type="dxa"/>
            <w:gridSpan w:val="2"/>
            <w:tcBorders>
              <w:top w:val="single" w:color="auto" w:sz="2" w:space="0"/>
              <w:left w:val="single" w:color="auto" w:sz="2" w:space="0"/>
              <w:bottom w:val="single" w:color="auto" w:sz="2" w:space="0"/>
              <w:right w:val="single" w:color="auto" w:sz="2" w:space="0"/>
            </w:tcBorders>
            <w:vAlign w:val="center"/>
          </w:tcPr>
          <w:p w14:paraId="0BD7EC1C">
            <w:pPr>
              <w:rPr>
                <w:rFonts w:eastAsia="宋体" w:cs="Times New Roman"/>
                <w:color w:val="000000"/>
              </w:rPr>
            </w:pPr>
            <w:r>
              <w:rPr>
                <w:rFonts w:eastAsia="宋体" w:cs="Times New Roman"/>
                <w:color w:val="000000"/>
              </w:rPr>
              <w:t>调查负责人</w:t>
            </w:r>
          </w:p>
        </w:tc>
        <w:tc>
          <w:tcPr>
            <w:tcW w:w="2662" w:type="dxa"/>
            <w:gridSpan w:val="3"/>
            <w:tcBorders>
              <w:top w:val="single" w:color="auto" w:sz="2" w:space="0"/>
              <w:left w:val="single" w:color="auto" w:sz="2" w:space="0"/>
              <w:bottom w:val="single" w:color="auto" w:sz="2" w:space="0"/>
              <w:right w:val="single" w:color="auto" w:sz="2" w:space="0"/>
            </w:tcBorders>
            <w:vAlign w:val="center"/>
          </w:tcPr>
          <w:p w14:paraId="4B9D31A3">
            <w:pPr>
              <w:rPr>
                <w:rFonts w:eastAsia="宋体" w:cs="Times New Roman"/>
                <w:color w:val="000000"/>
              </w:rPr>
            </w:pPr>
            <w:r>
              <w:rPr>
                <w:rFonts w:eastAsia="宋体" w:cs="Times New Roman"/>
                <w:color w:val="000000"/>
              </w:rPr>
              <w:t>备注</w:t>
            </w:r>
          </w:p>
        </w:tc>
      </w:tr>
      <w:tr w14:paraId="174389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942" w:type="dxa"/>
            <w:gridSpan w:val="2"/>
            <w:tcBorders>
              <w:top w:val="single" w:color="auto" w:sz="2" w:space="0"/>
              <w:left w:val="single" w:color="auto" w:sz="2" w:space="0"/>
              <w:bottom w:val="single" w:color="auto" w:sz="2" w:space="0"/>
              <w:right w:val="single" w:color="auto" w:sz="2" w:space="0"/>
            </w:tcBorders>
            <w:vAlign w:val="center"/>
          </w:tcPr>
          <w:p w14:paraId="4BE2E1F1">
            <w:pPr>
              <w:rPr>
                <w:rFonts w:eastAsia="宋体" w:cs="Times New Roman"/>
                <w:color w:val="000000"/>
              </w:rPr>
            </w:pPr>
          </w:p>
        </w:tc>
        <w:tc>
          <w:tcPr>
            <w:tcW w:w="2192" w:type="dxa"/>
            <w:gridSpan w:val="4"/>
            <w:tcBorders>
              <w:top w:val="single" w:color="auto" w:sz="2" w:space="0"/>
              <w:left w:val="single" w:color="auto" w:sz="2" w:space="0"/>
              <w:bottom w:val="single" w:color="auto" w:sz="2" w:space="0"/>
              <w:right w:val="single" w:color="auto" w:sz="2" w:space="0"/>
            </w:tcBorders>
            <w:vAlign w:val="center"/>
          </w:tcPr>
          <w:p w14:paraId="4C109366">
            <w:pPr>
              <w:rPr>
                <w:rFonts w:eastAsia="宋体" w:cs="Times New Roman"/>
                <w:color w:val="000000"/>
              </w:rPr>
            </w:pPr>
          </w:p>
        </w:tc>
        <w:tc>
          <w:tcPr>
            <w:tcW w:w="1732" w:type="dxa"/>
            <w:gridSpan w:val="2"/>
            <w:tcBorders>
              <w:top w:val="single" w:color="auto" w:sz="2" w:space="0"/>
              <w:left w:val="single" w:color="auto" w:sz="2" w:space="0"/>
              <w:bottom w:val="single" w:color="auto" w:sz="2" w:space="0"/>
              <w:right w:val="single" w:color="auto" w:sz="2" w:space="0"/>
            </w:tcBorders>
            <w:vAlign w:val="center"/>
          </w:tcPr>
          <w:p w14:paraId="032FB7D4">
            <w:pPr>
              <w:rPr>
                <w:rFonts w:eastAsia="宋体" w:cs="Times New Roman"/>
                <w:color w:val="000000"/>
              </w:rPr>
            </w:pPr>
          </w:p>
        </w:tc>
        <w:tc>
          <w:tcPr>
            <w:tcW w:w="2662" w:type="dxa"/>
            <w:gridSpan w:val="3"/>
            <w:tcBorders>
              <w:top w:val="single" w:color="auto" w:sz="2" w:space="0"/>
              <w:left w:val="single" w:color="auto" w:sz="2" w:space="0"/>
              <w:bottom w:val="single" w:color="auto" w:sz="2" w:space="0"/>
              <w:right w:val="single" w:color="auto" w:sz="2" w:space="0"/>
            </w:tcBorders>
            <w:vAlign w:val="center"/>
          </w:tcPr>
          <w:p w14:paraId="0B15454E">
            <w:pPr>
              <w:rPr>
                <w:rFonts w:eastAsia="宋体" w:cs="Times New Roman"/>
                <w:color w:val="000000"/>
              </w:rPr>
            </w:pPr>
          </w:p>
        </w:tc>
      </w:tr>
    </w:tbl>
    <w:p w14:paraId="3BA9E5BC">
      <w:pPr>
        <w:rPr>
          <w:rFonts w:eastAsia="宋体" w:cs="Times New Roman"/>
          <w:b/>
          <w:bCs/>
          <w:color w:val="000000" w:themeColor="text1"/>
          <w:sz w:val="36"/>
          <w:szCs w:val="36"/>
          <w14:textFill>
            <w14:solidFill>
              <w14:schemeClr w14:val="tx1"/>
            </w14:solidFill>
          </w14:textFill>
        </w:rPr>
      </w:pPr>
      <w:bookmarkStart w:id="29" w:name="_Toc6920"/>
      <w:bookmarkStart w:id="30" w:name="_Toc8405"/>
      <w:r>
        <w:rPr>
          <w:rFonts w:eastAsia="宋体" w:cs="Times New Roman"/>
          <w:b/>
          <w:bCs/>
          <w:color w:val="FF0000"/>
          <w:sz w:val="36"/>
          <w:szCs w:val="36"/>
        </w:rPr>
        <w:br w:type="page"/>
      </w:r>
      <w:r>
        <w:rPr>
          <w:rFonts w:eastAsia="宋体" w:cs="Times New Roman"/>
          <w:b/>
          <w:bCs/>
          <w:color w:val="000000" w:themeColor="text1"/>
          <w:sz w:val="36"/>
          <w:szCs w:val="36"/>
          <w14:textFill>
            <w14:solidFill>
              <w14:schemeClr w14:val="tx1"/>
            </w14:solidFill>
          </w14:textFill>
        </w:rPr>
        <w:t>第六章  经费估算</w:t>
      </w:r>
      <w:bookmarkEnd w:id="29"/>
      <w:bookmarkEnd w:id="30"/>
    </w:p>
    <w:p w14:paraId="20E2720B">
      <w:pPr>
        <w:spacing w:line="360" w:lineRule="auto"/>
        <w:jc w:val="both"/>
        <w:rPr>
          <w:rFonts w:eastAsia="宋体" w:cs="Times New Roman"/>
          <w:b/>
          <w:bCs/>
          <w:color w:val="000000" w:themeColor="text1"/>
          <w:sz w:val="32"/>
          <w:szCs w:val="32"/>
          <w14:textFill>
            <w14:solidFill>
              <w14:schemeClr w14:val="tx1"/>
            </w14:solidFill>
          </w14:textFill>
        </w:rPr>
      </w:pPr>
      <w:r>
        <w:rPr>
          <w:rFonts w:eastAsia="宋体" w:cs="Times New Roman"/>
          <w:b/>
          <w:bCs/>
          <w:color w:val="000000" w:themeColor="text1"/>
          <w:sz w:val="32"/>
          <w:szCs w:val="32"/>
          <w14:textFill>
            <w14:solidFill>
              <w14:schemeClr w14:val="tx1"/>
            </w14:solidFill>
          </w14:textFill>
        </w:rPr>
        <w:t>一、费用计算</w:t>
      </w:r>
    </w:p>
    <w:p w14:paraId="087F5F3C">
      <w:pPr>
        <w:spacing w:line="360" w:lineRule="auto"/>
        <w:ind w:firstLine="480"/>
        <w:jc w:val="left"/>
        <w:rPr>
          <w:rFonts w:eastAsia="宋体" w:cs="Times New Roman"/>
          <w:color w:val="000000" w:themeColor="text1"/>
          <w:sz w:val="24"/>
          <w:szCs w:val="32"/>
          <w14:textFill>
            <w14:solidFill>
              <w14:schemeClr w14:val="tx1"/>
            </w14:solidFill>
          </w14:textFill>
        </w:rPr>
      </w:pPr>
      <w:r>
        <w:rPr>
          <w:rFonts w:eastAsia="宋体" w:cs="Times New Roman"/>
          <w:color w:val="000000" w:themeColor="text1"/>
          <w:sz w:val="24"/>
          <w:szCs w:val="32"/>
          <w14:textFill>
            <w14:solidFill>
              <w14:schemeClr w14:val="tx1"/>
            </w14:solidFill>
          </w14:textFill>
        </w:rPr>
        <w:t>经估算，202</w:t>
      </w:r>
      <w:r>
        <w:rPr>
          <w:rFonts w:hint="eastAsia" w:eastAsia="宋体" w:cs="Times New Roman"/>
          <w:color w:val="000000" w:themeColor="text1"/>
          <w:sz w:val="24"/>
          <w:szCs w:val="32"/>
          <w14:textFill>
            <w14:solidFill>
              <w14:schemeClr w14:val="tx1"/>
            </w14:solidFill>
          </w14:textFill>
        </w:rPr>
        <w:t>5</w:t>
      </w:r>
      <w:r>
        <w:rPr>
          <w:rFonts w:eastAsia="宋体" w:cs="Times New Roman"/>
          <w:color w:val="000000" w:themeColor="text1"/>
          <w:sz w:val="24"/>
          <w:szCs w:val="32"/>
          <w14:textFill>
            <w14:solidFill>
              <w14:schemeClr w14:val="tx1"/>
            </w14:solidFill>
          </w14:textFill>
        </w:rPr>
        <w:t>年度赤峰市松山区关家营环球钼矿有限责任公司矿山地质环境治理费用为0.4</w:t>
      </w:r>
      <w:r>
        <w:rPr>
          <w:rFonts w:hint="eastAsia" w:eastAsia="宋体" w:cs="Times New Roman"/>
          <w:color w:val="000000" w:themeColor="text1"/>
          <w:sz w:val="24"/>
          <w:szCs w:val="32"/>
          <w14:textFill>
            <w14:solidFill>
              <w14:schemeClr w14:val="tx1"/>
            </w14:solidFill>
          </w14:textFill>
        </w:rPr>
        <w:t>8</w:t>
      </w:r>
      <w:r>
        <w:rPr>
          <w:rFonts w:eastAsia="宋体" w:cs="Times New Roman"/>
          <w:color w:val="000000" w:themeColor="text1"/>
          <w:sz w:val="24"/>
          <w:szCs w:val="32"/>
          <w14:textFill>
            <w14:solidFill>
              <w14:schemeClr w14:val="tx1"/>
            </w14:solidFill>
          </w14:textFill>
        </w:rPr>
        <w:t>万元。工程经费估算总额和各单项工程经费估算结果如下：</w:t>
      </w:r>
    </w:p>
    <w:p w14:paraId="0D7C3C7C">
      <w:pPr>
        <w:spacing w:line="360" w:lineRule="auto"/>
        <w:ind w:firstLine="480"/>
        <w:jc w:val="left"/>
        <w:rPr>
          <w:rFonts w:eastAsia="宋体" w:cs="Times New Roman"/>
          <w:color w:val="000000" w:themeColor="text1"/>
          <w:sz w:val="24"/>
          <w:szCs w:val="32"/>
          <w14:textFill>
            <w14:solidFill>
              <w14:schemeClr w14:val="tx1"/>
            </w14:solidFill>
          </w14:textFill>
        </w:rPr>
      </w:pPr>
      <w:r>
        <w:rPr>
          <w:rFonts w:eastAsia="宋体" w:cs="Times New Roman"/>
          <w:color w:val="000000" w:themeColor="text1"/>
          <w:sz w:val="24"/>
          <w:szCs w:val="32"/>
          <w14:textFill>
            <w14:solidFill>
              <w14:schemeClr w14:val="tx1"/>
            </w14:solidFill>
          </w14:textFill>
        </w:rPr>
        <w:t>监测管护费</w:t>
      </w:r>
    </w:p>
    <w:p w14:paraId="3F75FE07">
      <w:pPr>
        <w:spacing w:line="360" w:lineRule="auto"/>
        <w:ind w:firstLine="480"/>
        <w:jc w:val="left"/>
        <w:rPr>
          <w:rFonts w:eastAsia="宋体" w:cs="Times New Roman"/>
          <w:color w:val="000000" w:themeColor="text1"/>
          <w:sz w:val="24"/>
          <w:szCs w:val="32"/>
          <w14:textFill>
            <w14:solidFill>
              <w14:schemeClr w14:val="tx1"/>
            </w14:solidFill>
          </w14:textFill>
        </w:rPr>
      </w:pPr>
      <w:r>
        <w:rPr>
          <w:rFonts w:eastAsia="宋体" w:cs="Times New Roman"/>
          <w:color w:val="000000" w:themeColor="text1"/>
          <w:sz w:val="24"/>
          <w:szCs w:val="32"/>
          <w14:textFill>
            <w14:solidFill>
              <w14:schemeClr w14:val="tx1"/>
            </w14:solidFill>
          </w14:textFill>
        </w:rPr>
        <w:t>监测管护费=监测费+管护费。</w:t>
      </w:r>
    </w:p>
    <w:p w14:paraId="5A1F3931">
      <w:pPr>
        <w:spacing w:line="360" w:lineRule="auto"/>
        <w:ind w:firstLine="480"/>
        <w:jc w:val="left"/>
        <w:rPr>
          <w:rFonts w:eastAsia="宋体" w:cs="Times New Roman"/>
          <w:color w:val="000000" w:themeColor="text1"/>
          <w:sz w:val="24"/>
          <w:szCs w:val="32"/>
          <w14:textFill>
            <w14:solidFill>
              <w14:schemeClr w14:val="tx1"/>
            </w14:solidFill>
          </w14:textFill>
        </w:rPr>
      </w:pPr>
      <w:r>
        <w:rPr>
          <w:rFonts w:eastAsia="宋体" w:cs="Times New Roman"/>
          <w:color w:val="000000" w:themeColor="text1"/>
          <w:sz w:val="24"/>
          <w:szCs w:val="32"/>
          <w14:textFill>
            <w14:solidFill>
              <w14:schemeClr w14:val="tx1"/>
            </w14:solidFill>
          </w14:textFill>
        </w:rPr>
        <w:t>1、监测费</w:t>
      </w:r>
    </w:p>
    <w:p w14:paraId="71C1D54C">
      <w:pPr>
        <w:spacing w:line="360" w:lineRule="auto"/>
        <w:ind w:firstLine="480"/>
        <w:jc w:val="left"/>
        <w:rPr>
          <w:rFonts w:hint="eastAsia" w:eastAsia="宋体" w:cs="Times New Roman"/>
          <w:color w:val="000000" w:themeColor="text1"/>
          <w:sz w:val="24"/>
          <w:szCs w:val="32"/>
          <w14:textFill>
            <w14:solidFill>
              <w14:schemeClr w14:val="tx1"/>
            </w14:solidFill>
          </w14:textFill>
        </w:rPr>
      </w:pPr>
      <w:r>
        <w:rPr>
          <w:rFonts w:eastAsia="宋体" w:cs="Times New Roman"/>
          <w:color w:val="000000" w:themeColor="text1"/>
          <w:sz w:val="24"/>
          <w:szCs w:val="32"/>
          <w14:textFill>
            <w14:solidFill>
              <w14:schemeClr w14:val="tx1"/>
            </w14:solidFill>
          </w14:textFill>
        </w:rPr>
        <w:t>监测费是矿山对地质环境监测、土地复垦效果监测产生的费用，综合本区实际情况，按</w:t>
      </w:r>
      <w:r>
        <w:rPr>
          <w:rFonts w:hint="eastAsia" w:eastAsia="宋体" w:cs="Times New Roman"/>
          <w:color w:val="000000" w:themeColor="text1"/>
          <w:sz w:val="24"/>
          <w:szCs w:val="32"/>
          <w14:textFill>
            <w14:solidFill>
              <w14:schemeClr w14:val="tx1"/>
            </w14:solidFill>
          </w14:textFill>
        </w:rPr>
        <w:t>460</w:t>
      </w:r>
      <w:r>
        <w:rPr>
          <w:rFonts w:eastAsia="宋体" w:cs="Times New Roman"/>
          <w:color w:val="000000" w:themeColor="text1"/>
          <w:sz w:val="24"/>
          <w:szCs w:val="32"/>
          <w14:textFill>
            <w14:solidFill>
              <w14:schemeClr w14:val="tx1"/>
            </w14:solidFill>
          </w14:textFill>
        </w:rPr>
        <w:t>元/次计取。本年度共设计监测</w:t>
      </w:r>
      <w:r>
        <w:rPr>
          <w:rFonts w:hint="eastAsia" w:eastAsia="宋体" w:cs="Times New Roman"/>
          <w:color w:val="000000" w:themeColor="text1"/>
          <w:sz w:val="24"/>
          <w:szCs w:val="32"/>
          <w14:textFill>
            <w14:solidFill>
              <w14:schemeClr w14:val="tx1"/>
            </w14:solidFill>
          </w14:textFill>
        </w:rPr>
        <w:t>4</w:t>
      </w:r>
      <w:r>
        <w:rPr>
          <w:rFonts w:eastAsia="宋体" w:cs="Times New Roman"/>
          <w:color w:val="000000" w:themeColor="text1"/>
          <w:sz w:val="24"/>
          <w:szCs w:val="32"/>
          <w14:textFill>
            <w14:solidFill>
              <w14:schemeClr w14:val="tx1"/>
            </w14:solidFill>
          </w14:textFill>
        </w:rPr>
        <w:t>次。</w:t>
      </w:r>
    </w:p>
    <w:p w14:paraId="5F411510">
      <w:pPr>
        <w:spacing w:line="360" w:lineRule="auto"/>
        <w:rPr>
          <w:rFonts w:hint="eastAsia"/>
        </w:rPr>
      </w:pPr>
      <w:r>
        <w:rPr>
          <w:rFonts w:ascii="黑体" w:hAnsi="黑体" w:eastAsia="黑体" w:cs="黑体"/>
          <w:color w:val="000000" w:themeColor="text1"/>
          <w:sz w:val="24"/>
          <w:szCs w:val="32"/>
          <w14:textFill>
            <w14:solidFill>
              <w14:schemeClr w14:val="tx1"/>
            </w14:solidFill>
          </w14:textFill>
        </w:rPr>
        <w:t>表</w:t>
      </w:r>
      <w:r>
        <w:rPr>
          <w:rFonts w:hint="eastAsia" w:ascii="黑体" w:hAnsi="黑体" w:eastAsia="黑体" w:cs="黑体"/>
          <w:color w:val="000000" w:themeColor="text1"/>
          <w:sz w:val="24"/>
          <w:szCs w:val="32"/>
          <w14:textFill>
            <w14:solidFill>
              <w14:schemeClr w14:val="tx1"/>
            </w14:solidFill>
          </w14:textFill>
        </w:rPr>
        <w:t xml:space="preserve">6-1  </w:t>
      </w:r>
      <w:r>
        <w:rPr>
          <w:rFonts w:ascii="黑体" w:hAnsi="黑体" w:eastAsia="黑体" w:cs="黑体"/>
          <w:color w:val="000000" w:themeColor="text1"/>
          <w:sz w:val="24"/>
          <w:szCs w:val="32"/>
          <w14:textFill>
            <w14:solidFill>
              <w14:schemeClr w14:val="tx1"/>
            </w14:solidFill>
          </w14:textFill>
        </w:rPr>
        <w:t>矿山地质环境与土地复垦监测单价分析表</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3657"/>
        <w:gridCol w:w="2361"/>
        <w:gridCol w:w="2504"/>
      </w:tblGrid>
      <w:tr w14:paraId="4E7D04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31" w:type="pct"/>
            <w:gridSpan w:val="2"/>
            <w:shd w:val="clear" w:color="auto" w:fill="auto"/>
            <w:vAlign w:val="center"/>
          </w:tcPr>
          <w:p w14:paraId="7424AA65">
            <w:pPr>
              <w:widowControl w:val="0"/>
              <w:adjustRightInd/>
              <w:snapToGrid/>
              <w:spacing w:line="240" w:lineRule="exact"/>
              <w:rPr>
                <w:rFonts w:ascii="宋体" w:hAnsi="宋体" w:eastAsia="宋体" w:cs="Times New Roman"/>
                <w:snapToGrid w:val="0"/>
                <w:color w:val="000000"/>
                <w:w w:val="95"/>
                <w:kern w:val="0"/>
              </w:rPr>
            </w:pPr>
            <w:r>
              <w:rPr>
                <w:rFonts w:ascii="宋体" w:hAnsi="宋体" w:eastAsia="宋体" w:cs="Times New Roman"/>
                <w:snapToGrid w:val="0"/>
                <w:color w:val="000000"/>
                <w:w w:val="95"/>
                <w:kern w:val="0"/>
              </w:rPr>
              <w:t>监测内容</w:t>
            </w:r>
          </w:p>
        </w:tc>
        <w:tc>
          <w:tcPr>
            <w:tcW w:w="1469" w:type="pct"/>
            <w:vMerge w:val="restart"/>
            <w:shd w:val="clear" w:color="auto" w:fill="auto"/>
            <w:vAlign w:val="center"/>
          </w:tcPr>
          <w:p w14:paraId="49608BC7">
            <w:pPr>
              <w:widowControl w:val="0"/>
              <w:adjustRightInd/>
              <w:snapToGrid/>
              <w:spacing w:line="240" w:lineRule="exact"/>
              <w:rPr>
                <w:rFonts w:ascii="宋体" w:hAnsi="宋体" w:eastAsia="宋体" w:cs="Times New Roman"/>
                <w:snapToGrid w:val="0"/>
                <w:color w:val="000000"/>
                <w:w w:val="95"/>
                <w:kern w:val="0"/>
              </w:rPr>
            </w:pPr>
            <w:r>
              <w:rPr>
                <w:rFonts w:ascii="宋体" w:hAnsi="宋体" w:eastAsia="宋体" w:cs="Times New Roman"/>
                <w:snapToGrid w:val="0"/>
                <w:color w:val="000000"/>
                <w:w w:val="95"/>
                <w:kern w:val="0"/>
              </w:rPr>
              <w:t>取费标准（元/次/）</w:t>
            </w:r>
          </w:p>
        </w:tc>
      </w:tr>
      <w:tr w14:paraId="0975A3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146" w:type="pct"/>
            <w:shd w:val="clear" w:color="auto" w:fill="auto"/>
            <w:vAlign w:val="center"/>
          </w:tcPr>
          <w:p w14:paraId="258C3AC1">
            <w:pPr>
              <w:widowControl w:val="0"/>
              <w:adjustRightInd/>
              <w:snapToGrid/>
              <w:spacing w:line="240" w:lineRule="exact"/>
              <w:rPr>
                <w:rFonts w:ascii="宋体" w:hAnsi="宋体" w:eastAsia="宋体" w:cs="Times New Roman"/>
                <w:snapToGrid w:val="0"/>
                <w:color w:val="000000"/>
                <w:w w:val="95"/>
                <w:kern w:val="0"/>
              </w:rPr>
            </w:pPr>
            <w:r>
              <w:rPr>
                <w:rFonts w:ascii="宋体" w:hAnsi="宋体" w:eastAsia="宋体" w:cs="Times New Roman"/>
                <w:snapToGrid w:val="0"/>
                <w:color w:val="000000"/>
                <w:w w:val="95"/>
                <w:kern w:val="0"/>
              </w:rPr>
              <w:t>监测类型</w:t>
            </w:r>
          </w:p>
        </w:tc>
        <w:tc>
          <w:tcPr>
            <w:tcW w:w="1385" w:type="pct"/>
            <w:shd w:val="clear" w:color="auto" w:fill="auto"/>
            <w:vAlign w:val="center"/>
          </w:tcPr>
          <w:p w14:paraId="6CD61FB5">
            <w:pPr>
              <w:widowControl w:val="0"/>
              <w:adjustRightInd/>
              <w:snapToGrid/>
              <w:spacing w:line="240" w:lineRule="exact"/>
              <w:rPr>
                <w:rFonts w:ascii="宋体" w:hAnsi="宋体" w:eastAsia="宋体" w:cs="Times New Roman"/>
                <w:snapToGrid w:val="0"/>
                <w:color w:val="000000"/>
                <w:w w:val="95"/>
                <w:kern w:val="0"/>
              </w:rPr>
            </w:pPr>
            <w:r>
              <w:rPr>
                <w:rFonts w:ascii="宋体" w:hAnsi="宋体" w:eastAsia="宋体" w:cs="Times New Roman"/>
                <w:snapToGrid w:val="0"/>
                <w:color w:val="000000"/>
                <w:w w:val="95"/>
                <w:kern w:val="0"/>
              </w:rPr>
              <w:t>监测项目</w:t>
            </w:r>
          </w:p>
        </w:tc>
        <w:tc>
          <w:tcPr>
            <w:tcW w:w="1469" w:type="pct"/>
            <w:vMerge w:val="continue"/>
            <w:vAlign w:val="center"/>
          </w:tcPr>
          <w:p w14:paraId="0256F183">
            <w:pPr>
              <w:widowControl w:val="0"/>
              <w:adjustRightInd/>
              <w:snapToGrid/>
              <w:spacing w:line="240" w:lineRule="exact"/>
              <w:rPr>
                <w:rFonts w:ascii="宋体" w:hAnsi="宋体" w:eastAsia="宋体" w:cs="Times New Roman"/>
                <w:snapToGrid w:val="0"/>
                <w:color w:val="000000"/>
                <w:w w:val="95"/>
                <w:kern w:val="0"/>
              </w:rPr>
            </w:pPr>
          </w:p>
        </w:tc>
      </w:tr>
      <w:tr w14:paraId="7FC19F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146" w:type="pct"/>
            <w:vMerge w:val="restart"/>
            <w:shd w:val="clear" w:color="auto" w:fill="auto"/>
            <w:vAlign w:val="center"/>
          </w:tcPr>
          <w:p w14:paraId="6228E929">
            <w:pPr>
              <w:widowControl w:val="0"/>
              <w:adjustRightInd/>
              <w:snapToGrid/>
              <w:spacing w:line="240" w:lineRule="exact"/>
              <w:rPr>
                <w:rFonts w:ascii="宋体" w:hAnsi="宋体" w:eastAsia="宋体" w:cs="Times New Roman"/>
                <w:snapToGrid w:val="0"/>
                <w:color w:val="000000"/>
                <w:w w:val="95"/>
                <w:kern w:val="0"/>
              </w:rPr>
            </w:pPr>
            <w:r>
              <w:rPr>
                <w:rFonts w:ascii="宋体" w:hAnsi="宋体" w:eastAsia="宋体" w:cs="Times New Roman"/>
                <w:snapToGrid w:val="0"/>
                <w:color w:val="000000"/>
                <w:w w:val="95"/>
                <w:kern w:val="0"/>
              </w:rPr>
              <w:t>地质灾害（</w:t>
            </w:r>
            <w:r>
              <w:rPr>
                <w:rFonts w:hint="eastAsia" w:ascii="宋体" w:hAnsi="宋体" w:eastAsia="宋体" w:cs="Times New Roman"/>
                <w:snapToGrid w:val="0"/>
                <w:color w:val="000000"/>
                <w:w w:val="95"/>
                <w:kern w:val="0"/>
              </w:rPr>
              <w:t>3个</w:t>
            </w:r>
            <w:r>
              <w:rPr>
                <w:rFonts w:ascii="宋体" w:hAnsi="宋体" w:eastAsia="宋体" w:cs="Times New Roman"/>
                <w:snapToGrid w:val="0"/>
                <w:color w:val="000000"/>
                <w:w w:val="95"/>
                <w:kern w:val="0"/>
              </w:rPr>
              <w:t>）</w:t>
            </w:r>
          </w:p>
        </w:tc>
        <w:tc>
          <w:tcPr>
            <w:tcW w:w="1385" w:type="pct"/>
            <w:shd w:val="clear" w:color="auto" w:fill="auto"/>
            <w:vAlign w:val="center"/>
          </w:tcPr>
          <w:p w14:paraId="343AEE55">
            <w:pPr>
              <w:widowControl w:val="0"/>
              <w:adjustRightInd/>
              <w:snapToGrid/>
              <w:spacing w:line="240" w:lineRule="exact"/>
              <w:rPr>
                <w:rFonts w:ascii="宋体" w:hAnsi="宋体" w:eastAsia="宋体" w:cs="Times New Roman"/>
                <w:snapToGrid w:val="0"/>
                <w:color w:val="000000"/>
                <w:w w:val="95"/>
                <w:kern w:val="0"/>
              </w:rPr>
            </w:pPr>
            <w:r>
              <w:rPr>
                <w:rFonts w:hint="eastAsia" w:ascii="宋体" w:hAnsi="宋体" w:eastAsia="宋体" w:cs="Times New Roman"/>
                <w:snapToGrid w:val="0"/>
                <w:color w:val="000000"/>
                <w:w w:val="95"/>
                <w:kern w:val="0"/>
              </w:rPr>
              <w:t>全站仪</w:t>
            </w:r>
          </w:p>
        </w:tc>
        <w:tc>
          <w:tcPr>
            <w:tcW w:w="1469" w:type="pct"/>
            <w:shd w:val="clear" w:color="auto" w:fill="auto"/>
            <w:vAlign w:val="center"/>
          </w:tcPr>
          <w:p w14:paraId="4A07E250">
            <w:pPr>
              <w:widowControl w:val="0"/>
              <w:adjustRightInd/>
              <w:snapToGrid/>
              <w:spacing w:line="240" w:lineRule="exact"/>
              <w:rPr>
                <w:rFonts w:ascii="宋体" w:hAnsi="宋体" w:eastAsia="宋体" w:cs="Times New Roman"/>
                <w:snapToGrid w:val="0"/>
                <w:color w:val="000000"/>
                <w:w w:val="95"/>
                <w:kern w:val="0"/>
              </w:rPr>
            </w:pPr>
            <w:r>
              <w:rPr>
                <w:rFonts w:ascii="宋体" w:hAnsi="宋体" w:eastAsia="宋体" w:cs="Times New Roman"/>
                <w:snapToGrid w:val="0"/>
                <w:color w:val="000000"/>
                <w:w w:val="95"/>
                <w:kern w:val="0"/>
              </w:rPr>
              <w:t>100元/次/个</w:t>
            </w:r>
          </w:p>
        </w:tc>
      </w:tr>
      <w:tr w14:paraId="2579B3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146" w:type="pct"/>
            <w:vMerge w:val="continue"/>
            <w:shd w:val="clear" w:color="auto" w:fill="auto"/>
            <w:vAlign w:val="center"/>
          </w:tcPr>
          <w:p w14:paraId="25C918EE">
            <w:pPr>
              <w:widowControl w:val="0"/>
              <w:adjustRightInd/>
              <w:snapToGrid/>
              <w:spacing w:line="240" w:lineRule="exact"/>
              <w:rPr>
                <w:rFonts w:ascii="宋体" w:hAnsi="宋体" w:eastAsia="宋体" w:cs="Times New Roman"/>
                <w:snapToGrid w:val="0"/>
                <w:color w:val="000000"/>
                <w:w w:val="95"/>
                <w:kern w:val="0"/>
              </w:rPr>
            </w:pPr>
          </w:p>
        </w:tc>
        <w:tc>
          <w:tcPr>
            <w:tcW w:w="1385" w:type="pct"/>
            <w:shd w:val="clear" w:color="auto" w:fill="auto"/>
            <w:vAlign w:val="center"/>
          </w:tcPr>
          <w:p w14:paraId="4776B9C6">
            <w:pPr>
              <w:widowControl w:val="0"/>
              <w:adjustRightInd/>
              <w:snapToGrid/>
              <w:spacing w:line="240" w:lineRule="exact"/>
              <w:rPr>
                <w:rFonts w:ascii="宋体" w:hAnsi="宋体" w:eastAsia="宋体" w:cs="Times New Roman"/>
                <w:snapToGrid w:val="0"/>
                <w:color w:val="000000"/>
                <w:w w:val="95"/>
                <w:kern w:val="0"/>
              </w:rPr>
            </w:pPr>
            <w:r>
              <w:rPr>
                <w:rFonts w:ascii="宋体" w:hAnsi="宋体" w:eastAsia="宋体" w:cs="Times New Roman"/>
                <w:snapToGrid w:val="0"/>
                <w:color w:val="000000"/>
                <w:w w:val="95"/>
                <w:kern w:val="0"/>
              </w:rPr>
              <w:t>人工巡查</w:t>
            </w:r>
          </w:p>
        </w:tc>
        <w:tc>
          <w:tcPr>
            <w:tcW w:w="1469" w:type="pct"/>
            <w:shd w:val="clear" w:color="auto" w:fill="auto"/>
            <w:vAlign w:val="center"/>
          </w:tcPr>
          <w:p w14:paraId="385E9DE5">
            <w:pPr>
              <w:widowControl w:val="0"/>
              <w:adjustRightInd/>
              <w:snapToGrid/>
              <w:spacing w:line="240" w:lineRule="exact"/>
              <w:rPr>
                <w:rFonts w:ascii="宋体" w:hAnsi="宋体" w:eastAsia="宋体" w:cs="Times New Roman"/>
                <w:snapToGrid w:val="0"/>
                <w:color w:val="000000"/>
                <w:w w:val="95"/>
                <w:kern w:val="0"/>
              </w:rPr>
            </w:pPr>
            <w:r>
              <w:rPr>
                <w:rFonts w:hint="eastAsia" w:ascii="宋体" w:hAnsi="宋体" w:eastAsia="宋体" w:cs="Times New Roman"/>
                <w:snapToGrid w:val="0"/>
                <w:color w:val="000000"/>
                <w:w w:val="95"/>
                <w:kern w:val="0"/>
              </w:rPr>
              <w:t>20</w:t>
            </w:r>
            <w:r>
              <w:rPr>
                <w:rFonts w:ascii="宋体" w:hAnsi="宋体" w:eastAsia="宋体" w:cs="Times New Roman"/>
                <w:snapToGrid w:val="0"/>
                <w:color w:val="000000"/>
                <w:w w:val="95"/>
                <w:kern w:val="0"/>
              </w:rPr>
              <w:t>元次/个</w:t>
            </w:r>
          </w:p>
        </w:tc>
      </w:tr>
      <w:tr w14:paraId="37B839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146" w:type="pct"/>
            <w:shd w:val="clear" w:color="auto" w:fill="auto"/>
            <w:vAlign w:val="center"/>
          </w:tcPr>
          <w:p w14:paraId="5A1819DB">
            <w:pPr>
              <w:widowControl w:val="0"/>
              <w:adjustRightInd/>
              <w:snapToGrid/>
              <w:spacing w:line="240" w:lineRule="exact"/>
              <w:rPr>
                <w:rFonts w:ascii="宋体" w:hAnsi="宋体" w:eastAsia="宋体" w:cs="Times New Roman"/>
                <w:snapToGrid w:val="0"/>
                <w:color w:val="000000"/>
                <w:w w:val="95"/>
                <w:kern w:val="0"/>
              </w:rPr>
            </w:pPr>
            <w:r>
              <w:rPr>
                <w:rFonts w:ascii="宋体" w:hAnsi="宋体" w:eastAsia="宋体" w:cs="Times New Roman"/>
                <w:snapToGrid w:val="0"/>
                <w:color w:val="000000"/>
                <w:w w:val="95"/>
                <w:kern w:val="0"/>
              </w:rPr>
              <w:t>地形地貌景观及土地损毁监测</w:t>
            </w:r>
          </w:p>
        </w:tc>
        <w:tc>
          <w:tcPr>
            <w:tcW w:w="1385" w:type="pct"/>
            <w:shd w:val="clear" w:color="auto" w:fill="auto"/>
            <w:vAlign w:val="center"/>
          </w:tcPr>
          <w:p w14:paraId="3DA86731">
            <w:pPr>
              <w:widowControl w:val="0"/>
              <w:adjustRightInd/>
              <w:snapToGrid/>
              <w:spacing w:line="240" w:lineRule="exact"/>
              <w:rPr>
                <w:rFonts w:ascii="宋体" w:hAnsi="宋体" w:eastAsia="宋体" w:cs="Times New Roman"/>
                <w:snapToGrid w:val="0"/>
                <w:color w:val="000000"/>
                <w:w w:val="95"/>
                <w:kern w:val="0"/>
              </w:rPr>
            </w:pPr>
            <w:r>
              <w:rPr>
                <w:rFonts w:hint="eastAsia" w:ascii="宋体" w:hAnsi="宋体" w:eastAsia="宋体" w:cs="Times New Roman"/>
                <w:snapToGrid w:val="0"/>
                <w:color w:val="000000"/>
                <w:w w:val="95"/>
                <w:kern w:val="0"/>
              </w:rPr>
              <w:t>人工</w:t>
            </w:r>
            <w:r>
              <w:rPr>
                <w:rFonts w:ascii="宋体" w:hAnsi="宋体" w:eastAsia="宋体" w:cs="Times New Roman"/>
                <w:snapToGrid w:val="0"/>
                <w:color w:val="000000"/>
                <w:w w:val="95"/>
                <w:kern w:val="0"/>
              </w:rPr>
              <w:t>巡查</w:t>
            </w:r>
          </w:p>
        </w:tc>
        <w:tc>
          <w:tcPr>
            <w:tcW w:w="1469" w:type="pct"/>
            <w:shd w:val="clear" w:color="auto" w:fill="auto"/>
            <w:vAlign w:val="center"/>
          </w:tcPr>
          <w:p w14:paraId="4DD36F5B">
            <w:pPr>
              <w:widowControl w:val="0"/>
              <w:adjustRightInd/>
              <w:snapToGrid/>
              <w:spacing w:line="240" w:lineRule="exact"/>
              <w:rPr>
                <w:rFonts w:ascii="宋体" w:hAnsi="宋体" w:eastAsia="宋体" w:cs="Times New Roman"/>
                <w:snapToGrid w:val="0"/>
                <w:color w:val="000000"/>
                <w:w w:val="95"/>
                <w:kern w:val="0"/>
              </w:rPr>
            </w:pPr>
            <w:r>
              <w:rPr>
                <w:rFonts w:hint="eastAsia" w:ascii="宋体" w:hAnsi="宋体" w:eastAsia="宋体" w:cs="Times New Roman"/>
                <w:snapToGrid w:val="0"/>
                <w:color w:val="000000"/>
                <w:w w:val="95"/>
                <w:kern w:val="0"/>
              </w:rPr>
              <w:t>50</w:t>
            </w:r>
            <w:r>
              <w:rPr>
                <w:rFonts w:ascii="宋体" w:hAnsi="宋体" w:eastAsia="宋体" w:cs="Times New Roman"/>
                <w:snapToGrid w:val="0"/>
                <w:color w:val="000000"/>
                <w:w w:val="95"/>
                <w:kern w:val="0"/>
              </w:rPr>
              <w:t>元/次</w:t>
            </w:r>
          </w:p>
        </w:tc>
      </w:tr>
      <w:tr w14:paraId="3713FC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146" w:type="pct"/>
            <w:shd w:val="clear" w:color="auto" w:fill="auto"/>
            <w:vAlign w:val="center"/>
          </w:tcPr>
          <w:p w14:paraId="4BCD982B">
            <w:pPr>
              <w:widowControl w:val="0"/>
              <w:adjustRightInd/>
              <w:snapToGrid/>
              <w:spacing w:line="240" w:lineRule="exact"/>
              <w:rPr>
                <w:rFonts w:ascii="宋体" w:hAnsi="宋体" w:eastAsia="宋体" w:cs="Times New Roman"/>
                <w:snapToGrid w:val="0"/>
                <w:color w:val="000000"/>
                <w:w w:val="95"/>
                <w:kern w:val="0"/>
              </w:rPr>
            </w:pPr>
            <w:r>
              <w:rPr>
                <w:rFonts w:ascii="宋体" w:hAnsi="宋体" w:eastAsia="宋体" w:cs="Times New Roman"/>
                <w:snapToGrid w:val="0"/>
                <w:color w:val="000000"/>
                <w:w w:val="95"/>
                <w:kern w:val="0"/>
              </w:rPr>
              <w:t>植被恢复效果监测</w:t>
            </w:r>
          </w:p>
        </w:tc>
        <w:tc>
          <w:tcPr>
            <w:tcW w:w="1385" w:type="pct"/>
            <w:shd w:val="clear" w:color="auto" w:fill="auto"/>
            <w:vAlign w:val="center"/>
          </w:tcPr>
          <w:p w14:paraId="24FE6FEA">
            <w:pPr>
              <w:widowControl w:val="0"/>
              <w:adjustRightInd/>
              <w:snapToGrid/>
              <w:spacing w:line="240" w:lineRule="exact"/>
              <w:rPr>
                <w:rFonts w:ascii="宋体" w:hAnsi="宋体" w:eastAsia="宋体" w:cs="Times New Roman"/>
                <w:snapToGrid w:val="0"/>
                <w:color w:val="000000"/>
                <w:w w:val="95"/>
                <w:kern w:val="0"/>
              </w:rPr>
            </w:pPr>
            <w:r>
              <w:rPr>
                <w:rFonts w:ascii="宋体" w:hAnsi="宋体" w:eastAsia="宋体" w:cs="Times New Roman"/>
                <w:snapToGrid w:val="0"/>
                <w:color w:val="000000"/>
                <w:w w:val="95"/>
                <w:kern w:val="0"/>
              </w:rPr>
              <w:t>植被长势</w:t>
            </w:r>
          </w:p>
        </w:tc>
        <w:tc>
          <w:tcPr>
            <w:tcW w:w="1469" w:type="pct"/>
            <w:shd w:val="clear" w:color="auto" w:fill="auto"/>
            <w:vAlign w:val="center"/>
          </w:tcPr>
          <w:p w14:paraId="422D090B">
            <w:pPr>
              <w:widowControl w:val="0"/>
              <w:adjustRightInd/>
              <w:snapToGrid/>
              <w:spacing w:line="240" w:lineRule="exact"/>
              <w:rPr>
                <w:rFonts w:ascii="宋体" w:hAnsi="宋体" w:eastAsia="宋体" w:cs="Times New Roman"/>
                <w:snapToGrid w:val="0"/>
                <w:color w:val="000000"/>
                <w:w w:val="95"/>
                <w:kern w:val="0"/>
              </w:rPr>
            </w:pPr>
            <w:r>
              <w:rPr>
                <w:rFonts w:ascii="宋体" w:hAnsi="宋体" w:eastAsia="宋体" w:cs="Times New Roman"/>
                <w:snapToGrid w:val="0"/>
                <w:color w:val="000000"/>
                <w:w w:val="95"/>
                <w:kern w:val="0"/>
              </w:rPr>
              <w:t>50元/次</w:t>
            </w:r>
          </w:p>
        </w:tc>
      </w:tr>
    </w:tbl>
    <w:p w14:paraId="1FD29D23">
      <w:pPr>
        <w:spacing w:line="360" w:lineRule="auto"/>
        <w:ind w:firstLine="480"/>
        <w:jc w:val="left"/>
        <w:rPr>
          <w:rFonts w:eastAsia="宋体" w:cs="Times New Roman"/>
          <w:color w:val="000000" w:themeColor="text1"/>
          <w:sz w:val="24"/>
          <w:szCs w:val="32"/>
          <w14:textFill>
            <w14:solidFill>
              <w14:schemeClr w14:val="tx1"/>
            </w14:solidFill>
          </w14:textFill>
        </w:rPr>
      </w:pPr>
      <w:r>
        <w:rPr>
          <w:rFonts w:eastAsia="宋体" w:cs="Times New Roman"/>
          <w:color w:val="000000" w:themeColor="text1"/>
          <w:sz w:val="24"/>
          <w:szCs w:val="32"/>
          <w14:textFill>
            <w14:solidFill>
              <w14:schemeClr w14:val="tx1"/>
            </w14:solidFill>
          </w14:textFill>
        </w:rPr>
        <w:t>2、管护费</w:t>
      </w:r>
    </w:p>
    <w:p w14:paraId="41B66CB2">
      <w:pPr>
        <w:spacing w:line="360" w:lineRule="auto"/>
        <w:ind w:firstLine="480"/>
        <w:jc w:val="left"/>
        <w:rPr>
          <w:rFonts w:hint="eastAsia" w:eastAsia="宋体" w:cs="Times New Roman"/>
          <w:color w:val="000000" w:themeColor="text1"/>
          <w:sz w:val="24"/>
          <w:szCs w:val="32"/>
          <w14:textFill>
            <w14:solidFill>
              <w14:schemeClr w14:val="tx1"/>
            </w14:solidFill>
          </w14:textFill>
        </w:rPr>
      </w:pPr>
      <w:r>
        <w:rPr>
          <w:rFonts w:eastAsia="宋体" w:cs="Times New Roman"/>
          <w:color w:val="000000" w:themeColor="text1"/>
          <w:sz w:val="24"/>
          <w:szCs w:val="32"/>
          <w14:textFill>
            <w14:solidFill>
              <w14:schemeClr w14:val="tx1"/>
            </w14:solidFill>
          </w14:textFill>
        </w:rPr>
        <w:t>管护费是矿山对治理恢复后的植被进行管护产生的费用，本年度治理计划按</w:t>
      </w:r>
      <w:r>
        <w:rPr>
          <w:rFonts w:hint="eastAsia" w:eastAsia="宋体" w:cs="Times New Roman"/>
          <w:color w:val="000000" w:themeColor="text1"/>
          <w:sz w:val="24"/>
          <w:szCs w:val="32"/>
          <w14:textFill>
            <w14:solidFill>
              <w14:schemeClr w14:val="tx1"/>
            </w14:solidFill>
          </w14:textFill>
        </w:rPr>
        <w:t>6</w:t>
      </w:r>
      <w:r>
        <w:rPr>
          <w:rFonts w:eastAsia="宋体" w:cs="Times New Roman"/>
          <w:color w:val="000000" w:themeColor="text1"/>
          <w:sz w:val="24"/>
          <w:szCs w:val="32"/>
          <w14:textFill>
            <w14:solidFill>
              <w14:schemeClr w14:val="tx1"/>
            </w14:solidFill>
          </w14:textFill>
        </w:rPr>
        <w:t>00元/次计取。本年度共设计管护4次。</w:t>
      </w:r>
    </w:p>
    <w:p w14:paraId="23477F81">
      <w:pPr>
        <w:spacing w:line="360" w:lineRule="auto"/>
        <w:ind w:firstLine="480"/>
        <w:jc w:val="left"/>
        <w:rPr>
          <w:rFonts w:eastAsia="宋体" w:cs="Times New Roman"/>
          <w:color w:val="000000" w:themeColor="text1"/>
          <w:sz w:val="24"/>
          <w:szCs w:val="32"/>
          <w14:textFill>
            <w14:solidFill>
              <w14:schemeClr w14:val="tx1"/>
            </w14:solidFill>
          </w14:textFill>
        </w:rPr>
      </w:pPr>
      <w:r>
        <w:rPr>
          <w:rFonts w:hint="eastAsia" w:eastAsia="宋体" w:cs="Times New Roman"/>
          <w:color w:val="000000" w:themeColor="text1"/>
          <w:sz w:val="24"/>
          <w:szCs w:val="32"/>
          <w14:textFill>
            <w14:solidFill>
              <w14:schemeClr w14:val="tx1"/>
            </w14:solidFill>
          </w14:textFill>
        </w:rPr>
        <w:t>经估算，矿山年度治理费用估算总额为0.42万元，详见表6-2。</w:t>
      </w:r>
    </w:p>
    <w:p w14:paraId="255F177F">
      <w:pPr>
        <w:spacing w:line="360" w:lineRule="auto"/>
        <w:rPr>
          <w:rFonts w:ascii="黑体" w:hAnsi="黑体" w:eastAsia="黑体" w:cs="黑体"/>
          <w:color w:val="000000" w:themeColor="text1"/>
          <w:sz w:val="24"/>
          <w:szCs w:val="32"/>
          <w14:textFill>
            <w14:solidFill>
              <w14:schemeClr w14:val="tx1"/>
            </w14:solidFill>
          </w14:textFill>
        </w:rPr>
      </w:pPr>
      <w:r>
        <w:rPr>
          <w:rFonts w:hint="eastAsia" w:ascii="黑体" w:hAnsi="黑体" w:eastAsia="黑体" w:cs="黑体"/>
          <w:color w:val="000000" w:themeColor="text1"/>
          <w:sz w:val="24"/>
          <w:szCs w:val="32"/>
          <w14:textFill>
            <w14:solidFill>
              <w14:schemeClr w14:val="tx1"/>
            </w14:solidFill>
          </w14:textFill>
        </w:rPr>
        <w:t>表6-2  矿山年度治理费用估算总表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2DA0D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Merge w:val="restart"/>
            <w:vAlign w:val="center"/>
          </w:tcPr>
          <w:p w14:paraId="27BEFBC5">
            <w:pPr>
              <w:widowControl/>
              <w:rPr>
                <w:rFonts w:eastAsia="宋体" w:cs="Times New Roman"/>
                <w:color w:val="000000" w:themeColor="text1"/>
                <w:szCs w:val="24"/>
                <w14:textFill>
                  <w14:solidFill>
                    <w14:schemeClr w14:val="tx1"/>
                  </w14:solidFill>
                </w14:textFill>
              </w:rPr>
            </w:pPr>
            <w:r>
              <w:rPr>
                <w:rFonts w:hint="eastAsia" w:eastAsia="宋体" w:cs="Times New Roman"/>
                <w:color w:val="000000" w:themeColor="text1"/>
                <w:szCs w:val="24"/>
                <w14:textFill>
                  <w14:solidFill>
                    <w14:schemeClr w14:val="tx1"/>
                  </w14:solidFill>
                </w14:textFill>
              </w:rPr>
              <w:t>序号</w:t>
            </w:r>
          </w:p>
        </w:tc>
        <w:tc>
          <w:tcPr>
            <w:tcW w:w="1704" w:type="dxa"/>
            <w:vAlign w:val="center"/>
          </w:tcPr>
          <w:p w14:paraId="38C301B4">
            <w:pPr>
              <w:widowControl/>
              <w:rPr>
                <w:rFonts w:eastAsia="宋体" w:cs="Times New Roman"/>
                <w:color w:val="000000" w:themeColor="text1"/>
                <w:szCs w:val="24"/>
                <w14:textFill>
                  <w14:solidFill>
                    <w14:schemeClr w14:val="tx1"/>
                  </w14:solidFill>
                </w14:textFill>
              </w:rPr>
            </w:pPr>
            <w:r>
              <w:rPr>
                <w:rFonts w:hint="eastAsia" w:eastAsia="宋体" w:cs="Times New Roman"/>
                <w:color w:val="000000" w:themeColor="text1"/>
                <w:szCs w:val="24"/>
                <w14:textFill>
                  <w14:solidFill>
                    <w14:schemeClr w14:val="tx1"/>
                  </w14:solidFill>
                </w14:textFill>
              </w:rPr>
              <w:t>费用名称</w:t>
            </w:r>
          </w:p>
        </w:tc>
        <w:tc>
          <w:tcPr>
            <w:tcW w:w="1704" w:type="dxa"/>
            <w:vAlign w:val="center"/>
          </w:tcPr>
          <w:p w14:paraId="66E25C4D">
            <w:pPr>
              <w:widowControl/>
              <w:rPr>
                <w:rFonts w:eastAsia="宋体" w:cs="Times New Roman"/>
                <w:color w:val="000000" w:themeColor="text1"/>
                <w:szCs w:val="24"/>
                <w14:textFill>
                  <w14:solidFill>
                    <w14:schemeClr w14:val="tx1"/>
                  </w14:solidFill>
                </w14:textFill>
              </w:rPr>
            </w:pPr>
            <w:r>
              <w:rPr>
                <w:rFonts w:hint="eastAsia" w:eastAsia="宋体" w:cs="Times New Roman"/>
                <w:color w:val="000000" w:themeColor="text1"/>
                <w:szCs w:val="24"/>
                <w14:textFill>
                  <w14:solidFill>
                    <w14:schemeClr w14:val="tx1"/>
                  </w14:solidFill>
                </w14:textFill>
              </w:rPr>
              <w:t>次数</w:t>
            </w:r>
          </w:p>
        </w:tc>
        <w:tc>
          <w:tcPr>
            <w:tcW w:w="1705" w:type="dxa"/>
            <w:vAlign w:val="center"/>
          </w:tcPr>
          <w:p w14:paraId="78FC27ED">
            <w:pPr>
              <w:widowControl/>
              <w:rPr>
                <w:rFonts w:eastAsia="宋体" w:cs="Times New Roman"/>
                <w:color w:val="000000" w:themeColor="text1"/>
                <w:szCs w:val="24"/>
                <w14:textFill>
                  <w14:solidFill>
                    <w14:schemeClr w14:val="tx1"/>
                  </w14:solidFill>
                </w14:textFill>
              </w:rPr>
            </w:pPr>
            <w:r>
              <w:rPr>
                <w:rFonts w:hint="eastAsia" w:eastAsia="宋体" w:cs="Times New Roman"/>
                <w:color w:val="000000" w:themeColor="text1"/>
                <w:szCs w:val="24"/>
                <w14:textFill>
                  <w14:solidFill>
                    <w14:schemeClr w14:val="tx1"/>
                  </w14:solidFill>
                </w14:textFill>
              </w:rPr>
              <w:t>每次费用</w:t>
            </w:r>
          </w:p>
        </w:tc>
        <w:tc>
          <w:tcPr>
            <w:tcW w:w="1705" w:type="dxa"/>
            <w:vAlign w:val="center"/>
          </w:tcPr>
          <w:p w14:paraId="7A1D5BBD">
            <w:pPr>
              <w:widowControl/>
              <w:rPr>
                <w:rFonts w:eastAsia="宋体" w:cs="Times New Roman"/>
                <w:color w:val="000000" w:themeColor="text1"/>
                <w:szCs w:val="24"/>
                <w14:textFill>
                  <w14:solidFill>
                    <w14:schemeClr w14:val="tx1"/>
                  </w14:solidFill>
                </w14:textFill>
              </w:rPr>
            </w:pPr>
            <w:r>
              <w:rPr>
                <w:rFonts w:hint="eastAsia" w:eastAsia="宋体" w:cs="Times New Roman"/>
                <w:color w:val="000000" w:themeColor="text1"/>
                <w:szCs w:val="24"/>
                <w14:textFill>
                  <w14:solidFill>
                    <w14:schemeClr w14:val="tx1"/>
                  </w14:solidFill>
                </w14:textFill>
              </w:rPr>
              <w:t>小计（万元）</w:t>
            </w:r>
          </w:p>
        </w:tc>
      </w:tr>
      <w:tr w14:paraId="7B3A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Merge w:val="continue"/>
            <w:vAlign w:val="center"/>
          </w:tcPr>
          <w:p w14:paraId="03189521">
            <w:pPr>
              <w:widowControl/>
              <w:rPr>
                <w:rFonts w:eastAsia="宋体" w:cs="Times New Roman"/>
                <w:color w:val="000000" w:themeColor="text1"/>
                <w:szCs w:val="24"/>
                <w14:textFill>
                  <w14:solidFill>
                    <w14:schemeClr w14:val="tx1"/>
                  </w14:solidFill>
                </w14:textFill>
              </w:rPr>
            </w:pPr>
          </w:p>
        </w:tc>
        <w:tc>
          <w:tcPr>
            <w:tcW w:w="1704" w:type="dxa"/>
            <w:vAlign w:val="center"/>
          </w:tcPr>
          <w:p w14:paraId="1A3730A0">
            <w:pPr>
              <w:widowControl/>
              <w:rPr>
                <w:rFonts w:eastAsia="宋体" w:cs="Times New Roman"/>
                <w:color w:val="000000" w:themeColor="text1"/>
                <w:szCs w:val="24"/>
                <w14:textFill>
                  <w14:solidFill>
                    <w14:schemeClr w14:val="tx1"/>
                  </w14:solidFill>
                </w14:textFill>
              </w:rPr>
            </w:pPr>
            <w:r>
              <w:rPr>
                <w:rFonts w:hint="eastAsia" w:eastAsia="宋体" w:cs="Times New Roman"/>
                <w:color w:val="000000" w:themeColor="text1"/>
                <w:szCs w:val="24"/>
                <w14:textFill>
                  <w14:solidFill>
                    <w14:schemeClr w14:val="tx1"/>
                  </w14:solidFill>
                </w14:textFill>
              </w:rPr>
              <w:t>1</w:t>
            </w:r>
          </w:p>
        </w:tc>
        <w:tc>
          <w:tcPr>
            <w:tcW w:w="1704" w:type="dxa"/>
            <w:vAlign w:val="center"/>
          </w:tcPr>
          <w:p w14:paraId="21A9F021">
            <w:pPr>
              <w:widowControl/>
              <w:rPr>
                <w:rFonts w:eastAsia="宋体" w:cs="Times New Roman"/>
                <w:color w:val="000000" w:themeColor="text1"/>
                <w:szCs w:val="24"/>
                <w14:textFill>
                  <w14:solidFill>
                    <w14:schemeClr w14:val="tx1"/>
                  </w14:solidFill>
                </w14:textFill>
              </w:rPr>
            </w:pPr>
            <w:r>
              <w:rPr>
                <w:rFonts w:hint="eastAsia" w:eastAsia="宋体" w:cs="Times New Roman"/>
                <w:color w:val="000000" w:themeColor="text1"/>
                <w:szCs w:val="24"/>
                <w14:textFill>
                  <w14:solidFill>
                    <w14:schemeClr w14:val="tx1"/>
                  </w14:solidFill>
                </w14:textFill>
              </w:rPr>
              <w:t>2</w:t>
            </w:r>
          </w:p>
        </w:tc>
        <w:tc>
          <w:tcPr>
            <w:tcW w:w="1705" w:type="dxa"/>
            <w:vAlign w:val="center"/>
          </w:tcPr>
          <w:p w14:paraId="1AB5CF51">
            <w:pPr>
              <w:widowControl/>
              <w:rPr>
                <w:rFonts w:eastAsia="宋体" w:cs="Times New Roman"/>
                <w:color w:val="000000" w:themeColor="text1"/>
                <w:szCs w:val="24"/>
                <w14:textFill>
                  <w14:solidFill>
                    <w14:schemeClr w14:val="tx1"/>
                  </w14:solidFill>
                </w14:textFill>
              </w:rPr>
            </w:pPr>
            <w:r>
              <w:rPr>
                <w:rFonts w:hint="eastAsia" w:eastAsia="宋体" w:cs="Times New Roman"/>
                <w:color w:val="000000" w:themeColor="text1"/>
                <w:szCs w:val="24"/>
                <w14:textFill>
                  <w14:solidFill>
                    <w14:schemeClr w14:val="tx1"/>
                  </w14:solidFill>
                </w14:textFill>
              </w:rPr>
              <w:t>3</w:t>
            </w:r>
          </w:p>
        </w:tc>
        <w:tc>
          <w:tcPr>
            <w:tcW w:w="1705" w:type="dxa"/>
            <w:vAlign w:val="center"/>
          </w:tcPr>
          <w:p w14:paraId="7E4E55B0">
            <w:pPr>
              <w:widowControl/>
              <w:rPr>
                <w:rFonts w:eastAsia="宋体" w:cs="Times New Roman"/>
                <w:color w:val="000000" w:themeColor="text1"/>
                <w:szCs w:val="24"/>
                <w14:textFill>
                  <w14:solidFill>
                    <w14:schemeClr w14:val="tx1"/>
                  </w14:solidFill>
                </w14:textFill>
              </w:rPr>
            </w:pPr>
            <w:r>
              <w:rPr>
                <w:rFonts w:hint="eastAsia" w:eastAsia="宋体" w:cs="Times New Roman"/>
                <w:color w:val="000000" w:themeColor="text1"/>
                <w:szCs w:val="24"/>
                <w14:textFill>
                  <w14:solidFill>
                    <w14:schemeClr w14:val="tx1"/>
                  </w14:solidFill>
                </w14:textFill>
              </w:rPr>
              <w:t>4</w:t>
            </w:r>
          </w:p>
        </w:tc>
      </w:tr>
      <w:tr w14:paraId="4F2A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28CB33DA">
            <w:pPr>
              <w:widowControl/>
              <w:rPr>
                <w:rFonts w:eastAsia="宋体" w:cs="Times New Roman"/>
                <w:color w:val="000000" w:themeColor="text1"/>
                <w:szCs w:val="24"/>
                <w14:textFill>
                  <w14:solidFill>
                    <w14:schemeClr w14:val="tx1"/>
                  </w14:solidFill>
                </w14:textFill>
              </w:rPr>
            </w:pPr>
            <w:r>
              <w:rPr>
                <w:rFonts w:hint="eastAsia" w:eastAsia="宋体" w:cs="Times New Roman"/>
                <w:color w:val="000000" w:themeColor="text1"/>
                <w:szCs w:val="24"/>
                <w14:textFill>
                  <w14:solidFill>
                    <w14:schemeClr w14:val="tx1"/>
                  </w14:solidFill>
                </w14:textFill>
              </w:rPr>
              <w:t>1</w:t>
            </w:r>
          </w:p>
        </w:tc>
        <w:tc>
          <w:tcPr>
            <w:tcW w:w="1704" w:type="dxa"/>
            <w:vAlign w:val="center"/>
          </w:tcPr>
          <w:p w14:paraId="1F1268CC">
            <w:pPr>
              <w:widowControl/>
              <w:rPr>
                <w:rFonts w:eastAsia="宋体" w:cs="Times New Roman"/>
                <w:color w:val="000000" w:themeColor="text1"/>
                <w:szCs w:val="24"/>
                <w14:textFill>
                  <w14:solidFill>
                    <w14:schemeClr w14:val="tx1"/>
                  </w14:solidFill>
                </w14:textFill>
              </w:rPr>
            </w:pPr>
            <w:r>
              <w:rPr>
                <w:rFonts w:hint="eastAsia" w:eastAsia="宋体" w:cs="Times New Roman"/>
                <w:color w:val="000000" w:themeColor="text1"/>
                <w:szCs w:val="24"/>
                <w14:textFill>
                  <w14:solidFill>
                    <w14:schemeClr w14:val="tx1"/>
                  </w14:solidFill>
                </w14:textFill>
              </w:rPr>
              <w:t>监测费</w:t>
            </w:r>
          </w:p>
        </w:tc>
        <w:tc>
          <w:tcPr>
            <w:tcW w:w="1704" w:type="dxa"/>
            <w:vAlign w:val="center"/>
          </w:tcPr>
          <w:p w14:paraId="1984FA55">
            <w:pPr>
              <w:widowControl/>
              <w:rPr>
                <w:rFonts w:eastAsia="宋体" w:cs="Times New Roman"/>
                <w:color w:val="000000" w:themeColor="text1"/>
                <w:szCs w:val="24"/>
                <w14:textFill>
                  <w14:solidFill>
                    <w14:schemeClr w14:val="tx1"/>
                  </w14:solidFill>
                </w14:textFill>
              </w:rPr>
            </w:pPr>
            <w:r>
              <w:rPr>
                <w:rFonts w:hint="eastAsia" w:eastAsia="宋体" w:cs="Times New Roman"/>
                <w:color w:val="000000" w:themeColor="text1"/>
                <w:szCs w:val="24"/>
                <w14:textFill>
                  <w14:solidFill>
                    <w14:schemeClr w14:val="tx1"/>
                  </w14:solidFill>
                </w14:textFill>
              </w:rPr>
              <w:t>4</w:t>
            </w:r>
          </w:p>
        </w:tc>
        <w:tc>
          <w:tcPr>
            <w:tcW w:w="1705" w:type="dxa"/>
            <w:vAlign w:val="center"/>
          </w:tcPr>
          <w:p w14:paraId="500ACAB0">
            <w:pPr>
              <w:widowControl/>
              <w:rPr>
                <w:rFonts w:eastAsia="宋体" w:cs="Times New Roman"/>
                <w:color w:val="000000" w:themeColor="text1"/>
                <w:szCs w:val="24"/>
                <w14:textFill>
                  <w14:solidFill>
                    <w14:schemeClr w14:val="tx1"/>
                  </w14:solidFill>
                </w14:textFill>
              </w:rPr>
            </w:pPr>
            <w:r>
              <w:rPr>
                <w:rFonts w:hint="eastAsia" w:eastAsia="宋体" w:cs="Times New Roman"/>
                <w:color w:val="000000" w:themeColor="text1"/>
                <w:szCs w:val="24"/>
                <w14:textFill>
                  <w14:solidFill>
                    <w14:schemeClr w14:val="tx1"/>
                  </w14:solidFill>
                </w14:textFill>
              </w:rPr>
              <w:t>460</w:t>
            </w:r>
          </w:p>
        </w:tc>
        <w:tc>
          <w:tcPr>
            <w:tcW w:w="1705" w:type="dxa"/>
            <w:vAlign w:val="center"/>
          </w:tcPr>
          <w:p w14:paraId="4E236A42">
            <w:pPr>
              <w:widowControl/>
              <w:rPr>
                <w:rFonts w:eastAsia="宋体" w:cs="Times New Roman"/>
                <w:color w:val="000000" w:themeColor="text1"/>
                <w:szCs w:val="24"/>
                <w14:textFill>
                  <w14:solidFill>
                    <w14:schemeClr w14:val="tx1"/>
                  </w14:solidFill>
                </w14:textFill>
              </w:rPr>
            </w:pPr>
            <w:r>
              <w:rPr>
                <w:rFonts w:hint="eastAsia" w:eastAsia="宋体" w:cs="Times New Roman"/>
                <w:color w:val="000000" w:themeColor="text1"/>
                <w:szCs w:val="24"/>
                <w14:textFill>
                  <w14:solidFill>
                    <w14:schemeClr w14:val="tx1"/>
                  </w14:solidFill>
                </w14:textFill>
              </w:rPr>
              <w:t>0.18</w:t>
            </w:r>
          </w:p>
        </w:tc>
      </w:tr>
      <w:tr w14:paraId="593A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7F312BD7">
            <w:pPr>
              <w:widowControl/>
              <w:rPr>
                <w:rFonts w:eastAsia="宋体" w:cs="Times New Roman"/>
                <w:color w:val="000000" w:themeColor="text1"/>
                <w:szCs w:val="24"/>
                <w14:textFill>
                  <w14:solidFill>
                    <w14:schemeClr w14:val="tx1"/>
                  </w14:solidFill>
                </w14:textFill>
              </w:rPr>
            </w:pPr>
            <w:r>
              <w:rPr>
                <w:rFonts w:hint="eastAsia" w:eastAsia="宋体" w:cs="Times New Roman"/>
                <w:color w:val="000000" w:themeColor="text1"/>
                <w:szCs w:val="24"/>
                <w14:textFill>
                  <w14:solidFill>
                    <w14:schemeClr w14:val="tx1"/>
                  </w14:solidFill>
                </w14:textFill>
              </w:rPr>
              <w:t>2</w:t>
            </w:r>
          </w:p>
        </w:tc>
        <w:tc>
          <w:tcPr>
            <w:tcW w:w="1704" w:type="dxa"/>
            <w:vAlign w:val="center"/>
          </w:tcPr>
          <w:p w14:paraId="6B7948CB">
            <w:pPr>
              <w:widowControl/>
              <w:rPr>
                <w:rFonts w:eastAsia="宋体" w:cs="Times New Roman"/>
                <w:color w:val="000000" w:themeColor="text1"/>
                <w:szCs w:val="24"/>
                <w14:textFill>
                  <w14:solidFill>
                    <w14:schemeClr w14:val="tx1"/>
                  </w14:solidFill>
                </w14:textFill>
              </w:rPr>
            </w:pPr>
            <w:r>
              <w:rPr>
                <w:rFonts w:hint="eastAsia" w:eastAsia="宋体" w:cs="Times New Roman"/>
                <w:color w:val="000000" w:themeColor="text1"/>
                <w:szCs w:val="24"/>
                <w14:textFill>
                  <w14:solidFill>
                    <w14:schemeClr w14:val="tx1"/>
                  </w14:solidFill>
                </w14:textFill>
              </w:rPr>
              <w:t>管护费</w:t>
            </w:r>
          </w:p>
        </w:tc>
        <w:tc>
          <w:tcPr>
            <w:tcW w:w="1704" w:type="dxa"/>
            <w:vAlign w:val="center"/>
          </w:tcPr>
          <w:p w14:paraId="4B34D633">
            <w:pPr>
              <w:widowControl/>
              <w:rPr>
                <w:rFonts w:eastAsia="宋体" w:cs="Times New Roman"/>
                <w:color w:val="000000" w:themeColor="text1"/>
                <w:szCs w:val="24"/>
                <w14:textFill>
                  <w14:solidFill>
                    <w14:schemeClr w14:val="tx1"/>
                  </w14:solidFill>
                </w14:textFill>
              </w:rPr>
            </w:pPr>
            <w:r>
              <w:rPr>
                <w:rFonts w:hint="eastAsia" w:eastAsia="宋体" w:cs="Times New Roman"/>
                <w:color w:val="000000" w:themeColor="text1"/>
                <w:szCs w:val="24"/>
                <w14:textFill>
                  <w14:solidFill>
                    <w14:schemeClr w14:val="tx1"/>
                  </w14:solidFill>
                </w14:textFill>
              </w:rPr>
              <w:t>4</w:t>
            </w:r>
          </w:p>
        </w:tc>
        <w:tc>
          <w:tcPr>
            <w:tcW w:w="1705" w:type="dxa"/>
            <w:vAlign w:val="center"/>
          </w:tcPr>
          <w:p w14:paraId="72BC35D0">
            <w:pPr>
              <w:widowControl/>
              <w:rPr>
                <w:rFonts w:eastAsia="宋体" w:cs="Times New Roman"/>
                <w:color w:val="000000" w:themeColor="text1"/>
                <w:szCs w:val="24"/>
                <w14:textFill>
                  <w14:solidFill>
                    <w14:schemeClr w14:val="tx1"/>
                  </w14:solidFill>
                </w14:textFill>
              </w:rPr>
            </w:pPr>
            <w:r>
              <w:rPr>
                <w:rFonts w:hint="eastAsia" w:eastAsia="宋体" w:cs="Times New Roman"/>
                <w:color w:val="000000" w:themeColor="text1"/>
                <w:szCs w:val="24"/>
                <w14:textFill>
                  <w14:solidFill>
                    <w14:schemeClr w14:val="tx1"/>
                  </w14:solidFill>
                </w14:textFill>
              </w:rPr>
              <w:t>600</w:t>
            </w:r>
          </w:p>
        </w:tc>
        <w:tc>
          <w:tcPr>
            <w:tcW w:w="1705" w:type="dxa"/>
            <w:vAlign w:val="center"/>
          </w:tcPr>
          <w:p w14:paraId="5DD0CA8C">
            <w:pPr>
              <w:widowControl/>
              <w:rPr>
                <w:rFonts w:eastAsia="宋体" w:cs="Times New Roman"/>
                <w:color w:val="000000" w:themeColor="text1"/>
                <w:szCs w:val="24"/>
                <w14:textFill>
                  <w14:solidFill>
                    <w14:schemeClr w14:val="tx1"/>
                  </w14:solidFill>
                </w14:textFill>
              </w:rPr>
            </w:pPr>
            <w:r>
              <w:rPr>
                <w:rFonts w:hint="eastAsia" w:eastAsia="宋体" w:cs="Times New Roman"/>
                <w:color w:val="000000" w:themeColor="text1"/>
                <w:szCs w:val="24"/>
                <w14:textFill>
                  <w14:solidFill>
                    <w14:schemeClr w14:val="tx1"/>
                  </w14:solidFill>
                </w14:textFill>
              </w:rPr>
              <w:t>0.24</w:t>
            </w:r>
          </w:p>
        </w:tc>
      </w:tr>
      <w:tr w14:paraId="0EDA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7" w:type="dxa"/>
            <w:gridSpan w:val="4"/>
            <w:vAlign w:val="center"/>
          </w:tcPr>
          <w:p w14:paraId="05C03C89">
            <w:pPr>
              <w:widowControl/>
              <w:rPr>
                <w:rFonts w:eastAsia="宋体" w:cs="Times New Roman"/>
                <w:b/>
                <w:bCs/>
                <w:color w:val="000000" w:themeColor="text1"/>
                <w:szCs w:val="24"/>
                <w14:textFill>
                  <w14:solidFill>
                    <w14:schemeClr w14:val="tx1"/>
                  </w14:solidFill>
                </w14:textFill>
              </w:rPr>
            </w:pPr>
            <w:r>
              <w:rPr>
                <w:rFonts w:hint="eastAsia" w:eastAsia="宋体" w:cs="Times New Roman"/>
                <w:b/>
                <w:bCs/>
                <w:color w:val="000000" w:themeColor="text1"/>
                <w:szCs w:val="24"/>
                <w14:textFill>
                  <w14:solidFill>
                    <w14:schemeClr w14:val="tx1"/>
                  </w14:solidFill>
                </w14:textFill>
              </w:rPr>
              <w:t>合计</w:t>
            </w:r>
          </w:p>
        </w:tc>
        <w:tc>
          <w:tcPr>
            <w:tcW w:w="1705" w:type="dxa"/>
            <w:vAlign w:val="center"/>
          </w:tcPr>
          <w:p w14:paraId="5EFEDBE5">
            <w:pPr>
              <w:widowControl/>
              <w:rPr>
                <w:rFonts w:eastAsia="宋体" w:cs="Times New Roman"/>
                <w:b/>
                <w:bCs/>
                <w:color w:val="000000" w:themeColor="text1"/>
                <w:szCs w:val="24"/>
                <w14:textFill>
                  <w14:solidFill>
                    <w14:schemeClr w14:val="tx1"/>
                  </w14:solidFill>
                </w14:textFill>
              </w:rPr>
            </w:pPr>
            <w:r>
              <w:rPr>
                <w:rFonts w:hint="eastAsia" w:eastAsia="宋体" w:cs="Times New Roman"/>
                <w:b/>
                <w:bCs/>
                <w:color w:val="000000" w:themeColor="text1"/>
                <w:szCs w:val="24"/>
                <w14:textFill>
                  <w14:solidFill>
                    <w14:schemeClr w14:val="tx1"/>
                  </w14:solidFill>
                </w14:textFill>
              </w:rPr>
              <w:t>0.42</w:t>
            </w:r>
          </w:p>
        </w:tc>
      </w:tr>
    </w:tbl>
    <w:p w14:paraId="31702C49">
      <w:pPr>
        <w:spacing w:line="360" w:lineRule="auto"/>
        <w:rPr>
          <w:rFonts w:eastAsia="宋体" w:cs="Times New Roman"/>
          <w:color w:val="FF0000"/>
          <w:sz w:val="24"/>
          <w:szCs w:val="32"/>
        </w:rPr>
      </w:pPr>
    </w:p>
    <w:p w14:paraId="50BB57FD">
      <w:pPr>
        <w:spacing w:line="360" w:lineRule="auto"/>
        <w:ind w:firstLine="480"/>
        <w:jc w:val="left"/>
        <w:rPr>
          <w:rFonts w:eastAsia="宋体" w:cs="Times New Roman"/>
          <w:color w:val="FF0000"/>
          <w:sz w:val="24"/>
          <w:szCs w:val="32"/>
        </w:rPr>
      </w:pPr>
    </w:p>
    <w:p w14:paraId="694A4641">
      <w:pPr>
        <w:jc w:val="both"/>
        <w:rPr>
          <w:rFonts w:eastAsia="宋体" w:cs="Times New Roman"/>
          <w:color w:val="FF0000"/>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9F" w:csb1="00000000"/>
  </w:font>
  <w:font w:name="仿宋">
    <w:panose1 w:val="02010609060101010101"/>
    <w:charset w:val="86"/>
    <w:family w:val="auto"/>
    <w:pitch w:val="default"/>
    <w:sig w:usb0="800002BF" w:usb1="38CF7CFA" w:usb2="00000016" w:usb3="00000000" w:csb0="00040001" w:csb1="00000000"/>
  </w:font>
  <w:font w:name="??¨¬?">
    <w:altName w:val="Calibri"/>
    <w:panose1 w:val="00000000000000000000"/>
    <w:charset w:val="00"/>
    <w:family w:val="auto"/>
    <w:pitch w:val="default"/>
    <w:sig w:usb0="00000000" w:usb1="00000000" w:usb2="00000000" w:usb3="00000000" w:csb0="000000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D7B12">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4F20AC">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164F20AC">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54031"/>
    <w:multiLevelType w:val="singleLevel"/>
    <w:tmpl w:val="A3054031"/>
    <w:lvl w:ilvl="0" w:tentative="0">
      <w:start w:val="1"/>
      <w:numFmt w:val="chineseCounting"/>
      <w:suff w:val="space"/>
      <w:lvlText w:val="第%1章"/>
      <w:lvlJc w:val="left"/>
      <w:rPr>
        <w:rFonts w:hint="eastAsia"/>
      </w:rPr>
    </w:lvl>
  </w:abstractNum>
  <w:abstractNum w:abstractNumId="1">
    <w:nsid w:val="F23AE794"/>
    <w:multiLevelType w:val="singleLevel"/>
    <w:tmpl w:val="F23AE794"/>
    <w:lvl w:ilvl="0" w:tentative="0">
      <w:start w:val="1"/>
      <w:numFmt w:val="chineseCounting"/>
      <w:suff w:val="nothing"/>
      <w:lvlText w:val="%1、"/>
      <w:lvlJc w:val="left"/>
      <w:rPr>
        <w:rFonts w:hint="eastAsia"/>
      </w:rPr>
    </w:lvl>
  </w:abstractNum>
  <w:abstractNum w:abstractNumId="2">
    <w:nsid w:val="19318544"/>
    <w:multiLevelType w:val="singleLevel"/>
    <w:tmpl w:val="19318544"/>
    <w:lvl w:ilvl="0" w:tentative="0">
      <w:start w:val="1"/>
      <w:numFmt w:val="chineseCounting"/>
      <w:suff w:val="nothing"/>
      <w:lvlText w:val="%1、"/>
      <w:lvlJc w:val="left"/>
      <w:rPr>
        <w:rFonts w:hint="eastAsia"/>
      </w:rPr>
    </w:lvl>
  </w:abstractNum>
  <w:abstractNum w:abstractNumId="3">
    <w:nsid w:val="63B97F6A"/>
    <w:multiLevelType w:val="singleLevel"/>
    <w:tmpl w:val="63B97F6A"/>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YWY0Zjk0NmY4YjM0ODM2NWEyN2EzMzExYTAxMzkifQ=="/>
  </w:docVars>
  <w:rsids>
    <w:rsidRoot w:val="00B54FC4"/>
    <w:rsid w:val="00031A9E"/>
    <w:rsid w:val="00093698"/>
    <w:rsid w:val="000C1654"/>
    <w:rsid w:val="00171DA4"/>
    <w:rsid w:val="002B2314"/>
    <w:rsid w:val="002C017F"/>
    <w:rsid w:val="0031427F"/>
    <w:rsid w:val="003B2EED"/>
    <w:rsid w:val="003C3381"/>
    <w:rsid w:val="004B59DB"/>
    <w:rsid w:val="00710A7B"/>
    <w:rsid w:val="007177B2"/>
    <w:rsid w:val="00742FEB"/>
    <w:rsid w:val="00825A65"/>
    <w:rsid w:val="0091094F"/>
    <w:rsid w:val="009E7D6B"/>
    <w:rsid w:val="00A06445"/>
    <w:rsid w:val="00A41F4C"/>
    <w:rsid w:val="00A61F51"/>
    <w:rsid w:val="00B54FC4"/>
    <w:rsid w:val="00BF74C1"/>
    <w:rsid w:val="00C663DE"/>
    <w:rsid w:val="00DD705C"/>
    <w:rsid w:val="00DE5EE4"/>
    <w:rsid w:val="00DF0735"/>
    <w:rsid w:val="00E60860"/>
    <w:rsid w:val="00F067C1"/>
    <w:rsid w:val="00FF4B4A"/>
    <w:rsid w:val="010F381D"/>
    <w:rsid w:val="0117538B"/>
    <w:rsid w:val="011E3D43"/>
    <w:rsid w:val="01201150"/>
    <w:rsid w:val="013165A9"/>
    <w:rsid w:val="01362AC9"/>
    <w:rsid w:val="013F22C6"/>
    <w:rsid w:val="014418DF"/>
    <w:rsid w:val="0168406D"/>
    <w:rsid w:val="017607C0"/>
    <w:rsid w:val="017D1A2B"/>
    <w:rsid w:val="017D1AE1"/>
    <w:rsid w:val="01835EB1"/>
    <w:rsid w:val="01990577"/>
    <w:rsid w:val="01992F0A"/>
    <w:rsid w:val="019C136E"/>
    <w:rsid w:val="01C411DC"/>
    <w:rsid w:val="01CA5032"/>
    <w:rsid w:val="01D37095"/>
    <w:rsid w:val="01D90D39"/>
    <w:rsid w:val="01D93747"/>
    <w:rsid w:val="01DC6F33"/>
    <w:rsid w:val="01DF727F"/>
    <w:rsid w:val="02032C9E"/>
    <w:rsid w:val="02041D7D"/>
    <w:rsid w:val="02067528"/>
    <w:rsid w:val="021B57B8"/>
    <w:rsid w:val="022236A0"/>
    <w:rsid w:val="022A18E3"/>
    <w:rsid w:val="022C33A7"/>
    <w:rsid w:val="023E49C4"/>
    <w:rsid w:val="024557F6"/>
    <w:rsid w:val="024A4906"/>
    <w:rsid w:val="024C294B"/>
    <w:rsid w:val="027062AF"/>
    <w:rsid w:val="02766631"/>
    <w:rsid w:val="02841F34"/>
    <w:rsid w:val="028536DA"/>
    <w:rsid w:val="029825C7"/>
    <w:rsid w:val="029F09C6"/>
    <w:rsid w:val="029F7815"/>
    <w:rsid w:val="02A5249D"/>
    <w:rsid w:val="02AF71CC"/>
    <w:rsid w:val="02B35034"/>
    <w:rsid w:val="02C43A9B"/>
    <w:rsid w:val="02CF0A77"/>
    <w:rsid w:val="02D05D0B"/>
    <w:rsid w:val="02DC0B69"/>
    <w:rsid w:val="02E7374B"/>
    <w:rsid w:val="03032149"/>
    <w:rsid w:val="030942E8"/>
    <w:rsid w:val="030E5EDF"/>
    <w:rsid w:val="03221D0D"/>
    <w:rsid w:val="033068F0"/>
    <w:rsid w:val="03327730"/>
    <w:rsid w:val="03407771"/>
    <w:rsid w:val="03456928"/>
    <w:rsid w:val="034E3B4F"/>
    <w:rsid w:val="03523F9F"/>
    <w:rsid w:val="03702106"/>
    <w:rsid w:val="03835379"/>
    <w:rsid w:val="03853FFC"/>
    <w:rsid w:val="0386382F"/>
    <w:rsid w:val="038E4DC6"/>
    <w:rsid w:val="03990047"/>
    <w:rsid w:val="03B85692"/>
    <w:rsid w:val="03CA1E4A"/>
    <w:rsid w:val="03FA42D6"/>
    <w:rsid w:val="040204FF"/>
    <w:rsid w:val="042A138C"/>
    <w:rsid w:val="043344C1"/>
    <w:rsid w:val="043E2F95"/>
    <w:rsid w:val="04482BF6"/>
    <w:rsid w:val="045B4090"/>
    <w:rsid w:val="04633F08"/>
    <w:rsid w:val="048F5BA7"/>
    <w:rsid w:val="04925674"/>
    <w:rsid w:val="04BD413C"/>
    <w:rsid w:val="04C27C75"/>
    <w:rsid w:val="04C77F3C"/>
    <w:rsid w:val="04C93D2D"/>
    <w:rsid w:val="04CC620A"/>
    <w:rsid w:val="05543CCD"/>
    <w:rsid w:val="05697AA6"/>
    <w:rsid w:val="05727BD4"/>
    <w:rsid w:val="05A143BE"/>
    <w:rsid w:val="05BA04B6"/>
    <w:rsid w:val="05D95791"/>
    <w:rsid w:val="05E94F48"/>
    <w:rsid w:val="05EE5AF0"/>
    <w:rsid w:val="05EE799D"/>
    <w:rsid w:val="05F31A5D"/>
    <w:rsid w:val="05F74653"/>
    <w:rsid w:val="06014ADD"/>
    <w:rsid w:val="06491DBC"/>
    <w:rsid w:val="064E0E84"/>
    <w:rsid w:val="065E34D0"/>
    <w:rsid w:val="06801D7F"/>
    <w:rsid w:val="06972D4E"/>
    <w:rsid w:val="06AA78EE"/>
    <w:rsid w:val="06BF1118"/>
    <w:rsid w:val="06D2311F"/>
    <w:rsid w:val="06EB0AF0"/>
    <w:rsid w:val="07020149"/>
    <w:rsid w:val="07185914"/>
    <w:rsid w:val="072517C8"/>
    <w:rsid w:val="07361F93"/>
    <w:rsid w:val="07405E32"/>
    <w:rsid w:val="07481030"/>
    <w:rsid w:val="074F3D5F"/>
    <w:rsid w:val="07536D46"/>
    <w:rsid w:val="075812B0"/>
    <w:rsid w:val="075D6DA6"/>
    <w:rsid w:val="075F4D00"/>
    <w:rsid w:val="07786E5A"/>
    <w:rsid w:val="077B2A41"/>
    <w:rsid w:val="077F6FF8"/>
    <w:rsid w:val="078A2265"/>
    <w:rsid w:val="07B906B0"/>
    <w:rsid w:val="07BB0C50"/>
    <w:rsid w:val="07BB2E24"/>
    <w:rsid w:val="07BD39D4"/>
    <w:rsid w:val="07C22AE3"/>
    <w:rsid w:val="07C45578"/>
    <w:rsid w:val="07F476A2"/>
    <w:rsid w:val="081261C0"/>
    <w:rsid w:val="081B2D58"/>
    <w:rsid w:val="081F52DF"/>
    <w:rsid w:val="083A3570"/>
    <w:rsid w:val="085F41B0"/>
    <w:rsid w:val="08607386"/>
    <w:rsid w:val="0867509C"/>
    <w:rsid w:val="0879310D"/>
    <w:rsid w:val="087963BC"/>
    <w:rsid w:val="087D7C91"/>
    <w:rsid w:val="0889316A"/>
    <w:rsid w:val="08A0599F"/>
    <w:rsid w:val="08A26A2B"/>
    <w:rsid w:val="08A8048A"/>
    <w:rsid w:val="08B80280"/>
    <w:rsid w:val="08C12F78"/>
    <w:rsid w:val="08CF3A3E"/>
    <w:rsid w:val="08E009FF"/>
    <w:rsid w:val="08E66B71"/>
    <w:rsid w:val="08EA43A8"/>
    <w:rsid w:val="091013D3"/>
    <w:rsid w:val="09126797"/>
    <w:rsid w:val="091754E1"/>
    <w:rsid w:val="09232654"/>
    <w:rsid w:val="092D48FE"/>
    <w:rsid w:val="093A23D2"/>
    <w:rsid w:val="094C18C7"/>
    <w:rsid w:val="09517FD9"/>
    <w:rsid w:val="09557D4F"/>
    <w:rsid w:val="09655815"/>
    <w:rsid w:val="097A704F"/>
    <w:rsid w:val="097F5458"/>
    <w:rsid w:val="09821049"/>
    <w:rsid w:val="09854FD5"/>
    <w:rsid w:val="099931F1"/>
    <w:rsid w:val="099F178D"/>
    <w:rsid w:val="099F30FC"/>
    <w:rsid w:val="09A807EC"/>
    <w:rsid w:val="09BB24BE"/>
    <w:rsid w:val="09C160B1"/>
    <w:rsid w:val="09C20D77"/>
    <w:rsid w:val="09C4355A"/>
    <w:rsid w:val="09D276E8"/>
    <w:rsid w:val="09E102BD"/>
    <w:rsid w:val="09EA2AEC"/>
    <w:rsid w:val="09F97D71"/>
    <w:rsid w:val="0A050E51"/>
    <w:rsid w:val="0A0710CC"/>
    <w:rsid w:val="0A123B49"/>
    <w:rsid w:val="0A132DAA"/>
    <w:rsid w:val="0A13415F"/>
    <w:rsid w:val="0A193DB1"/>
    <w:rsid w:val="0A19692F"/>
    <w:rsid w:val="0A241B08"/>
    <w:rsid w:val="0A245396"/>
    <w:rsid w:val="0A3D797F"/>
    <w:rsid w:val="0A4918B9"/>
    <w:rsid w:val="0A564ED9"/>
    <w:rsid w:val="0A574610"/>
    <w:rsid w:val="0A574DDE"/>
    <w:rsid w:val="0A6D7FB6"/>
    <w:rsid w:val="0AA417AC"/>
    <w:rsid w:val="0AA45108"/>
    <w:rsid w:val="0AAC6EC8"/>
    <w:rsid w:val="0ABE5570"/>
    <w:rsid w:val="0ABE7348"/>
    <w:rsid w:val="0AC43EBB"/>
    <w:rsid w:val="0AD965A0"/>
    <w:rsid w:val="0AE31E41"/>
    <w:rsid w:val="0AF2379E"/>
    <w:rsid w:val="0B190E79"/>
    <w:rsid w:val="0B27038A"/>
    <w:rsid w:val="0B270E55"/>
    <w:rsid w:val="0B313024"/>
    <w:rsid w:val="0B316F09"/>
    <w:rsid w:val="0B493703"/>
    <w:rsid w:val="0B632224"/>
    <w:rsid w:val="0B6E5911"/>
    <w:rsid w:val="0B7A4092"/>
    <w:rsid w:val="0B972639"/>
    <w:rsid w:val="0BAD7523"/>
    <w:rsid w:val="0BB01236"/>
    <w:rsid w:val="0BB850CF"/>
    <w:rsid w:val="0BC12142"/>
    <w:rsid w:val="0BC4151B"/>
    <w:rsid w:val="0BCA44E2"/>
    <w:rsid w:val="0BCB05B5"/>
    <w:rsid w:val="0BD333E8"/>
    <w:rsid w:val="0BD90B16"/>
    <w:rsid w:val="0BDD5B02"/>
    <w:rsid w:val="0BE60A79"/>
    <w:rsid w:val="0BEB6F66"/>
    <w:rsid w:val="0BF22DAE"/>
    <w:rsid w:val="0C044961"/>
    <w:rsid w:val="0C1754E9"/>
    <w:rsid w:val="0C3547A8"/>
    <w:rsid w:val="0C4A48FF"/>
    <w:rsid w:val="0C4B306E"/>
    <w:rsid w:val="0C4D7C21"/>
    <w:rsid w:val="0C5227B9"/>
    <w:rsid w:val="0C75122C"/>
    <w:rsid w:val="0C76557B"/>
    <w:rsid w:val="0C79144A"/>
    <w:rsid w:val="0C952341"/>
    <w:rsid w:val="0CA21559"/>
    <w:rsid w:val="0CA347E2"/>
    <w:rsid w:val="0CC2550B"/>
    <w:rsid w:val="0CD25101"/>
    <w:rsid w:val="0CD3677A"/>
    <w:rsid w:val="0D082D3D"/>
    <w:rsid w:val="0D091AD9"/>
    <w:rsid w:val="0D0E6C97"/>
    <w:rsid w:val="0D2D4420"/>
    <w:rsid w:val="0D306B76"/>
    <w:rsid w:val="0D354C66"/>
    <w:rsid w:val="0D40749E"/>
    <w:rsid w:val="0D4D15C3"/>
    <w:rsid w:val="0D64399A"/>
    <w:rsid w:val="0D6816B9"/>
    <w:rsid w:val="0D7A277D"/>
    <w:rsid w:val="0D851369"/>
    <w:rsid w:val="0D9826EF"/>
    <w:rsid w:val="0D9B3FAF"/>
    <w:rsid w:val="0D9C052D"/>
    <w:rsid w:val="0DA66BAC"/>
    <w:rsid w:val="0DB22642"/>
    <w:rsid w:val="0DB8412D"/>
    <w:rsid w:val="0DBC3A59"/>
    <w:rsid w:val="0DBF5E4E"/>
    <w:rsid w:val="0DC45AC3"/>
    <w:rsid w:val="0DD93336"/>
    <w:rsid w:val="0DE74DE0"/>
    <w:rsid w:val="0DF61EA7"/>
    <w:rsid w:val="0E0F5CFB"/>
    <w:rsid w:val="0E2D5B6E"/>
    <w:rsid w:val="0E345B9A"/>
    <w:rsid w:val="0E3E3EDF"/>
    <w:rsid w:val="0E4C1E5E"/>
    <w:rsid w:val="0E565554"/>
    <w:rsid w:val="0E6354DA"/>
    <w:rsid w:val="0E6A63C3"/>
    <w:rsid w:val="0E6D6FC1"/>
    <w:rsid w:val="0E7B77C5"/>
    <w:rsid w:val="0E7E3CD9"/>
    <w:rsid w:val="0E830401"/>
    <w:rsid w:val="0E8F4245"/>
    <w:rsid w:val="0EA1121F"/>
    <w:rsid w:val="0EB47CAA"/>
    <w:rsid w:val="0EB5347D"/>
    <w:rsid w:val="0EF51641"/>
    <w:rsid w:val="0EFE3EE4"/>
    <w:rsid w:val="0F067D92"/>
    <w:rsid w:val="0F191EE1"/>
    <w:rsid w:val="0F2627BA"/>
    <w:rsid w:val="0F4002CB"/>
    <w:rsid w:val="0F4B7E64"/>
    <w:rsid w:val="0F4D5583"/>
    <w:rsid w:val="0F5655AE"/>
    <w:rsid w:val="0F845D7E"/>
    <w:rsid w:val="0F856F1E"/>
    <w:rsid w:val="0F91381F"/>
    <w:rsid w:val="0F9612AD"/>
    <w:rsid w:val="0F9C265A"/>
    <w:rsid w:val="0FA01FD5"/>
    <w:rsid w:val="0FAF6F27"/>
    <w:rsid w:val="0FB26719"/>
    <w:rsid w:val="0FC04255"/>
    <w:rsid w:val="0FC56C08"/>
    <w:rsid w:val="0FC6532F"/>
    <w:rsid w:val="0FCB75C1"/>
    <w:rsid w:val="0FCE2AD5"/>
    <w:rsid w:val="0FCE38FB"/>
    <w:rsid w:val="0FCF6360"/>
    <w:rsid w:val="0FFA0279"/>
    <w:rsid w:val="100578FA"/>
    <w:rsid w:val="10114414"/>
    <w:rsid w:val="1027563F"/>
    <w:rsid w:val="10346592"/>
    <w:rsid w:val="104B325E"/>
    <w:rsid w:val="104F3B2C"/>
    <w:rsid w:val="10642FEE"/>
    <w:rsid w:val="10707EA2"/>
    <w:rsid w:val="1085134F"/>
    <w:rsid w:val="108A01E5"/>
    <w:rsid w:val="10914481"/>
    <w:rsid w:val="10C763CC"/>
    <w:rsid w:val="10CA4FC1"/>
    <w:rsid w:val="10D33BCD"/>
    <w:rsid w:val="10DE2F90"/>
    <w:rsid w:val="10E61B33"/>
    <w:rsid w:val="10EB4421"/>
    <w:rsid w:val="10F57A16"/>
    <w:rsid w:val="10FD62B6"/>
    <w:rsid w:val="10FF3B0E"/>
    <w:rsid w:val="110B10E5"/>
    <w:rsid w:val="110F3C88"/>
    <w:rsid w:val="11271F87"/>
    <w:rsid w:val="11383ECF"/>
    <w:rsid w:val="114B3D3F"/>
    <w:rsid w:val="11552629"/>
    <w:rsid w:val="11696FB5"/>
    <w:rsid w:val="1175038D"/>
    <w:rsid w:val="117A52B8"/>
    <w:rsid w:val="11876F1F"/>
    <w:rsid w:val="119E2089"/>
    <w:rsid w:val="11AD0AFB"/>
    <w:rsid w:val="11BE5BE4"/>
    <w:rsid w:val="11DC015D"/>
    <w:rsid w:val="11E000BB"/>
    <w:rsid w:val="11EB1615"/>
    <w:rsid w:val="11F7425F"/>
    <w:rsid w:val="12017BD4"/>
    <w:rsid w:val="12062999"/>
    <w:rsid w:val="12070805"/>
    <w:rsid w:val="12236C74"/>
    <w:rsid w:val="122B0EF1"/>
    <w:rsid w:val="122C1646"/>
    <w:rsid w:val="12304D16"/>
    <w:rsid w:val="12327C88"/>
    <w:rsid w:val="124801AD"/>
    <w:rsid w:val="126E673E"/>
    <w:rsid w:val="126E73C5"/>
    <w:rsid w:val="1275170D"/>
    <w:rsid w:val="12855AA9"/>
    <w:rsid w:val="12945DEF"/>
    <w:rsid w:val="12A01F8B"/>
    <w:rsid w:val="12CE4F4A"/>
    <w:rsid w:val="12D449B5"/>
    <w:rsid w:val="12D7416E"/>
    <w:rsid w:val="12E066F6"/>
    <w:rsid w:val="12F02A65"/>
    <w:rsid w:val="12FA2010"/>
    <w:rsid w:val="13131139"/>
    <w:rsid w:val="131E64F4"/>
    <w:rsid w:val="13232B03"/>
    <w:rsid w:val="13287A13"/>
    <w:rsid w:val="132E5185"/>
    <w:rsid w:val="133539B7"/>
    <w:rsid w:val="13426844"/>
    <w:rsid w:val="13446B33"/>
    <w:rsid w:val="1366073C"/>
    <w:rsid w:val="136A5DF7"/>
    <w:rsid w:val="136B3308"/>
    <w:rsid w:val="136D400A"/>
    <w:rsid w:val="13712447"/>
    <w:rsid w:val="138A75A8"/>
    <w:rsid w:val="13B21D9C"/>
    <w:rsid w:val="13B63BF2"/>
    <w:rsid w:val="13C55B51"/>
    <w:rsid w:val="13D33E30"/>
    <w:rsid w:val="13DA2DD4"/>
    <w:rsid w:val="13E857A9"/>
    <w:rsid w:val="13EB523B"/>
    <w:rsid w:val="13EF3A13"/>
    <w:rsid w:val="13F0358E"/>
    <w:rsid w:val="13F47DEB"/>
    <w:rsid w:val="13FD0010"/>
    <w:rsid w:val="14002718"/>
    <w:rsid w:val="1415430E"/>
    <w:rsid w:val="142145C5"/>
    <w:rsid w:val="14345B32"/>
    <w:rsid w:val="143743D8"/>
    <w:rsid w:val="143F04AF"/>
    <w:rsid w:val="144E4536"/>
    <w:rsid w:val="14506E41"/>
    <w:rsid w:val="145D7AE7"/>
    <w:rsid w:val="14675EAF"/>
    <w:rsid w:val="14927573"/>
    <w:rsid w:val="14A10B0A"/>
    <w:rsid w:val="14A371A5"/>
    <w:rsid w:val="14B25A6A"/>
    <w:rsid w:val="14B37074"/>
    <w:rsid w:val="14B7552E"/>
    <w:rsid w:val="14D961E8"/>
    <w:rsid w:val="14F30975"/>
    <w:rsid w:val="14FC49E3"/>
    <w:rsid w:val="15082334"/>
    <w:rsid w:val="15085FE9"/>
    <w:rsid w:val="150C2630"/>
    <w:rsid w:val="15146346"/>
    <w:rsid w:val="151F4B48"/>
    <w:rsid w:val="15214DA8"/>
    <w:rsid w:val="15230F63"/>
    <w:rsid w:val="1546380B"/>
    <w:rsid w:val="15526FA2"/>
    <w:rsid w:val="157D3E39"/>
    <w:rsid w:val="157F4ADA"/>
    <w:rsid w:val="158167A3"/>
    <w:rsid w:val="158439FA"/>
    <w:rsid w:val="158B6AFA"/>
    <w:rsid w:val="15A24697"/>
    <w:rsid w:val="15B2461A"/>
    <w:rsid w:val="15B82EE9"/>
    <w:rsid w:val="15D1525C"/>
    <w:rsid w:val="15D5651F"/>
    <w:rsid w:val="15D721CC"/>
    <w:rsid w:val="15E96373"/>
    <w:rsid w:val="15F82EC2"/>
    <w:rsid w:val="16040395"/>
    <w:rsid w:val="16074188"/>
    <w:rsid w:val="16107559"/>
    <w:rsid w:val="161721EA"/>
    <w:rsid w:val="16191644"/>
    <w:rsid w:val="161F091C"/>
    <w:rsid w:val="162B21EA"/>
    <w:rsid w:val="16384A1A"/>
    <w:rsid w:val="16396660"/>
    <w:rsid w:val="16460987"/>
    <w:rsid w:val="16524698"/>
    <w:rsid w:val="16556932"/>
    <w:rsid w:val="16582B45"/>
    <w:rsid w:val="166546BF"/>
    <w:rsid w:val="16877CE2"/>
    <w:rsid w:val="16914722"/>
    <w:rsid w:val="16971B22"/>
    <w:rsid w:val="16BB7D86"/>
    <w:rsid w:val="16BF4512"/>
    <w:rsid w:val="16E80E3C"/>
    <w:rsid w:val="17192E96"/>
    <w:rsid w:val="171D1869"/>
    <w:rsid w:val="171F6CC4"/>
    <w:rsid w:val="172D41D4"/>
    <w:rsid w:val="172E49C1"/>
    <w:rsid w:val="17320148"/>
    <w:rsid w:val="173D04AA"/>
    <w:rsid w:val="1744267A"/>
    <w:rsid w:val="17721EAB"/>
    <w:rsid w:val="17786F4A"/>
    <w:rsid w:val="17917A79"/>
    <w:rsid w:val="17A00040"/>
    <w:rsid w:val="17A9215B"/>
    <w:rsid w:val="17B031BB"/>
    <w:rsid w:val="17E80356"/>
    <w:rsid w:val="17EC1861"/>
    <w:rsid w:val="17EF4B13"/>
    <w:rsid w:val="17F24C8C"/>
    <w:rsid w:val="17F65C71"/>
    <w:rsid w:val="17F67EE4"/>
    <w:rsid w:val="17FB69C9"/>
    <w:rsid w:val="17FC713D"/>
    <w:rsid w:val="180A232D"/>
    <w:rsid w:val="18271EBE"/>
    <w:rsid w:val="182F4EAA"/>
    <w:rsid w:val="183B02B9"/>
    <w:rsid w:val="18743665"/>
    <w:rsid w:val="18765596"/>
    <w:rsid w:val="18860B46"/>
    <w:rsid w:val="18B361C4"/>
    <w:rsid w:val="18BF292C"/>
    <w:rsid w:val="18C93193"/>
    <w:rsid w:val="18D67F2A"/>
    <w:rsid w:val="18D957DC"/>
    <w:rsid w:val="18DA10CC"/>
    <w:rsid w:val="18E77E82"/>
    <w:rsid w:val="18E95397"/>
    <w:rsid w:val="18F539DB"/>
    <w:rsid w:val="18FC6301"/>
    <w:rsid w:val="18FD325A"/>
    <w:rsid w:val="18FD6566"/>
    <w:rsid w:val="190801ED"/>
    <w:rsid w:val="1917583F"/>
    <w:rsid w:val="19180EFB"/>
    <w:rsid w:val="19260B7A"/>
    <w:rsid w:val="19276FB4"/>
    <w:rsid w:val="192B7A04"/>
    <w:rsid w:val="19391B02"/>
    <w:rsid w:val="19491C31"/>
    <w:rsid w:val="194E5BA7"/>
    <w:rsid w:val="195A78C2"/>
    <w:rsid w:val="196C4DD2"/>
    <w:rsid w:val="197654E3"/>
    <w:rsid w:val="19766C39"/>
    <w:rsid w:val="1977506F"/>
    <w:rsid w:val="19843C66"/>
    <w:rsid w:val="198E68F6"/>
    <w:rsid w:val="19924950"/>
    <w:rsid w:val="199A6BD6"/>
    <w:rsid w:val="19A36741"/>
    <w:rsid w:val="19A56F54"/>
    <w:rsid w:val="19AA4F79"/>
    <w:rsid w:val="19B37881"/>
    <w:rsid w:val="19BC6502"/>
    <w:rsid w:val="19C14AD7"/>
    <w:rsid w:val="19C712E3"/>
    <w:rsid w:val="19D60335"/>
    <w:rsid w:val="19DA379A"/>
    <w:rsid w:val="19DB125A"/>
    <w:rsid w:val="19FB542D"/>
    <w:rsid w:val="19FE7339"/>
    <w:rsid w:val="1A06435A"/>
    <w:rsid w:val="1A0E5E33"/>
    <w:rsid w:val="1A1B1BBB"/>
    <w:rsid w:val="1A1D015C"/>
    <w:rsid w:val="1A280FA2"/>
    <w:rsid w:val="1A4A7520"/>
    <w:rsid w:val="1A4E2979"/>
    <w:rsid w:val="1A681AC3"/>
    <w:rsid w:val="1A701B59"/>
    <w:rsid w:val="1A74064C"/>
    <w:rsid w:val="1A7C5678"/>
    <w:rsid w:val="1A7E65FB"/>
    <w:rsid w:val="1A8D769D"/>
    <w:rsid w:val="1A995225"/>
    <w:rsid w:val="1A9979C9"/>
    <w:rsid w:val="1A9B126C"/>
    <w:rsid w:val="1AA345B9"/>
    <w:rsid w:val="1AB02D78"/>
    <w:rsid w:val="1ACC4CD5"/>
    <w:rsid w:val="1AD546B9"/>
    <w:rsid w:val="1AD92607"/>
    <w:rsid w:val="1ADE603F"/>
    <w:rsid w:val="1AE03BC1"/>
    <w:rsid w:val="1AED27A8"/>
    <w:rsid w:val="1AF35E37"/>
    <w:rsid w:val="1AFF658A"/>
    <w:rsid w:val="1B0E178F"/>
    <w:rsid w:val="1B243139"/>
    <w:rsid w:val="1B262CFE"/>
    <w:rsid w:val="1B3C078C"/>
    <w:rsid w:val="1B463107"/>
    <w:rsid w:val="1B4C5BFE"/>
    <w:rsid w:val="1B602E8D"/>
    <w:rsid w:val="1B6734EC"/>
    <w:rsid w:val="1B67352B"/>
    <w:rsid w:val="1B692617"/>
    <w:rsid w:val="1B6C648A"/>
    <w:rsid w:val="1B910C83"/>
    <w:rsid w:val="1B9401EC"/>
    <w:rsid w:val="1BA4188B"/>
    <w:rsid w:val="1BA63E83"/>
    <w:rsid w:val="1BA86E0F"/>
    <w:rsid w:val="1BB13699"/>
    <w:rsid w:val="1BB208E6"/>
    <w:rsid w:val="1BEB7216"/>
    <w:rsid w:val="1BEF3A29"/>
    <w:rsid w:val="1C0E2A95"/>
    <w:rsid w:val="1C1D0DB6"/>
    <w:rsid w:val="1C1D3CC5"/>
    <w:rsid w:val="1C222A18"/>
    <w:rsid w:val="1C2312C1"/>
    <w:rsid w:val="1C25491C"/>
    <w:rsid w:val="1C2635CF"/>
    <w:rsid w:val="1C2A1B6F"/>
    <w:rsid w:val="1C44548A"/>
    <w:rsid w:val="1C4B13FB"/>
    <w:rsid w:val="1C4C4DE3"/>
    <w:rsid w:val="1C5B4BE7"/>
    <w:rsid w:val="1C6C46B0"/>
    <w:rsid w:val="1C866C21"/>
    <w:rsid w:val="1CBF4D10"/>
    <w:rsid w:val="1CEC3B30"/>
    <w:rsid w:val="1D0276F5"/>
    <w:rsid w:val="1D0C5E7E"/>
    <w:rsid w:val="1D2059E8"/>
    <w:rsid w:val="1D373EF1"/>
    <w:rsid w:val="1D435A06"/>
    <w:rsid w:val="1D4A41E6"/>
    <w:rsid w:val="1D4A69B8"/>
    <w:rsid w:val="1D500A5A"/>
    <w:rsid w:val="1D540E21"/>
    <w:rsid w:val="1D595D80"/>
    <w:rsid w:val="1D5B7109"/>
    <w:rsid w:val="1D5C6FD6"/>
    <w:rsid w:val="1D5D0662"/>
    <w:rsid w:val="1D61249E"/>
    <w:rsid w:val="1D617216"/>
    <w:rsid w:val="1D672EDA"/>
    <w:rsid w:val="1D785E16"/>
    <w:rsid w:val="1D8862C9"/>
    <w:rsid w:val="1D9236E6"/>
    <w:rsid w:val="1D9F1CFF"/>
    <w:rsid w:val="1DD5208C"/>
    <w:rsid w:val="1DD55693"/>
    <w:rsid w:val="1DDA0991"/>
    <w:rsid w:val="1DDE692B"/>
    <w:rsid w:val="1DE06832"/>
    <w:rsid w:val="1DE20A51"/>
    <w:rsid w:val="1DEE4345"/>
    <w:rsid w:val="1DEF6D8A"/>
    <w:rsid w:val="1DF30C0A"/>
    <w:rsid w:val="1DFB6174"/>
    <w:rsid w:val="1DFF6F1C"/>
    <w:rsid w:val="1E0169C3"/>
    <w:rsid w:val="1E0408B2"/>
    <w:rsid w:val="1E1003EE"/>
    <w:rsid w:val="1E321F85"/>
    <w:rsid w:val="1E436613"/>
    <w:rsid w:val="1E5453B9"/>
    <w:rsid w:val="1E5C6793"/>
    <w:rsid w:val="1E662B9F"/>
    <w:rsid w:val="1E685499"/>
    <w:rsid w:val="1E7E5F8F"/>
    <w:rsid w:val="1E8562AC"/>
    <w:rsid w:val="1E8A3E4C"/>
    <w:rsid w:val="1E9000F8"/>
    <w:rsid w:val="1EBA48BA"/>
    <w:rsid w:val="1EC078B4"/>
    <w:rsid w:val="1ECC3F1D"/>
    <w:rsid w:val="1ECD6452"/>
    <w:rsid w:val="1ED64B39"/>
    <w:rsid w:val="1EDC1250"/>
    <w:rsid w:val="1EFF1DE6"/>
    <w:rsid w:val="1EFF1F62"/>
    <w:rsid w:val="1F007B3D"/>
    <w:rsid w:val="1F313542"/>
    <w:rsid w:val="1F3B3ED2"/>
    <w:rsid w:val="1F3F6A93"/>
    <w:rsid w:val="1F662322"/>
    <w:rsid w:val="1F6C538A"/>
    <w:rsid w:val="1F732A19"/>
    <w:rsid w:val="1F8B40FB"/>
    <w:rsid w:val="1FA30B90"/>
    <w:rsid w:val="1FA43509"/>
    <w:rsid w:val="1FA61295"/>
    <w:rsid w:val="1FC374FA"/>
    <w:rsid w:val="1FD86210"/>
    <w:rsid w:val="1FD931E5"/>
    <w:rsid w:val="1FDD0DCC"/>
    <w:rsid w:val="20151718"/>
    <w:rsid w:val="2022526D"/>
    <w:rsid w:val="20260EB4"/>
    <w:rsid w:val="203D1C9A"/>
    <w:rsid w:val="204337DB"/>
    <w:rsid w:val="204542BE"/>
    <w:rsid w:val="20520C70"/>
    <w:rsid w:val="20596094"/>
    <w:rsid w:val="205C6D5E"/>
    <w:rsid w:val="20631015"/>
    <w:rsid w:val="206367B2"/>
    <w:rsid w:val="206D3E5C"/>
    <w:rsid w:val="20707BEB"/>
    <w:rsid w:val="207365BC"/>
    <w:rsid w:val="20764174"/>
    <w:rsid w:val="208F6F58"/>
    <w:rsid w:val="209B72CF"/>
    <w:rsid w:val="20A45138"/>
    <w:rsid w:val="20A45DBC"/>
    <w:rsid w:val="20A8476C"/>
    <w:rsid w:val="20B026EF"/>
    <w:rsid w:val="20CE5C4D"/>
    <w:rsid w:val="20D8248D"/>
    <w:rsid w:val="20DE7B89"/>
    <w:rsid w:val="20ED3A56"/>
    <w:rsid w:val="20EF356A"/>
    <w:rsid w:val="20F77D33"/>
    <w:rsid w:val="21090686"/>
    <w:rsid w:val="21104CDA"/>
    <w:rsid w:val="21154FBB"/>
    <w:rsid w:val="211D4751"/>
    <w:rsid w:val="211E421E"/>
    <w:rsid w:val="212143AF"/>
    <w:rsid w:val="213D40ED"/>
    <w:rsid w:val="21455471"/>
    <w:rsid w:val="214D225D"/>
    <w:rsid w:val="214F0C45"/>
    <w:rsid w:val="215F7D83"/>
    <w:rsid w:val="21796C03"/>
    <w:rsid w:val="219176BA"/>
    <w:rsid w:val="219308EA"/>
    <w:rsid w:val="21AB419B"/>
    <w:rsid w:val="21D212F3"/>
    <w:rsid w:val="21D24D2B"/>
    <w:rsid w:val="21E138B3"/>
    <w:rsid w:val="21E73A57"/>
    <w:rsid w:val="21F32955"/>
    <w:rsid w:val="21F90D1F"/>
    <w:rsid w:val="220F48F9"/>
    <w:rsid w:val="22102AEF"/>
    <w:rsid w:val="22177434"/>
    <w:rsid w:val="221D57CE"/>
    <w:rsid w:val="22306B80"/>
    <w:rsid w:val="2238039D"/>
    <w:rsid w:val="224A18E5"/>
    <w:rsid w:val="22674778"/>
    <w:rsid w:val="22736158"/>
    <w:rsid w:val="22772695"/>
    <w:rsid w:val="22800377"/>
    <w:rsid w:val="22833BAA"/>
    <w:rsid w:val="2284041B"/>
    <w:rsid w:val="22A354E3"/>
    <w:rsid w:val="22A77439"/>
    <w:rsid w:val="22DC7E47"/>
    <w:rsid w:val="22E30140"/>
    <w:rsid w:val="22E60DB7"/>
    <w:rsid w:val="22EB5B24"/>
    <w:rsid w:val="22FF2273"/>
    <w:rsid w:val="232C5A7F"/>
    <w:rsid w:val="235F3B22"/>
    <w:rsid w:val="236A6F6B"/>
    <w:rsid w:val="23747BDD"/>
    <w:rsid w:val="238447AE"/>
    <w:rsid w:val="23A11DD7"/>
    <w:rsid w:val="23A44173"/>
    <w:rsid w:val="23A948A9"/>
    <w:rsid w:val="23AE0DB0"/>
    <w:rsid w:val="23CD460F"/>
    <w:rsid w:val="23DC580E"/>
    <w:rsid w:val="23EC1DB4"/>
    <w:rsid w:val="23EC7CBE"/>
    <w:rsid w:val="23F057FF"/>
    <w:rsid w:val="23FA6382"/>
    <w:rsid w:val="24094CE8"/>
    <w:rsid w:val="240B71BB"/>
    <w:rsid w:val="241A7897"/>
    <w:rsid w:val="241E7205"/>
    <w:rsid w:val="244B7F4B"/>
    <w:rsid w:val="245B4FCF"/>
    <w:rsid w:val="245D3169"/>
    <w:rsid w:val="24607F66"/>
    <w:rsid w:val="24666785"/>
    <w:rsid w:val="246E1639"/>
    <w:rsid w:val="2470537B"/>
    <w:rsid w:val="24797916"/>
    <w:rsid w:val="247A57C9"/>
    <w:rsid w:val="247D4A5B"/>
    <w:rsid w:val="248D38E1"/>
    <w:rsid w:val="24927F34"/>
    <w:rsid w:val="24AC7783"/>
    <w:rsid w:val="24AE693A"/>
    <w:rsid w:val="24C41938"/>
    <w:rsid w:val="24D2371E"/>
    <w:rsid w:val="24ED7B8F"/>
    <w:rsid w:val="25522886"/>
    <w:rsid w:val="255E07B9"/>
    <w:rsid w:val="25657524"/>
    <w:rsid w:val="257122F9"/>
    <w:rsid w:val="258A2265"/>
    <w:rsid w:val="25911AD1"/>
    <w:rsid w:val="25922106"/>
    <w:rsid w:val="25995AC5"/>
    <w:rsid w:val="25A404AC"/>
    <w:rsid w:val="25AE2574"/>
    <w:rsid w:val="25C33180"/>
    <w:rsid w:val="25C71E93"/>
    <w:rsid w:val="25D23219"/>
    <w:rsid w:val="25E24595"/>
    <w:rsid w:val="25E7266F"/>
    <w:rsid w:val="25F62D5B"/>
    <w:rsid w:val="261302D7"/>
    <w:rsid w:val="261B1463"/>
    <w:rsid w:val="264222AF"/>
    <w:rsid w:val="264A6378"/>
    <w:rsid w:val="26524468"/>
    <w:rsid w:val="2659691F"/>
    <w:rsid w:val="266D1102"/>
    <w:rsid w:val="26900F10"/>
    <w:rsid w:val="26AB4F32"/>
    <w:rsid w:val="26B21BFB"/>
    <w:rsid w:val="26BD640A"/>
    <w:rsid w:val="26BE7397"/>
    <w:rsid w:val="26CC46CD"/>
    <w:rsid w:val="26D90CB9"/>
    <w:rsid w:val="26F859C8"/>
    <w:rsid w:val="26FE202C"/>
    <w:rsid w:val="2725493F"/>
    <w:rsid w:val="27353B3D"/>
    <w:rsid w:val="273C7C57"/>
    <w:rsid w:val="273D7EEF"/>
    <w:rsid w:val="27465CDE"/>
    <w:rsid w:val="2765238A"/>
    <w:rsid w:val="276C26D9"/>
    <w:rsid w:val="277C0799"/>
    <w:rsid w:val="278D5A99"/>
    <w:rsid w:val="278E4E50"/>
    <w:rsid w:val="278F7923"/>
    <w:rsid w:val="27931FCA"/>
    <w:rsid w:val="27A84712"/>
    <w:rsid w:val="27C14859"/>
    <w:rsid w:val="27CB7AA6"/>
    <w:rsid w:val="27DF46BB"/>
    <w:rsid w:val="27F2190D"/>
    <w:rsid w:val="27FB366E"/>
    <w:rsid w:val="28133675"/>
    <w:rsid w:val="28154DFE"/>
    <w:rsid w:val="28204E21"/>
    <w:rsid w:val="282973B8"/>
    <w:rsid w:val="2832749E"/>
    <w:rsid w:val="283A1336"/>
    <w:rsid w:val="284C7DDC"/>
    <w:rsid w:val="284E2217"/>
    <w:rsid w:val="2861008E"/>
    <w:rsid w:val="286E6FCC"/>
    <w:rsid w:val="288E1836"/>
    <w:rsid w:val="28930BCC"/>
    <w:rsid w:val="28931506"/>
    <w:rsid w:val="28997324"/>
    <w:rsid w:val="28A2544A"/>
    <w:rsid w:val="28A32C4B"/>
    <w:rsid w:val="28AB3821"/>
    <w:rsid w:val="28B70237"/>
    <w:rsid w:val="28BC5B91"/>
    <w:rsid w:val="28C612C0"/>
    <w:rsid w:val="28D33503"/>
    <w:rsid w:val="28DF1AE1"/>
    <w:rsid w:val="28EB66D6"/>
    <w:rsid w:val="28F95E86"/>
    <w:rsid w:val="28FF54BB"/>
    <w:rsid w:val="291005DC"/>
    <w:rsid w:val="292E0825"/>
    <w:rsid w:val="293151FB"/>
    <w:rsid w:val="29480001"/>
    <w:rsid w:val="2967068A"/>
    <w:rsid w:val="29697841"/>
    <w:rsid w:val="296C137B"/>
    <w:rsid w:val="297A5CD3"/>
    <w:rsid w:val="29803008"/>
    <w:rsid w:val="298A4145"/>
    <w:rsid w:val="298E4EA0"/>
    <w:rsid w:val="2992604C"/>
    <w:rsid w:val="299B3D96"/>
    <w:rsid w:val="299E7942"/>
    <w:rsid w:val="29A04358"/>
    <w:rsid w:val="29CE2A1D"/>
    <w:rsid w:val="29D435BE"/>
    <w:rsid w:val="29DC14C5"/>
    <w:rsid w:val="29DE269D"/>
    <w:rsid w:val="29DE6532"/>
    <w:rsid w:val="29DF05DF"/>
    <w:rsid w:val="29E128C2"/>
    <w:rsid w:val="29E76B67"/>
    <w:rsid w:val="2A026396"/>
    <w:rsid w:val="2A043355"/>
    <w:rsid w:val="2A284B2F"/>
    <w:rsid w:val="2A2F2BAD"/>
    <w:rsid w:val="2A445866"/>
    <w:rsid w:val="2A712077"/>
    <w:rsid w:val="2A9B2012"/>
    <w:rsid w:val="2AA34D21"/>
    <w:rsid w:val="2AAA7335"/>
    <w:rsid w:val="2AAC5B5F"/>
    <w:rsid w:val="2AB5141F"/>
    <w:rsid w:val="2AC60A76"/>
    <w:rsid w:val="2AC92727"/>
    <w:rsid w:val="2AD37CDA"/>
    <w:rsid w:val="2AD965C3"/>
    <w:rsid w:val="2ADC7993"/>
    <w:rsid w:val="2AE73FDC"/>
    <w:rsid w:val="2AF01CFE"/>
    <w:rsid w:val="2AFC33B4"/>
    <w:rsid w:val="2B060E91"/>
    <w:rsid w:val="2B1412A4"/>
    <w:rsid w:val="2B3110FE"/>
    <w:rsid w:val="2B3B2FF1"/>
    <w:rsid w:val="2B3C2EF9"/>
    <w:rsid w:val="2B3D7812"/>
    <w:rsid w:val="2B494915"/>
    <w:rsid w:val="2B4F64CA"/>
    <w:rsid w:val="2B5B6B83"/>
    <w:rsid w:val="2B7C70E1"/>
    <w:rsid w:val="2B962881"/>
    <w:rsid w:val="2B997E11"/>
    <w:rsid w:val="2BA271EA"/>
    <w:rsid w:val="2BA44129"/>
    <w:rsid w:val="2BA7737D"/>
    <w:rsid w:val="2BAC608B"/>
    <w:rsid w:val="2BD22761"/>
    <w:rsid w:val="2BD57276"/>
    <w:rsid w:val="2BDE1C33"/>
    <w:rsid w:val="2BEE1921"/>
    <w:rsid w:val="2BF43041"/>
    <w:rsid w:val="2BF612E4"/>
    <w:rsid w:val="2C297F7E"/>
    <w:rsid w:val="2C2A6C42"/>
    <w:rsid w:val="2C393F93"/>
    <w:rsid w:val="2C444890"/>
    <w:rsid w:val="2C47016D"/>
    <w:rsid w:val="2C4917EA"/>
    <w:rsid w:val="2C522C86"/>
    <w:rsid w:val="2C566257"/>
    <w:rsid w:val="2C5B7D99"/>
    <w:rsid w:val="2C637FD2"/>
    <w:rsid w:val="2C723155"/>
    <w:rsid w:val="2C7E2229"/>
    <w:rsid w:val="2C8E59C0"/>
    <w:rsid w:val="2C945F98"/>
    <w:rsid w:val="2C9D1056"/>
    <w:rsid w:val="2CA0610A"/>
    <w:rsid w:val="2CA24AD5"/>
    <w:rsid w:val="2CA51487"/>
    <w:rsid w:val="2CAC7D63"/>
    <w:rsid w:val="2CB32684"/>
    <w:rsid w:val="2CBD060F"/>
    <w:rsid w:val="2CDC2F20"/>
    <w:rsid w:val="2CE07D52"/>
    <w:rsid w:val="2CEF7E45"/>
    <w:rsid w:val="2CF00CEC"/>
    <w:rsid w:val="2D042706"/>
    <w:rsid w:val="2D2B7873"/>
    <w:rsid w:val="2D49047C"/>
    <w:rsid w:val="2D66010E"/>
    <w:rsid w:val="2D68185A"/>
    <w:rsid w:val="2D74105A"/>
    <w:rsid w:val="2D773F97"/>
    <w:rsid w:val="2D7C3660"/>
    <w:rsid w:val="2D7F3CC5"/>
    <w:rsid w:val="2D7F72AB"/>
    <w:rsid w:val="2D861577"/>
    <w:rsid w:val="2D880DE6"/>
    <w:rsid w:val="2DA20F45"/>
    <w:rsid w:val="2DB60E97"/>
    <w:rsid w:val="2DBF3D8F"/>
    <w:rsid w:val="2DC830DF"/>
    <w:rsid w:val="2DD22086"/>
    <w:rsid w:val="2DD87F93"/>
    <w:rsid w:val="2DE132A5"/>
    <w:rsid w:val="2DEA046E"/>
    <w:rsid w:val="2E026CFB"/>
    <w:rsid w:val="2E295F01"/>
    <w:rsid w:val="2E3F3416"/>
    <w:rsid w:val="2E441E78"/>
    <w:rsid w:val="2E5674A1"/>
    <w:rsid w:val="2E5D564A"/>
    <w:rsid w:val="2E634771"/>
    <w:rsid w:val="2E6A2A5A"/>
    <w:rsid w:val="2E813ED1"/>
    <w:rsid w:val="2E95540E"/>
    <w:rsid w:val="2E991DFC"/>
    <w:rsid w:val="2E995FE4"/>
    <w:rsid w:val="2EC00B52"/>
    <w:rsid w:val="2EC7393A"/>
    <w:rsid w:val="2ECD7DE4"/>
    <w:rsid w:val="2ED266A6"/>
    <w:rsid w:val="2EF716A6"/>
    <w:rsid w:val="2F0A1456"/>
    <w:rsid w:val="2F113F69"/>
    <w:rsid w:val="2F19317A"/>
    <w:rsid w:val="2F1E74CF"/>
    <w:rsid w:val="2F2A298D"/>
    <w:rsid w:val="2F411B55"/>
    <w:rsid w:val="2F47212E"/>
    <w:rsid w:val="2F6D21C4"/>
    <w:rsid w:val="2F7C3815"/>
    <w:rsid w:val="2F832D79"/>
    <w:rsid w:val="2F8C0A23"/>
    <w:rsid w:val="2F8C1C63"/>
    <w:rsid w:val="2F9F4850"/>
    <w:rsid w:val="2FB448C0"/>
    <w:rsid w:val="2FCC6673"/>
    <w:rsid w:val="2FCC7425"/>
    <w:rsid w:val="2FCF0BFF"/>
    <w:rsid w:val="2FD04090"/>
    <w:rsid w:val="2FD14541"/>
    <w:rsid w:val="2FD54B44"/>
    <w:rsid w:val="2FD83470"/>
    <w:rsid w:val="2FF12A1B"/>
    <w:rsid w:val="2FFB43F4"/>
    <w:rsid w:val="2FFE00C4"/>
    <w:rsid w:val="30055D47"/>
    <w:rsid w:val="30395940"/>
    <w:rsid w:val="30414F71"/>
    <w:rsid w:val="30416322"/>
    <w:rsid w:val="3045620C"/>
    <w:rsid w:val="304A403D"/>
    <w:rsid w:val="30511DF8"/>
    <w:rsid w:val="306171C1"/>
    <w:rsid w:val="306511B7"/>
    <w:rsid w:val="3066719D"/>
    <w:rsid w:val="30700542"/>
    <w:rsid w:val="308D2692"/>
    <w:rsid w:val="309E6827"/>
    <w:rsid w:val="30B6431B"/>
    <w:rsid w:val="30C51858"/>
    <w:rsid w:val="30C931D7"/>
    <w:rsid w:val="30E13F99"/>
    <w:rsid w:val="31245B1A"/>
    <w:rsid w:val="312B03B4"/>
    <w:rsid w:val="3134470F"/>
    <w:rsid w:val="313712E3"/>
    <w:rsid w:val="3142579E"/>
    <w:rsid w:val="31522451"/>
    <w:rsid w:val="31583D3D"/>
    <w:rsid w:val="31633010"/>
    <w:rsid w:val="316576AC"/>
    <w:rsid w:val="316C437B"/>
    <w:rsid w:val="317E1B7F"/>
    <w:rsid w:val="31957E56"/>
    <w:rsid w:val="31C1125C"/>
    <w:rsid w:val="31C45F3E"/>
    <w:rsid w:val="31C70009"/>
    <w:rsid w:val="31CC14AA"/>
    <w:rsid w:val="31D45D81"/>
    <w:rsid w:val="31E417B9"/>
    <w:rsid w:val="31ED1F5B"/>
    <w:rsid w:val="31F24569"/>
    <w:rsid w:val="31F54F96"/>
    <w:rsid w:val="31F861AE"/>
    <w:rsid w:val="31FF2D32"/>
    <w:rsid w:val="32042671"/>
    <w:rsid w:val="32145661"/>
    <w:rsid w:val="321B655E"/>
    <w:rsid w:val="321C55B1"/>
    <w:rsid w:val="32264087"/>
    <w:rsid w:val="322F1E88"/>
    <w:rsid w:val="32376E15"/>
    <w:rsid w:val="323A0547"/>
    <w:rsid w:val="325D242F"/>
    <w:rsid w:val="326430DF"/>
    <w:rsid w:val="32653389"/>
    <w:rsid w:val="32655BB8"/>
    <w:rsid w:val="327B7A8C"/>
    <w:rsid w:val="32E02964"/>
    <w:rsid w:val="32E1482E"/>
    <w:rsid w:val="32F01161"/>
    <w:rsid w:val="3300469B"/>
    <w:rsid w:val="33007340"/>
    <w:rsid w:val="33171B59"/>
    <w:rsid w:val="33191B30"/>
    <w:rsid w:val="331A6CA6"/>
    <w:rsid w:val="332677F0"/>
    <w:rsid w:val="33281F17"/>
    <w:rsid w:val="332A0DD4"/>
    <w:rsid w:val="33325295"/>
    <w:rsid w:val="33326444"/>
    <w:rsid w:val="334631E6"/>
    <w:rsid w:val="334D6940"/>
    <w:rsid w:val="334E2228"/>
    <w:rsid w:val="335A43C9"/>
    <w:rsid w:val="335D2D55"/>
    <w:rsid w:val="33640ADB"/>
    <w:rsid w:val="33660B34"/>
    <w:rsid w:val="337A3821"/>
    <w:rsid w:val="337B55AC"/>
    <w:rsid w:val="338A2EBC"/>
    <w:rsid w:val="338C5283"/>
    <w:rsid w:val="339734D9"/>
    <w:rsid w:val="33A8122D"/>
    <w:rsid w:val="33A90F08"/>
    <w:rsid w:val="33B02902"/>
    <w:rsid w:val="33BE7091"/>
    <w:rsid w:val="33C52557"/>
    <w:rsid w:val="33C5299F"/>
    <w:rsid w:val="33C72C01"/>
    <w:rsid w:val="33DE1273"/>
    <w:rsid w:val="33F53FF9"/>
    <w:rsid w:val="33FE20EA"/>
    <w:rsid w:val="341345E4"/>
    <w:rsid w:val="34193D28"/>
    <w:rsid w:val="34193DAE"/>
    <w:rsid w:val="341E53A4"/>
    <w:rsid w:val="34336853"/>
    <w:rsid w:val="3446441B"/>
    <w:rsid w:val="344678F0"/>
    <w:rsid w:val="346A6596"/>
    <w:rsid w:val="34804286"/>
    <w:rsid w:val="34871218"/>
    <w:rsid w:val="34876DF8"/>
    <w:rsid w:val="348D75DF"/>
    <w:rsid w:val="348E42AD"/>
    <w:rsid w:val="34966C75"/>
    <w:rsid w:val="349C58B2"/>
    <w:rsid w:val="34A14F49"/>
    <w:rsid w:val="34AD7D21"/>
    <w:rsid w:val="34B856E6"/>
    <w:rsid w:val="34CB012C"/>
    <w:rsid w:val="34D4182B"/>
    <w:rsid w:val="34D74435"/>
    <w:rsid w:val="34DD61E4"/>
    <w:rsid w:val="34F32369"/>
    <w:rsid w:val="34F625C0"/>
    <w:rsid w:val="352275FD"/>
    <w:rsid w:val="352B69BB"/>
    <w:rsid w:val="35314387"/>
    <w:rsid w:val="35322E5D"/>
    <w:rsid w:val="35326278"/>
    <w:rsid w:val="35436B2A"/>
    <w:rsid w:val="35450AE0"/>
    <w:rsid w:val="354F72A3"/>
    <w:rsid w:val="35521215"/>
    <w:rsid w:val="3557756C"/>
    <w:rsid w:val="35592615"/>
    <w:rsid w:val="35737A48"/>
    <w:rsid w:val="35764940"/>
    <w:rsid w:val="35930AF4"/>
    <w:rsid w:val="3597745C"/>
    <w:rsid w:val="35A03C5E"/>
    <w:rsid w:val="35A070E4"/>
    <w:rsid w:val="35C7685F"/>
    <w:rsid w:val="363642B0"/>
    <w:rsid w:val="36452F0F"/>
    <w:rsid w:val="36525E2D"/>
    <w:rsid w:val="36555933"/>
    <w:rsid w:val="36751866"/>
    <w:rsid w:val="36813408"/>
    <w:rsid w:val="36847990"/>
    <w:rsid w:val="36865C15"/>
    <w:rsid w:val="36970CA9"/>
    <w:rsid w:val="36980DAD"/>
    <w:rsid w:val="36983A25"/>
    <w:rsid w:val="369B0C7B"/>
    <w:rsid w:val="369E516C"/>
    <w:rsid w:val="36C5681F"/>
    <w:rsid w:val="36D73813"/>
    <w:rsid w:val="36F605CD"/>
    <w:rsid w:val="36FB5E37"/>
    <w:rsid w:val="37023B54"/>
    <w:rsid w:val="37062FFE"/>
    <w:rsid w:val="3725469F"/>
    <w:rsid w:val="37275E99"/>
    <w:rsid w:val="37491C1C"/>
    <w:rsid w:val="374B7821"/>
    <w:rsid w:val="37566D65"/>
    <w:rsid w:val="375F6DB0"/>
    <w:rsid w:val="376062DA"/>
    <w:rsid w:val="37621F23"/>
    <w:rsid w:val="376B3557"/>
    <w:rsid w:val="376B7607"/>
    <w:rsid w:val="37780879"/>
    <w:rsid w:val="37914385"/>
    <w:rsid w:val="379F42CD"/>
    <w:rsid w:val="37A2572C"/>
    <w:rsid w:val="37A56C77"/>
    <w:rsid w:val="37AE4F27"/>
    <w:rsid w:val="37BE4D4B"/>
    <w:rsid w:val="37C669ED"/>
    <w:rsid w:val="37CB2D7F"/>
    <w:rsid w:val="37D051BD"/>
    <w:rsid w:val="37E14BC5"/>
    <w:rsid w:val="37EA4666"/>
    <w:rsid w:val="37F326E9"/>
    <w:rsid w:val="38047095"/>
    <w:rsid w:val="38110A1E"/>
    <w:rsid w:val="38261738"/>
    <w:rsid w:val="382C1798"/>
    <w:rsid w:val="38327ABB"/>
    <w:rsid w:val="383419BF"/>
    <w:rsid w:val="383F6500"/>
    <w:rsid w:val="38474F55"/>
    <w:rsid w:val="38481A4C"/>
    <w:rsid w:val="38581D78"/>
    <w:rsid w:val="38694F04"/>
    <w:rsid w:val="38750A03"/>
    <w:rsid w:val="387845BE"/>
    <w:rsid w:val="387A1E31"/>
    <w:rsid w:val="3887509A"/>
    <w:rsid w:val="388D78DF"/>
    <w:rsid w:val="38947236"/>
    <w:rsid w:val="38BE7BFF"/>
    <w:rsid w:val="38C268E4"/>
    <w:rsid w:val="38D06709"/>
    <w:rsid w:val="38D43032"/>
    <w:rsid w:val="38D44C10"/>
    <w:rsid w:val="38DC1C4A"/>
    <w:rsid w:val="38DD16FA"/>
    <w:rsid w:val="38E26873"/>
    <w:rsid w:val="38F72DB1"/>
    <w:rsid w:val="38FD6ACC"/>
    <w:rsid w:val="39043EEA"/>
    <w:rsid w:val="392A665B"/>
    <w:rsid w:val="39421FD2"/>
    <w:rsid w:val="394D0553"/>
    <w:rsid w:val="395835DE"/>
    <w:rsid w:val="396B26CC"/>
    <w:rsid w:val="396F6B46"/>
    <w:rsid w:val="39816F3E"/>
    <w:rsid w:val="39932F72"/>
    <w:rsid w:val="399A673F"/>
    <w:rsid w:val="39B41523"/>
    <w:rsid w:val="39B64FAC"/>
    <w:rsid w:val="39BD4C8D"/>
    <w:rsid w:val="39FC74D7"/>
    <w:rsid w:val="3A2114BB"/>
    <w:rsid w:val="3A2611F3"/>
    <w:rsid w:val="3A35732F"/>
    <w:rsid w:val="3A43739A"/>
    <w:rsid w:val="3A4F678F"/>
    <w:rsid w:val="3A5862E8"/>
    <w:rsid w:val="3A5A52CA"/>
    <w:rsid w:val="3A623368"/>
    <w:rsid w:val="3A6D71C1"/>
    <w:rsid w:val="3A6E2120"/>
    <w:rsid w:val="3A7D7938"/>
    <w:rsid w:val="3A825655"/>
    <w:rsid w:val="3A9C207A"/>
    <w:rsid w:val="3AC614A8"/>
    <w:rsid w:val="3AE25CF8"/>
    <w:rsid w:val="3B0F23C2"/>
    <w:rsid w:val="3B246A79"/>
    <w:rsid w:val="3B3D24AC"/>
    <w:rsid w:val="3B3E32E1"/>
    <w:rsid w:val="3B436851"/>
    <w:rsid w:val="3B4C020A"/>
    <w:rsid w:val="3B4E7564"/>
    <w:rsid w:val="3B521658"/>
    <w:rsid w:val="3B536BB8"/>
    <w:rsid w:val="3B585FC4"/>
    <w:rsid w:val="3B5A10F2"/>
    <w:rsid w:val="3B5D4D9C"/>
    <w:rsid w:val="3B645F7D"/>
    <w:rsid w:val="3B7946B4"/>
    <w:rsid w:val="3B7D3F09"/>
    <w:rsid w:val="3B885962"/>
    <w:rsid w:val="3B8A34AF"/>
    <w:rsid w:val="3B8C1EA9"/>
    <w:rsid w:val="3BC617D5"/>
    <w:rsid w:val="3BD53600"/>
    <w:rsid w:val="3BDA1ADE"/>
    <w:rsid w:val="3BE63010"/>
    <w:rsid w:val="3BFC7BF7"/>
    <w:rsid w:val="3C261B9F"/>
    <w:rsid w:val="3C3640FA"/>
    <w:rsid w:val="3C3C5BCE"/>
    <w:rsid w:val="3C4B67DE"/>
    <w:rsid w:val="3C797000"/>
    <w:rsid w:val="3C875DA4"/>
    <w:rsid w:val="3C8C66F5"/>
    <w:rsid w:val="3C9075F9"/>
    <w:rsid w:val="3CAF6246"/>
    <w:rsid w:val="3CC961DE"/>
    <w:rsid w:val="3CD21CDA"/>
    <w:rsid w:val="3CF668EB"/>
    <w:rsid w:val="3CF67F92"/>
    <w:rsid w:val="3D0556AC"/>
    <w:rsid w:val="3D0B686B"/>
    <w:rsid w:val="3D15770E"/>
    <w:rsid w:val="3D3641CD"/>
    <w:rsid w:val="3D3B094B"/>
    <w:rsid w:val="3D4227BF"/>
    <w:rsid w:val="3D452844"/>
    <w:rsid w:val="3D453120"/>
    <w:rsid w:val="3D894B58"/>
    <w:rsid w:val="3D964102"/>
    <w:rsid w:val="3D980C2F"/>
    <w:rsid w:val="3DA21CF0"/>
    <w:rsid w:val="3DA814E9"/>
    <w:rsid w:val="3DB7664B"/>
    <w:rsid w:val="3DC62DBA"/>
    <w:rsid w:val="3DD144CA"/>
    <w:rsid w:val="3DDB2F2C"/>
    <w:rsid w:val="3DDD0552"/>
    <w:rsid w:val="3DDF39AD"/>
    <w:rsid w:val="3DEA106D"/>
    <w:rsid w:val="3DF0363D"/>
    <w:rsid w:val="3DFA4015"/>
    <w:rsid w:val="3DFE63A7"/>
    <w:rsid w:val="3E043ECA"/>
    <w:rsid w:val="3E097056"/>
    <w:rsid w:val="3E232050"/>
    <w:rsid w:val="3E254492"/>
    <w:rsid w:val="3E2B3326"/>
    <w:rsid w:val="3E3437B7"/>
    <w:rsid w:val="3E34540E"/>
    <w:rsid w:val="3E61503D"/>
    <w:rsid w:val="3E71103C"/>
    <w:rsid w:val="3E7E1E52"/>
    <w:rsid w:val="3EAC3B2E"/>
    <w:rsid w:val="3EB64B83"/>
    <w:rsid w:val="3EB85754"/>
    <w:rsid w:val="3EBE4584"/>
    <w:rsid w:val="3EC251A0"/>
    <w:rsid w:val="3ECD02A1"/>
    <w:rsid w:val="3ED54C7C"/>
    <w:rsid w:val="3ED74FA5"/>
    <w:rsid w:val="3ED87CEF"/>
    <w:rsid w:val="3EE5307B"/>
    <w:rsid w:val="3EEB656A"/>
    <w:rsid w:val="3EF265E0"/>
    <w:rsid w:val="3EFC56A9"/>
    <w:rsid w:val="3F0E7E04"/>
    <w:rsid w:val="3F3211B1"/>
    <w:rsid w:val="3F56114E"/>
    <w:rsid w:val="3F66156A"/>
    <w:rsid w:val="3F6A20AB"/>
    <w:rsid w:val="3F733F9A"/>
    <w:rsid w:val="3F833C9C"/>
    <w:rsid w:val="3F8E0A97"/>
    <w:rsid w:val="3F9918EF"/>
    <w:rsid w:val="3F9A2B1C"/>
    <w:rsid w:val="3FBB48C6"/>
    <w:rsid w:val="3FBE55B4"/>
    <w:rsid w:val="3FC3270A"/>
    <w:rsid w:val="3FC90BFE"/>
    <w:rsid w:val="3FCA3B95"/>
    <w:rsid w:val="3FD13FD2"/>
    <w:rsid w:val="3FD2260B"/>
    <w:rsid w:val="3FE06DDC"/>
    <w:rsid w:val="3FE21B72"/>
    <w:rsid w:val="3FE55F30"/>
    <w:rsid w:val="3FFA79DB"/>
    <w:rsid w:val="3FFC0FC8"/>
    <w:rsid w:val="3FFD28F6"/>
    <w:rsid w:val="3FFE0310"/>
    <w:rsid w:val="400F2E7D"/>
    <w:rsid w:val="40256886"/>
    <w:rsid w:val="402F721A"/>
    <w:rsid w:val="40336116"/>
    <w:rsid w:val="40457603"/>
    <w:rsid w:val="404730D3"/>
    <w:rsid w:val="40492D96"/>
    <w:rsid w:val="404E0E2B"/>
    <w:rsid w:val="405B30CE"/>
    <w:rsid w:val="406037CD"/>
    <w:rsid w:val="40637E49"/>
    <w:rsid w:val="40667ADC"/>
    <w:rsid w:val="407315A2"/>
    <w:rsid w:val="40815C9D"/>
    <w:rsid w:val="408C424F"/>
    <w:rsid w:val="408D2417"/>
    <w:rsid w:val="40A30CA0"/>
    <w:rsid w:val="40B87F6F"/>
    <w:rsid w:val="40C567C7"/>
    <w:rsid w:val="40D95426"/>
    <w:rsid w:val="40E77537"/>
    <w:rsid w:val="40F405E8"/>
    <w:rsid w:val="4113377A"/>
    <w:rsid w:val="4128634A"/>
    <w:rsid w:val="41361918"/>
    <w:rsid w:val="413C4A27"/>
    <w:rsid w:val="415E44C9"/>
    <w:rsid w:val="41721309"/>
    <w:rsid w:val="417704DD"/>
    <w:rsid w:val="418615CC"/>
    <w:rsid w:val="418B4807"/>
    <w:rsid w:val="41926595"/>
    <w:rsid w:val="41935E8E"/>
    <w:rsid w:val="41C10F00"/>
    <w:rsid w:val="41CA6143"/>
    <w:rsid w:val="41D855DC"/>
    <w:rsid w:val="41E368F7"/>
    <w:rsid w:val="41EB55EB"/>
    <w:rsid w:val="41F6751A"/>
    <w:rsid w:val="41FF1211"/>
    <w:rsid w:val="42094562"/>
    <w:rsid w:val="42284243"/>
    <w:rsid w:val="422B61FC"/>
    <w:rsid w:val="422C0D98"/>
    <w:rsid w:val="422C5607"/>
    <w:rsid w:val="423170C2"/>
    <w:rsid w:val="4239123B"/>
    <w:rsid w:val="423C6675"/>
    <w:rsid w:val="4264310D"/>
    <w:rsid w:val="42677967"/>
    <w:rsid w:val="42710657"/>
    <w:rsid w:val="427276F9"/>
    <w:rsid w:val="4282522B"/>
    <w:rsid w:val="42893EB8"/>
    <w:rsid w:val="42A5275C"/>
    <w:rsid w:val="42AF0880"/>
    <w:rsid w:val="42AF5930"/>
    <w:rsid w:val="42D42636"/>
    <w:rsid w:val="42DC7B64"/>
    <w:rsid w:val="42FF235A"/>
    <w:rsid w:val="43057843"/>
    <w:rsid w:val="43145D25"/>
    <w:rsid w:val="431509B0"/>
    <w:rsid w:val="431A2FCE"/>
    <w:rsid w:val="431D1F8B"/>
    <w:rsid w:val="43336D10"/>
    <w:rsid w:val="433C4C75"/>
    <w:rsid w:val="4347638E"/>
    <w:rsid w:val="434F1AEB"/>
    <w:rsid w:val="434F3161"/>
    <w:rsid w:val="43547E86"/>
    <w:rsid w:val="435711D7"/>
    <w:rsid w:val="43590706"/>
    <w:rsid w:val="436628D9"/>
    <w:rsid w:val="43683CB6"/>
    <w:rsid w:val="437D248E"/>
    <w:rsid w:val="43843A68"/>
    <w:rsid w:val="439F1D88"/>
    <w:rsid w:val="439F76C4"/>
    <w:rsid w:val="43AA5D47"/>
    <w:rsid w:val="43C24062"/>
    <w:rsid w:val="43D03F2C"/>
    <w:rsid w:val="43E23CD2"/>
    <w:rsid w:val="43F05BE7"/>
    <w:rsid w:val="43F56DD2"/>
    <w:rsid w:val="440305EA"/>
    <w:rsid w:val="4441558F"/>
    <w:rsid w:val="444851AA"/>
    <w:rsid w:val="448B4867"/>
    <w:rsid w:val="448C1E65"/>
    <w:rsid w:val="44913B37"/>
    <w:rsid w:val="44B4512D"/>
    <w:rsid w:val="44B54BE8"/>
    <w:rsid w:val="44B81BF0"/>
    <w:rsid w:val="44C56196"/>
    <w:rsid w:val="44C831A3"/>
    <w:rsid w:val="44CC1549"/>
    <w:rsid w:val="44D854F2"/>
    <w:rsid w:val="44DC32FD"/>
    <w:rsid w:val="451524D4"/>
    <w:rsid w:val="451A68FC"/>
    <w:rsid w:val="451C2D38"/>
    <w:rsid w:val="45241C81"/>
    <w:rsid w:val="452B47F8"/>
    <w:rsid w:val="45411C33"/>
    <w:rsid w:val="454E09B9"/>
    <w:rsid w:val="45502D51"/>
    <w:rsid w:val="45554E75"/>
    <w:rsid w:val="456257A8"/>
    <w:rsid w:val="45682DFA"/>
    <w:rsid w:val="456B7C66"/>
    <w:rsid w:val="45790B64"/>
    <w:rsid w:val="45914924"/>
    <w:rsid w:val="45971C9D"/>
    <w:rsid w:val="45984536"/>
    <w:rsid w:val="459972F1"/>
    <w:rsid w:val="459A24FE"/>
    <w:rsid w:val="459C4852"/>
    <w:rsid w:val="459F4664"/>
    <w:rsid w:val="45AE5168"/>
    <w:rsid w:val="45AF0A88"/>
    <w:rsid w:val="45AF1C3A"/>
    <w:rsid w:val="45C26708"/>
    <w:rsid w:val="45CF2F41"/>
    <w:rsid w:val="45D93418"/>
    <w:rsid w:val="45D956D1"/>
    <w:rsid w:val="45E047A7"/>
    <w:rsid w:val="45E10CFB"/>
    <w:rsid w:val="45E51885"/>
    <w:rsid w:val="45F11A84"/>
    <w:rsid w:val="45F51D81"/>
    <w:rsid w:val="460F7039"/>
    <w:rsid w:val="46286400"/>
    <w:rsid w:val="46301946"/>
    <w:rsid w:val="4654512D"/>
    <w:rsid w:val="465B0489"/>
    <w:rsid w:val="465F4F87"/>
    <w:rsid w:val="46712073"/>
    <w:rsid w:val="467F004C"/>
    <w:rsid w:val="46817EF4"/>
    <w:rsid w:val="46891F03"/>
    <w:rsid w:val="46A00372"/>
    <w:rsid w:val="46A44FE5"/>
    <w:rsid w:val="46A6706D"/>
    <w:rsid w:val="46AA48D8"/>
    <w:rsid w:val="46B82A2E"/>
    <w:rsid w:val="46BA2753"/>
    <w:rsid w:val="46F30C6B"/>
    <w:rsid w:val="46F7291E"/>
    <w:rsid w:val="46FB57BC"/>
    <w:rsid w:val="4706494E"/>
    <w:rsid w:val="470A69DD"/>
    <w:rsid w:val="472138EA"/>
    <w:rsid w:val="47272851"/>
    <w:rsid w:val="472E5904"/>
    <w:rsid w:val="47312E17"/>
    <w:rsid w:val="473F537D"/>
    <w:rsid w:val="473F778D"/>
    <w:rsid w:val="47430D72"/>
    <w:rsid w:val="474B206C"/>
    <w:rsid w:val="47593E9D"/>
    <w:rsid w:val="477D2D36"/>
    <w:rsid w:val="47840B84"/>
    <w:rsid w:val="47856CD1"/>
    <w:rsid w:val="4795278C"/>
    <w:rsid w:val="479F4A7F"/>
    <w:rsid w:val="47B737EB"/>
    <w:rsid w:val="47B7558F"/>
    <w:rsid w:val="47B94B8D"/>
    <w:rsid w:val="47C22BC4"/>
    <w:rsid w:val="47D3420B"/>
    <w:rsid w:val="47EE1E36"/>
    <w:rsid w:val="47F51C65"/>
    <w:rsid w:val="47FF3DFC"/>
    <w:rsid w:val="481F406A"/>
    <w:rsid w:val="482663F7"/>
    <w:rsid w:val="48266B9E"/>
    <w:rsid w:val="4828061F"/>
    <w:rsid w:val="482A7041"/>
    <w:rsid w:val="482D35F8"/>
    <w:rsid w:val="48393665"/>
    <w:rsid w:val="4840474A"/>
    <w:rsid w:val="48564296"/>
    <w:rsid w:val="485D0CF0"/>
    <w:rsid w:val="487815FC"/>
    <w:rsid w:val="487D0D28"/>
    <w:rsid w:val="487D1ED3"/>
    <w:rsid w:val="48855774"/>
    <w:rsid w:val="48900745"/>
    <w:rsid w:val="48A24C1A"/>
    <w:rsid w:val="48A47E87"/>
    <w:rsid w:val="48B742C8"/>
    <w:rsid w:val="48C3108F"/>
    <w:rsid w:val="48DA7D60"/>
    <w:rsid w:val="49043832"/>
    <w:rsid w:val="490961B2"/>
    <w:rsid w:val="490B41C9"/>
    <w:rsid w:val="4912764F"/>
    <w:rsid w:val="491A2C1D"/>
    <w:rsid w:val="4924014E"/>
    <w:rsid w:val="492C124B"/>
    <w:rsid w:val="4936756C"/>
    <w:rsid w:val="493A4258"/>
    <w:rsid w:val="494B3C3D"/>
    <w:rsid w:val="494F5679"/>
    <w:rsid w:val="495C0334"/>
    <w:rsid w:val="495F4514"/>
    <w:rsid w:val="496A2659"/>
    <w:rsid w:val="497004D0"/>
    <w:rsid w:val="49843687"/>
    <w:rsid w:val="499316EA"/>
    <w:rsid w:val="499A3D39"/>
    <w:rsid w:val="49AB29E9"/>
    <w:rsid w:val="49B16C5F"/>
    <w:rsid w:val="49BB3AE4"/>
    <w:rsid w:val="49C0309F"/>
    <w:rsid w:val="49C75135"/>
    <w:rsid w:val="49D50837"/>
    <w:rsid w:val="49F715B6"/>
    <w:rsid w:val="4A080C96"/>
    <w:rsid w:val="4A1B67B2"/>
    <w:rsid w:val="4A4612CE"/>
    <w:rsid w:val="4A491CD4"/>
    <w:rsid w:val="4A730277"/>
    <w:rsid w:val="4A7C37E1"/>
    <w:rsid w:val="4A85431A"/>
    <w:rsid w:val="4A913566"/>
    <w:rsid w:val="4A9F0C02"/>
    <w:rsid w:val="4AA51A70"/>
    <w:rsid w:val="4ABA5AC1"/>
    <w:rsid w:val="4ABB53F1"/>
    <w:rsid w:val="4ABC6D00"/>
    <w:rsid w:val="4AC74525"/>
    <w:rsid w:val="4AC851FC"/>
    <w:rsid w:val="4ACE2613"/>
    <w:rsid w:val="4AD35A52"/>
    <w:rsid w:val="4AD3769A"/>
    <w:rsid w:val="4AD83790"/>
    <w:rsid w:val="4ADC40C8"/>
    <w:rsid w:val="4AE1350B"/>
    <w:rsid w:val="4AE157D4"/>
    <w:rsid w:val="4AEA07B5"/>
    <w:rsid w:val="4AEA6935"/>
    <w:rsid w:val="4B076664"/>
    <w:rsid w:val="4B142480"/>
    <w:rsid w:val="4B156A16"/>
    <w:rsid w:val="4B17058E"/>
    <w:rsid w:val="4B1A65C0"/>
    <w:rsid w:val="4B214B39"/>
    <w:rsid w:val="4B3B1335"/>
    <w:rsid w:val="4B3C6AB7"/>
    <w:rsid w:val="4B3F4ED9"/>
    <w:rsid w:val="4B412930"/>
    <w:rsid w:val="4B4616BE"/>
    <w:rsid w:val="4B5F01C0"/>
    <w:rsid w:val="4B695C5C"/>
    <w:rsid w:val="4B6C660C"/>
    <w:rsid w:val="4B6D02B1"/>
    <w:rsid w:val="4B7024CE"/>
    <w:rsid w:val="4B80680C"/>
    <w:rsid w:val="4BC7293B"/>
    <w:rsid w:val="4BD2292A"/>
    <w:rsid w:val="4BD559EE"/>
    <w:rsid w:val="4BF31086"/>
    <w:rsid w:val="4BFA055F"/>
    <w:rsid w:val="4BFC28ED"/>
    <w:rsid w:val="4C0449F8"/>
    <w:rsid w:val="4C056678"/>
    <w:rsid w:val="4C151EA4"/>
    <w:rsid w:val="4C1556D7"/>
    <w:rsid w:val="4C315873"/>
    <w:rsid w:val="4C5C15CF"/>
    <w:rsid w:val="4CA71896"/>
    <w:rsid w:val="4CB049C0"/>
    <w:rsid w:val="4CB2093F"/>
    <w:rsid w:val="4CB43967"/>
    <w:rsid w:val="4CD36E24"/>
    <w:rsid w:val="4CE30B25"/>
    <w:rsid w:val="4CED31CF"/>
    <w:rsid w:val="4CFC7F5A"/>
    <w:rsid w:val="4D0C03E9"/>
    <w:rsid w:val="4D0D7607"/>
    <w:rsid w:val="4D1A0C09"/>
    <w:rsid w:val="4D2137FA"/>
    <w:rsid w:val="4D214479"/>
    <w:rsid w:val="4D2E637E"/>
    <w:rsid w:val="4D3F03B7"/>
    <w:rsid w:val="4D6F609D"/>
    <w:rsid w:val="4D7C7282"/>
    <w:rsid w:val="4D7E16CF"/>
    <w:rsid w:val="4D8F76C9"/>
    <w:rsid w:val="4DAF23AE"/>
    <w:rsid w:val="4DB15FA7"/>
    <w:rsid w:val="4DB74A67"/>
    <w:rsid w:val="4DBD684E"/>
    <w:rsid w:val="4DC5301D"/>
    <w:rsid w:val="4DCB0E73"/>
    <w:rsid w:val="4DCF6F57"/>
    <w:rsid w:val="4DD17313"/>
    <w:rsid w:val="4DDD6989"/>
    <w:rsid w:val="4DFD2ECD"/>
    <w:rsid w:val="4DFE58E7"/>
    <w:rsid w:val="4E177D06"/>
    <w:rsid w:val="4E284ADB"/>
    <w:rsid w:val="4E410351"/>
    <w:rsid w:val="4E435102"/>
    <w:rsid w:val="4E58696B"/>
    <w:rsid w:val="4E5E7624"/>
    <w:rsid w:val="4E6C0C4B"/>
    <w:rsid w:val="4E6C6AC9"/>
    <w:rsid w:val="4E7604AA"/>
    <w:rsid w:val="4E784C0C"/>
    <w:rsid w:val="4E860185"/>
    <w:rsid w:val="4E9706D1"/>
    <w:rsid w:val="4E9A3249"/>
    <w:rsid w:val="4E9A5EBC"/>
    <w:rsid w:val="4E9C4B6D"/>
    <w:rsid w:val="4EA30A98"/>
    <w:rsid w:val="4EB13943"/>
    <w:rsid w:val="4EB72548"/>
    <w:rsid w:val="4EDE356E"/>
    <w:rsid w:val="4EE13001"/>
    <w:rsid w:val="4EEE7A61"/>
    <w:rsid w:val="4EFB7D4E"/>
    <w:rsid w:val="4F016377"/>
    <w:rsid w:val="4F2D54DD"/>
    <w:rsid w:val="4F342C33"/>
    <w:rsid w:val="4F3F178E"/>
    <w:rsid w:val="4F4979F5"/>
    <w:rsid w:val="4F574D13"/>
    <w:rsid w:val="4F592082"/>
    <w:rsid w:val="4F5C2A97"/>
    <w:rsid w:val="4F5E4906"/>
    <w:rsid w:val="4F74634B"/>
    <w:rsid w:val="4F8B1BBF"/>
    <w:rsid w:val="4F8B42EE"/>
    <w:rsid w:val="4F8C0DE3"/>
    <w:rsid w:val="4F9675CF"/>
    <w:rsid w:val="4F9744EB"/>
    <w:rsid w:val="4FA14128"/>
    <w:rsid w:val="4FA86267"/>
    <w:rsid w:val="4FAA16C7"/>
    <w:rsid w:val="4FB11707"/>
    <w:rsid w:val="4FB66440"/>
    <w:rsid w:val="4FC30E0B"/>
    <w:rsid w:val="4FD67EF8"/>
    <w:rsid w:val="4FDC20C5"/>
    <w:rsid w:val="4FDC7B19"/>
    <w:rsid w:val="4FEA29E1"/>
    <w:rsid w:val="4FED2029"/>
    <w:rsid w:val="4FF24383"/>
    <w:rsid w:val="501214AF"/>
    <w:rsid w:val="50190368"/>
    <w:rsid w:val="502C07BD"/>
    <w:rsid w:val="50371C04"/>
    <w:rsid w:val="50417256"/>
    <w:rsid w:val="506D5074"/>
    <w:rsid w:val="507C50A1"/>
    <w:rsid w:val="507F39A1"/>
    <w:rsid w:val="508934B3"/>
    <w:rsid w:val="50A832C8"/>
    <w:rsid w:val="50AD2043"/>
    <w:rsid w:val="50B23C8B"/>
    <w:rsid w:val="50EA0B67"/>
    <w:rsid w:val="50EB5020"/>
    <w:rsid w:val="50F83700"/>
    <w:rsid w:val="51031B61"/>
    <w:rsid w:val="51095A9C"/>
    <w:rsid w:val="510F017C"/>
    <w:rsid w:val="51134098"/>
    <w:rsid w:val="51364EC7"/>
    <w:rsid w:val="51392BF7"/>
    <w:rsid w:val="51404C76"/>
    <w:rsid w:val="51422751"/>
    <w:rsid w:val="51467B24"/>
    <w:rsid w:val="51475E1E"/>
    <w:rsid w:val="514C1ADB"/>
    <w:rsid w:val="515D2D48"/>
    <w:rsid w:val="51623BE4"/>
    <w:rsid w:val="51722543"/>
    <w:rsid w:val="51830F17"/>
    <w:rsid w:val="51857528"/>
    <w:rsid w:val="51876697"/>
    <w:rsid w:val="518B6327"/>
    <w:rsid w:val="51A05B3A"/>
    <w:rsid w:val="51B649E6"/>
    <w:rsid w:val="51DD567F"/>
    <w:rsid w:val="51E33AA3"/>
    <w:rsid w:val="52044BD2"/>
    <w:rsid w:val="520619CD"/>
    <w:rsid w:val="520A5F1C"/>
    <w:rsid w:val="521B54FB"/>
    <w:rsid w:val="521B6065"/>
    <w:rsid w:val="521E1871"/>
    <w:rsid w:val="522C3E14"/>
    <w:rsid w:val="52352513"/>
    <w:rsid w:val="523B5B32"/>
    <w:rsid w:val="523F4EE3"/>
    <w:rsid w:val="524D1A19"/>
    <w:rsid w:val="52554DDA"/>
    <w:rsid w:val="52557D27"/>
    <w:rsid w:val="52646393"/>
    <w:rsid w:val="5267500A"/>
    <w:rsid w:val="526A76D7"/>
    <w:rsid w:val="526E0783"/>
    <w:rsid w:val="52744C32"/>
    <w:rsid w:val="52874D59"/>
    <w:rsid w:val="52937C97"/>
    <w:rsid w:val="529E5B80"/>
    <w:rsid w:val="52AA5124"/>
    <w:rsid w:val="52AC78C8"/>
    <w:rsid w:val="52B50DA1"/>
    <w:rsid w:val="52C43767"/>
    <w:rsid w:val="52C438C3"/>
    <w:rsid w:val="52C66CD9"/>
    <w:rsid w:val="52C83DC3"/>
    <w:rsid w:val="52DD43FF"/>
    <w:rsid w:val="52EF40AB"/>
    <w:rsid w:val="530D598D"/>
    <w:rsid w:val="53127A03"/>
    <w:rsid w:val="531B69AB"/>
    <w:rsid w:val="532A5757"/>
    <w:rsid w:val="533A4AB5"/>
    <w:rsid w:val="5349251F"/>
    <w:rsid w:val="534C0A86"/>
    <w:rsid w:val="534C0FD3"/>
    <w:rsid w:val="535C5945"/>
    <w:rsid w:val="53622C8A"/>
    <w:rsid w:val="539309FE"/>
    <w:rsid w:val="53962D7F"/>
    <w:rsid w:val="53A850E4"/>
    <w:rsid w:val="53C4242C"/>
    <w:rsid w:val="53C67C2F"/>
    <w:rsid w:val="53D2609F"/>
    <w:rsid w:val="53DF072C"/>
    <w:rsid w:val="53E338B5"/>
    <w:rsid w:val="53FB356D"/>
    <w:rsid w:val="540516F6"/>
    <w:rsid w:val="540A47A9"/>
    <w:rsid w:val="540D73FF"/>
    <w:rsid w:val="540E4521"/>
    <w:rsid w:val="54105FDB"/>
    <w:rsid w:val="541823C7"/>
    <w:rsid w:val="541F6A4D"/>
    <w:rsid w:val="5420146C"/>
    <w:rsid w:val="542979D9"/>
    <w:rsid w:val="542A70E8"/>
    <w:rsid w:val="54333036"/>
    <w:rsid w:val="54413E32"/>
    <w:rsid w:val="544D25E6"/>
    <w:rsid w:val="546074C5"/>
    <w:rsid w:val="547E1B8F"/>
    <w:rsid w:val="549206AF"/>
    <w:rsid w:val="549C0D48"/>
    <w:rsid w:val="54A73E5C"/>
    <w:rsid w:val="54D34AB5"/>
    <w:rsid w:val="54EB014B"/>
    <w:rsid w:val="54F935FE"/>
    <w:rsid w:val="54FD2D20"/>
    <w:rsid w:val="54FD5138"/>
    <w:rsid w:val="55072866"/>
    <w:rsid w:val="55207562"/>
    <w:rsid w:val="55216A6D"/>
    <w:rsid w:val="553F2266"/>
    <w:rsid w:val="555946AC"/>
    <w:rsid w:val="556A456D"/>
    <w:rsid w:val="558656A8"/>
    <w:rsid w:val="558B63DD"/>
    <w:rsid w:val="558D0167"/>
    <w:rsid w:val="55944764"/>
    <w:rsid w:val="55A165E8"/>
    <w:rsid w:val="55A43DBA"/>
    <w:rsid w:val="55A505AD"/>
    <w:rsid w:val="55B25874"/>
    <w:rsid w:val="55BB5D44"/>
    <w:rsid w:val="55D53D1B"/>
    <w:rsid w:val="55D65AC3"/>
    <w:rsid w:val="55DE47D5"/>
    <w:rsid w:val="55E32B30"/>
    <w:rsid w:val="55F774FF"/>
    <w:rsid w:val="56114EC5"/>
    <w:rsid w:val="562E602E"/>
    <w:rsid w:val="563A4313"/>
    <w:rsid w:val="563D73F2"/>
    <w:rsid w:val="565A64A0"/>
    <w:rsid w:val="565C07B8"/>
    <w:rsid w:val="565C5DA0"/>
    <w:rsid w:val="56643E73"/>
    <w:rsid w:val="56660FE8"/>
    <w:rsid w:val="566756F0"/>
    <w:rsid w:val="56726C40"/>
    <w:rsid w:val="56732767"/>
    <w:rsid w:val="5683285B"/>
    <w:rsid w:val="56997174"/>
    <w:rsid w:val="569A7710"/>
    <w:rsid w:val="569C2FC4"/>
    <w:rsid w:val="569F0958"/>
    <w:rsid w:val="569F35BA"/>
    <w:rsid w:val="56A50E88"/>
    <w:rsid w:val="56A826E2"/>
    <w:rsid w:val="56A94472"/>
    <w:rsid w:val="56CA029E"/>
    <w:rsid w:val="56CE3ED0"/>
    <w:rsid w:val="56D638AE"/>
    <w:rsid w:val="56F46051"/>
    <w:rsid w:val="573B0D56"/>
    <w:rsid w:val="57423AD0"/>
    <w:rsid w:val="57534D59"/>
    <w:rsid w:val="576474B9"/>
    <w:rsid w:val="57685D1B"/>
    <w:rsid w:val="57723BE1"/>
    <w:rsid w:val="577538A2"/>
    <w:rsid w:val="577A2627"/>
    <w:rsid w:val="577B6249"/>
    <w:rsid w:val="578402DB"/>
    <w:rsid w:val="578735B4"/>
    <w:rsid w:val="57B64E48"/>
    <w:rsid w:val="57B8308B"/>
    <w:rsid w:val="57C91EE3"/>
    <w:rsid w:val="57DB7BAF"/>
    <w:rsid w:val="57E53DA4"/>
    <w:rsid w:val="57EA304B"/>
    <w:rsid w:val="57FD652F"/>
    <w:rsid w:val="580A7AE7"/>
    <w:rsid w:val="58152EA1"/>
    <w:rsid w:val="581A1EBD"/>
    <w:rsid w:val="581B3D80"/>
    <w:rsid w:val="5820274E"/>
    <w:rsid w:val="58274828"/>
    <w:rsid w:val="583B21CF"/>
    <w:rsid w:val="584A755E"/>
    <w:rsid w:val="5862469C"/>
    <w:rsid w:val="58866105"/>
    <w:rsid w:val="58921B46"/>
    <w:rsid w:val="589E4A99"/>
    <w:rsid w:val="58A00DE6"/>
    <w:rsid w:val="58AB2BA6"/>
    <w:rsid w:val="58C9515C"/>
    <w:rsid w:val="58D42829"/>
    <w:rsid w:val="58E01958"/>
    <w:rsid w:val="58E65DBE"/>
    <w:rsid w:val="58EA479B"/>
    <w:rsid w:val="58FE47CD"/>
    <w:rsid w:val="590A2B57"/>
    <w:rsid w:val="591264D8"/>
    <w:rsid w:val="591E2AAC"/>
    <w:rsid w:val="59223865"/>
    <w:rsid w:val="592B631C"/>
    <w:rsid w:val="59380DE7"/>
    <w:rsid w:val="5952654A"/>
    <w:rsid w:val="595A0CFE"/>
    <w:rsid w:val="5963582D"/>
    <w:rsid w:val="597123FD"/>
    <w:rsid w:val="59790FAE"/>
    <w:rsid w:val="597A0D05"/>
    <w:rsid w:val="59826AB1"/>
    <w:rsid w:val="59893292"/>
    <w:rsid w:val="59927A0C"/>
    <w:rsid w:val="599E4DB3"/>
    <w:rsid w:val="59B10FD8"/>
    <w:rsid w:val="59B77987"/>
    <w:rsid w:val="59B92480"/>
    <w:rsid w:val="59BE0DE3"/>
    <w:rsid w:val="59C45FD4"/>
    <w:rsid w:val="59E0421E"/>
    <w:rsid w:val="59E46B15"/>
    <w:rsid w:val="59E773D2"/>
    <w:rsid w:val="5A0F445F"/>
    <w:rsid w:val="5A1F1118"/>
    <w:rsid w:val="5A2D17F3"/>
    <w:rsid w:val="5A2E5429"/>
    <w:rsid w:val="5A2F19F5"/>
    <w:rsid w:val="5A31238A"/>
    <w:rsid w:val="5A3F3FB1"/>
    <w:rsid w:val="5A442108"/>
    <w:rsid w:val="5A4B40E8"/>
    <w:rsid w:val="5A4B5A7C"/>
    <w:rsid w:val="5A5C4D9A"/>
    <w:rsid w:val="5A640778"/>
    <w:rsid w:val="5A6D48E8"/>
    <w:rsid w:val="5A7D4EC6"/>
    <w:rsid w:val="5AB45A65"/>
    <w:rsid w:val="5AC33C8C"/>
    <w:rsid w:val="5AC61648"/>
    <w:rsid w:val="5ACA5B54"/>
    <w:rsid w:val="5AD312F1"/>
    <w:rsid w:val="5AEA0B9D"/>
    <w:rsid w:val="5AEC19F4"/>
    <w:rsid w:val="5AED2974"/>
    <w:rsid w:val="5AEE5327"/>
    <w:rsid w:val="5AF44979"/>
    <w:rsid w:val="5B000883"/>
    <w:rsid w:val="5B0B0E7A"/>
    <w:rsid w:val="5B1D7AD0"/>
    <w:rsid w:val="5B2F042F"/>
    <w:rsid w:val="5B4A643E"/>
    <w:rsid w:val="5B8514E1"/>
    <w:rsid w:val="5B976D88"/>
    <w:rsid w:val="5B9A5A9D"/>
    <w:rsid w:val="5BAA14DC"/>
    <w:rsid w:val="5BAB6246"/>
    <w:rsid w:val="5BAF6907"/>
    <w:rsid w:val="5BB254BF"/>
    <w:rsid w:val="5BB579A3"/>
    <w:rsid w:val="5BBE235D"/>
    <w:rsid w:val="5BC2589C"/>
    <w:rsid w:val="5BCD1C57"/>
    <w:rsid w:val="5BCE5B1E"/>
    <w:rsid w:val="5BD41FC1"/>
    <w:rsid w:val="5BD77D6F"/>
    <w:rsid w:val="5BEA0FF4"/>
    <w:rsid w:val="5BF141A8"/>
    <w:rsid w:val="5BF41CF9"/>
    <w:rsid w:val="5C0A6B94"/>
    <w:rsid w:val="5C1717E8"/>
    <w:rsid w:val="5C2600F0"/>
    <w:rsid w:val="5C277373"/>
    <w:rsid w:val="5C2D0BAE"/>
    <w:rsid w:val="5C3574B0"/>
    <w:rsid w:val="5C42789D"/>
    <w:rsid w:val="5C475B3F"/>
    <w:rsid w:val="5C5567AD"/>
    <w:rsid w:val="5C5F6A15"/>
    <w:rsid w:val="5C603CEF"/>
    <w:rsid w:val="5C696178"/>
    <w:rsid w:val="5C7B4C3B"/>
    <w:rsid w:val="5C88223D"/>
    <w:rsid w:val="5C8E1653"/>
    <w:rsid w:val="5CA01753"/>
    <w:rsid w:val="5CA117B7"/>
    <w:rsid w:val="5CA52A9A"/>
    <w:rsid w:val="5CCB6316"/>
    <w:rsid w:val="5CCD6851"/>
    <w:rsid w:val="5CDC2D0C"/>
    <w:rsid w:val="5CEA65DB"/>
    <w:rsid w:val="5D067404"/>
    <w:rsid w:val="5D0D1332"/>
    <w:rsid w:val="5D235914"/>
    <w:rsid w:val="5D2C2958"/>
    <w:rsid w:val="5D54206F"/>
    <w:rsid w:val="5D70114C"/>
    <w:rsid w:val="5D713FF1"/>
    <w:rsid w:val="5D781B04"/>
    <w:rsid w:val="5D8744DC"/>
    <w:rsid w:val="5D99194B"/>
    <w:rsid w:val="5D9C35CF"/>
    <w:rsid w:val="5DB90094"/>
    <w:rsid w:val="5DD77FAC"/>
    <w:rsid w:val="5DEE1A15"/>
    <w:rsid w:val="5DF73062"/>
    <w:rsid w:val="5DFA2DF0"/>
    <w:rsid w:val="5E086A88"/>
    <w:rsid w:val="5E1435F4"/>
    <w:rsid w:val="5E2732FC"/>
    <w:rsid w:val="5E375BAA"/>
    <w:rsid w:val="5E5401C4"/>
    <w:rsid w:val="5E5466AF"/>
    <w:rsid w:val="5E6B2ED2"/>
    <w:rsid w:val="5E7255FF"/>
    <w:rsid w:val="5E737CCD"/>
    <w:rsid w:val="5E7A7B8C"/>
    <w:rsid w:val="5E7C1049"/>
    <w:rsid w:val="5E7E6D93"/>
    <w:rsid w:val="5E830019"/>
    <w:rsid w:val="5E833ECF"/>
    <w:rsid w:val="5EC14753"/>
    <w:rsid w:val="5ECD64E6"/>
    <w:rsid w:val="5EE125D8"/>
    <w:rsid w:val="5EFC6160"/>
    <w:rsid w:val="5EFF6E65"/>
    <w:rsid w:val="5F0F470F"/>
    <w:rsid w:val="5F2E1129"/>
    <w:rsid w:val="5F321FE7"/>
    <w:rsid w:val="5F340A49"/>
    <w:rsid w:val="5F354139"/>
    <w:rsid w:val="5F382705"/>
    <w:rsid w:val="5F3F7F9F"/>
    <w:rsid w:val="5F42036F"/>
    <w:rsid w:val="5F4A5CC1"/>
    <w:rsid w:val="5F5367C0"/>
    <w:rsid w:val="5F627F99"/>
    <w:rsid w:val="5F7C0AFF"/>
    <w:rsid w:val="5F8C5D0E"/>
    <w:rsid w:val="5FD32BB8"/>
    <w:rsid w:val="5FD813CF"/>
    <w:rsid w:val="5FE31359"/>
    <w:rsid w:val="5FEA7948"/>
    <w:rsid w:val="5FEB7B54"/>
    <w:rsid w:val="5FEE3ADD"/>
    <w:rsid w:val="5FF84E06"/>
    <w:rsid w:val="60064079"/>
    <w:rsid w:val="60171C10"/>
    <w:rsid w:val="601C7847"/>
    <w:rsid w:val="60261811"/>
    <w:rsid w:val="60294D45"/>
    <w:rsid w:val="604B5E91"/>
    <w:rsid w:val="605A06E3"/>
    <w:rsid w:val="605F585E"/>
    <w:rsid w:val="60751CB7"/>
    <w:rsid w:val="607541B8"/>
    <w:rsid w:val="60870DBF"/>
    <w:rsid w:val="609A5EBC"/>
    <w:rsid w:val="609C5806"/>
    <w:rsid w:val="609C68B8"/>
    <w:rsid w:val="60A90D75"/>
    <w:rsid w:val="60C76265"/>
    <w:rsid w:val="60D61331"/>
    <w:rsid w:val="60D67FCA"/>
    <w:rsid w:val="60DD61AD"/>
    <w:rsid w:val="60DD77AE"/>
    <w:rsid w:val="60E63A43"/>
    <w:rsid w:val="60E67C02"/>
    <w:rsid w:val="60ED1011"/>
    <w:rsid w:val="60F06769"/>
    <w:rsid w:val="61054772"/>
    <w:rsid w:val="61055FEE"/>
    <w:rsid w:val="61073070"/>
    <w:rsid w:val="61086AD8"/>
    <w:rsid w:val="610D79CD"/>
    <w:rsid w:val="610F586A"/>
    <w:rsid w:val="6119292F"/>
    <w:rsid w:val="61351848"/>
    <w:rsid w:val="613A1BB7"/>
    <w:rsid w:val="613A4474"/>
    <w:rsid w:val="613A5D63"/>
    <w:rsid w:val="616C1D90"/>
    <w:rsid w:val="616C6C5F"/>
    <w:rsid w:val="617D3777"/>
    <w:rsid w:val="617E01B2"/>
    <w:rsid w:val="61842A15"/>
    <w:rsid w:val="619516CE"/>
    <w:rsid w:val="619C1603"/>
    <w:rsid w:val="61EB6DDD"/>
    <w:rsid w:val="61F6098C"/>
    <w:rsid w:val="61FA5104"/>
    <w:rsid w:val="621A61D0"/>
    <w:rsid w:val="621C63E5"/>
    <w:rsid w:val="622E264C"/>
    <w:rsid w:val="623A2EAA"/>
    <w:rsid w:val="62421804"/>
    <w:rsid w:val="62507433"/>
    <w:rsid w:val="62641804"/>
    <w:rsid w:val="626F1074"/>
    <w:rsid w:val="627666DA"/>
    <w:rsid w:val="6282779A"/>
    <w:rsid w:val="62A63372"/>
    <w:rsid w:val="62A800C9"/>
    <w:rsid w:val="62A956A8"/>
    <w:rsid w:val="62CA6C81"/>
    <w:rsid w:val="62CE6969"/>
    <w:rsid w:val="62D96933"/>
    <w:rsid w:val="62DD4836"/>
    <w:rsid w:val="62EB62D1"/>
    <w:rsid w:val="62FB453C"/>
    <w:rsid w:val="630070CC"/>
    <w:rsid w:val="630A6509"/>
    <w:rsid w:val="631F2A9C"/>
    <w:rsid w:val="63200BA7"/>
    <w:rsid w:val="63303EC2"/>
    <w:rsid w:val="63353BB6"/>
    <w:rsid w:val="63383729"/>
    <w:rsid w:val="63424A22"/>
    <w:rsid w:val="634626D7"/>
    <w:rsid w:val="63484439"/>
    <w:rsid w:val="63650BC5"/>
    <w:rsid w:val="63680652"/>
    <w:rsid w:val="636A0233"/>
    <w:rsid w:val="636D40BF"/>
    <w:rsid w:val="637317EB"/>
    <w:rsid w:val="63740BF9"/>
    <w:rsid w:val="63852420"/>
    <w:rsid w:val="63884BEA"/>
    <w:rsid w:val="63941F48"/>
    <w:rsid w:val="639A7085"/>
    <w:rsid w:val="63AB00DC"/>
    <w:rsid w:val="63B83049"/>
    <w:rsid w:val="63BB3538"/>
    <w:rsid w:val="63CA3DB3"/>
    <w:rsid w:val="63D04F40"/>
    <w:rsid w:val="63D43414"/>
    <w:rsid w:val="63E22D45"/>
    <w:rsid w:val="64023B2B"/>
    <w:rsid w:val="64062A45"/>
    <w:rsid w:val="64115E29"/>
    <w:rsid w:val="64165DA3"/>
    <w:rsid w:val="641D019B"/>
    <w:rsid w:val="641E05CE"/>
    <w:rsid w:val="64212F9C"/>
    <w:rsid w:val="64271546"/>
    <w:rsid w:val="643C5BEF"/>
    <w:rsid w:val="64437BA5"/>
    <w:rsid w:val="644E39B1"/>
    <w:rsid w:val="646F12CB"/>
    <w:rsid w:val="64836794"/>
    <w:rsid w:val="64857D4B"/>
    <w:rsid w:val="64990AA0"/>
    <w:rsid w:val="64A44E03"/>
    <w:rsid w:val="64AB6C0B"/>
    <w:rsid w:val="64B84C8F"/>
    <w:rsid w:val="64C76423"/>
    <w:rsid w:val="64D51074"/>
    <w:rsid w:val="64DB2F70"/>
    <w:rsid w:val="64DD12A3"/>
    <w:rsid w:val="64E06A85"/>
    <w:rsid w:val="64E1103E"/>
    <w:rsid w:val="64E75692"/>
    <w:rsid w:val="64F03A5F"/>
    <w:rsid w:val="64FD18BC"/>
    <w:rsid w:val="64FE2156"/>
    <w:rsid w:val="650067D2"/>
    <w:rsid w:val="650272E7"/>
    <w:rsid w:val="65093516"/>
    <w:rsid w:val="650E3AC9"/>
    <w:rsid w:val="651A1808"/>
    <w:rsid w:val="651D62F6"/>
    <w:rsid w:val="651E39D3"/>
    <w:rsid w:val="65272F4C"/>
    <w:rsid w:val="653B5056"/>
    <w:rsid w:val="654F7774"/>
    <w:rsid w:val="65521693"/>
    <w:rsid w:val="655356FB"/>
    <w:rsid w:val="65692F5C"/>
    <w:rsid w:val="657676BE"/>
    <w:rsid w:val="65797DBB"/>
    <w:rsid w:val="657A4E0D"/>
    <w:rsid w:val="657A51CA"/>
    <w:rsid w:val="658967E0"/>
    <w:rsid w:val="658C14E0"/>
    <w:rsid w:val="659643BF"/>
    <w:rsid w:val="65AF2EAD"/>
    <w:rsid w:val="65B02358"/>
    <w:rsid w:val="65BC7AD6"/>
    <w:rsid w:val="65CE0A3F"/>
    <w:rsid w:val="65D87B93"/>
    <w:rsid w:val="65DD1156"/>
    <w:rsid w:val="65DF6407"/>
    <w:rsid w:val="65EC3B86"/>
    <w:rsid w:val="65F36C92"/>
    <w:rsid w:val="65FA7647"/>
    <w:rsid w:val="66045D81"/>
    <w:rsid w:val="660A21E3"/>
    <w:rsid w:val="660E2F44"/>
    <w:rsid w:val="66115276"/>
    <w:rsid w:val="66121588"/>
    <w:rsid w:val="6616349F"/>
    <w:rsid w:val="661C6C44"/>
    <w:rsid w:val="66286F31"/>
    <w:rsid w:val="662D50DE"/>
    <w:rsid w:val="663636CE"/>
    <w:rsid w:val="663C464A"/>
    <w:rsid w:val="664046D2"/>
    <w:rsid w:val="66466D76"/>
    <w:rsid w:val="66477A9A"/>
    <w:rsid w:val="66532D01"/>
    <w:rsid w:val="665B2B21"/>
    <w:rsid w:val="666A616E"/>
    <w:rsid w:val="66763410"/>
    <w:rsid w:val="66863B48"/>
    <w:rsid w:val="6688363D"/>
    <w:rsid w:val="66894EDD"/>
    <w:rsid w:val="669C532E"/>
    <w:rsid w:val="66A03D4A"/>
    <w:rsid w:val="66A8528A"/>
    <w:rsid w:val="66D216C8"/>
    <w:rsid w:val="66ED65EE"/>
    <w:rsid w:val="66F5203F"/>
    <w:rsid w:val="66FF0A02"/>
    <w:rsid w:val="67053E67"/>
    <w:rsid w:val="6712307E"/>
    <w:rsid w:val="67201A9C"/>
    <w:rsid w:val="6726437F"/>
    <w:rsid w:val="67337EBE"/>
    <w:rsid w:val="67343119"/>
    <w:rsid w:val="673C5E17"/>
    <w:rsid w:val="67510C24"/>
    <w:rsid w:val="67536087"/>
    <w:rsid w:val="675A3E3A"/>
    <w:rsid w:val="6761519D"/>
    <w:rsid w:val="676C20E1"/>
    <w:rsid w:val="678641BC"/>
    <w:rsid w:val="679258C5"/>
    <w:rsid w:val="67A07F8C"/>
    <w:rsid w:val="67A32A28"/>
    <w:rsid w:val="67A63793"/>
    <w:rsid w:val="67C819F9"/>
    <w:rsid w:val="67D11BA5"/>
    <w:rsid w:val="67E60CED"/>
    <w:rsid w:val="67F56276"/>
    <w:rsid w:val="67FC7B68"/>
    <w:rsid w:val="680901CA"/>
    <w:rsid w:val="68152ED5"/>
    <w:rsid w:val="681D4886"/>
    <w:rsid w:val="68204E84"/>
    <w:rsid w:val="6822648B"/>
    <w:rsid w:val="683803C3"/>
    <w:rsid w:val="68734952"/>
    <w:rsid w:val="68747661"/>
    <w:rsid w:val="68766AD4"/>
    <w:rsid w:val="68783B8D"/>
    <w:rsid w:val="687D19A7"/>
    <w:rsid w:val="688252F6"/>
    <w:rsid w:val="68872F66"/>
    <w:rsid w:val="688A188D"/>
    <w:rsid w:val="689012DE"/>
    <w:rsid w:val="6890424E"/>
    <w:rsid w:val="68944095"/>
    <w:rsid w:val="689D55C8"/>
    <w:rsid w:val="68A545E5"/>
    <w:rsid w:val="68A634C4"/>
    <w:rsid w:val="68AD2203"/>
    <w:rsid w:val="68CF2C1E"/>
    <w:rsid w:val="68D47A7B"/>
    <w:rsid w:val="68D51B2A"/>
    <w:rsid w:val="68DD4B15"/>
    <w:rsid w:val="68E808FE"/>
    <w:rsid w:val="68F004D7"/>
    <w:rsid w:val="68F67B06"/>
    <w:rsid w:val="68FE35E5"/>
    <w:rsid w:val="69000E49"/>
    <w:rsid w:val="692370C5"/>
    <w:rsid w:val="69255B8A"/>
    <w:rsid w:val="69371D0D"/>
    <w:rsid w:val="693B7323"/>
    <w:rsid w:val="69401894"/>
    <w:rsid w:val="69511809"/>
    <w:rsid w:val="695A5CFF"/>
    <w:rsid w:val="69701D41"/>
    <w:rsid w:val="6973108E"/>
    <w:rsid w:val="698613DD"/>
    <w:rsid w:val="698A1A52"/>
    <w:rsid w:val="699D13E0"/>
    <w:rsid w:val="69A72B04"/>
    <w:rsid w:val="69C9043D"/>
    <w:rsid w:val="69D07DDC"/>
    <w:rsid w:val="69D77489"/>
    <w:rsid w:val="69F35CE0"/>
    <w:rsid w:val="6A002564"/>
    <w:rsid w:val="6A0651C0"/>
    <w:rsid w:val="6A104F77"/>
    <w:rsid w:val="6A186321"/>
    <w:rsid w:val="6A272AEF"/>
    <w:rsid w:val="6A497FE5"/>
    <w:rsid w:val="6A5021DD"/>
    <w:rsid w:val="6A517A09"/>
    <w:rsid w:val="6A523D0D"/>
    <w:rsid w:val="6A841AE9"/>
    <w:rsid w:val="6A9300D5"/>
    <w:rsid w:val="6A93051D"/>
    <w:rsid w:val="6A956DDD"/>
    <w:rsid w:val="6A9C3BCE"/>
    <w:rsid w:val="6A9D5C64"/>
    <w:rsid w:val="6AA40FE2"/>
    <w:rsid w:val="6AA65A73"/>
    <w:rsid w:val="6AC01774"/>
    <w:rsid w:val="6AC06AF2"/>
    <w:rsid w:val="6AC3410F"/>
    <w:rsid w:val="6ACB7167"/>
    <w:rsid w:val="6AD5704B"/>
    <w:rsid w:val="6AD67EA2"/>
    <w:rsid w:val="6ADF4641"/>
    <w:rsid w:val="6ADF7340"/>
    <w:rsid w:val="6AEB765E"/>
    <w:rsid w:val="6B09503F"/>
    <w:rsid w:val="6B2B7B59"/>
    <w:rsid w:val="6B364D61"/>
    <w:rsid w:val="6B461D68"/>
    <w:rsid w:val="6B5415A7"/>
    <w:rsid w:val="6B5E0396"/>
    <w:rsid w:val="6B733A34"/>
    <w:rsid w:val="6B74203F"/>
    <w:rsid w:val="6B8C7FD7"/>
    <w:rsid w:val="6BA47751"/>
    <w:rsid w:val="6BAB663E"/>
    <w:rsid w:val="6BAD025B"/>
    <w:rsid w:val="6BAD2B1E"/>
    <w:rsid w:val="6BB4047B"/>
    <w:rsid w:val="6BB95E1E"/>
    <w:rsid w:val="6BC67E61"/>
    <w:rsid w:val="6BCF5682"/>
    <w:rsid w:val="6BE00739"/>
    <w:rsid w:val="6BE40B7D"/>
    <w:rsid w:val="6BFF530E"/>
    <w:rsid w:val="6C1B2A4B"/>
    <w:rsid w:val="6C1D20B0"/>
    <w:rsid w:val="6C2131FA"/>
    <w:rsid w:val="6C273F4A"/>
    <w:rsid w:val="6C2768B9"/>
    <w:rsid w:val="6C3E1F29"/>
    <w:rsid w:val="6C4946A2"/>
    <w:rsid w:val="6C4E73BF"/>
    <w:rsid w:val="6C500173"/>
    <w:rsid w:val="6C7B513B"/>
    <w:rsid w:val="6C7D7AE7"/>
    <w:rsid w:val="6C845DAE"/>
    <w:rsid w:val="6C866CB2"/>
    <w:rsid w:val="6C8B009C"/>
    <w:rsid w:val="6C8C686D"/>
    <w:rsid w:val="6C996CF9"/>
    <w:rsid w:val="6C9A0C2C"/>
    <w:rsid w:val="6C9B4AB2"/>
    <w:rsid w:val="6CA03EC4"/>
    <w:rsid w:val="6CA8714E"/>
    <w:rsid w:val="6CBA63EB"/>
    <w:rsid w:val="6CBF101A"/>
    <w:rsid w:val="6CCC45F1"/>
    <w:rsid w:val="6CDE4FC3"/>
    <w:rsid w:val="6CE8764E"/>
    <w:rsid w:val="6D016B5D"/>
    <w:rsid w:val="6D131658"/>
    <w:rsid w:val="6D2C7940"/>
    <w:rsid w:val="6D5651DB"/>
    <w:rsid w:val="6D6D3276"/>
    <w:rsid w:val="6D9B1FB4"/>
    <w:rsid w:val="6DAC7479"/>
    <w:rsid w:val="6DB647C8"/>
    <w:rsid w:val="6DB77A4D"/>
    <w:rsid w:val="6DBA0C31"/>
    <w:rsid w:val="6DE57F7B"/>
    <w:rsid w:val="6DEE44EC"/>
    <w:rsid w:val="6DF36515"/>
    <w:rsid w:val="6E0530BC"/>
    <w:rsid w:val="6E12505A"/>
    <w:rsid w:val="6E142F70"/>
    <w:rsid w:val="6E1F2652"/>
    <w:rsid w:val="6E253DF7"/>
    <w:rsid w:val="6E375D21"/>
    <w:rsid w:val="6E475C7C"/>
    <w:rsid w:val="6E520AA0"/>
    <w:rsid w:val="6E663C35"/>
    <w:rsid w:val="6E745F56"/>
    <w:rsid w:val="6E753D50"/>
    <w:rsid w:val="6E792F8B"/>
    <w:rsid w:val="6E7F3C63"/>
    <w:rsid w:val="6E7F44F5"/>
    <w:rsid w:val="6E850BF1"/>
    <w:rsid w:val="6E8A0C6E"/>
    <w:rsid w:val="6E8B726F"/>
    <w:rsid w:val="6E9D4B7F"/>
    <w:rsid w:val="6ECC4DA0"/>
    <w:rsid w:val="6ECC500A"/>
    <w:rsid w:val="6ED16547"/>
    <w:rsid w:val="6ED33AFA"/>
    <w:rsid w:val="6EE1112D"/>
    <w:rsid w:val="6EE54713"/>
    <w:rsid w:val="6EFE3B3C"/>
    <w:rsid w:val="6F052C82"/>
    <w:rsid w:val="6F0837FE"/>
    <w:rsid w:val="6F1E05F4"/>
    <w:rsid w:val="6F2D4A05"/>
    <w:rsid w:val="6F3E4FF4"/>
    <w:rsid w:val="6F3F23B8"/>
    <w:rsid w:val="6F44193B"/>
    <w:rsid w:val="6F577052"/>
    <w:rsid w:val="6F777DEC"/>
    <w:rsid w:val="6F8A2371"/>
    <w:rsid w:val="6F8C1F19"/>
    <w:rsid w:val="6F93098D"/>
    <w:rsid w:val="6F9776CA"/>
    <w:rsid w:val="6FA3271C"/>
    <w:rsid w:val="6FA60737"/>
    <w:rsid w:val="6FB2446A"/>
    <w:rsid w:val="6FC07081"/>
    <w:rsid w:val="6FD74000"/>
    <w:rsid w:val="6FDF2F09"/>
    <w:rsid w:val="6FE15D78"/>
    <w:rsid w:val="6FE274D9"/>
    <w:rsid w:val="6FE96DEC"/>
    <w:rsid w:val="700F3678"/>
    <w:rsid w:val="70176D61"/>
    <w:rsid w:val="702E4F76"/>
    <w:rsid w:val="704F7B33"/>
    <w:rsid w:val="70522963"/>
    <w:rsid w:val="705C25F4"/>
    <w:rsid w:val="70610294"/>
    <w:rsid w:val="70794AE3"/>
    <w:rsid w:val="707971AC"/>
    <w:rsid w:val="708B7C15"/>
    <w:rsid w:val="709F3CB3"/>
    <w:rsid w:val="70B12E32"/>
    <w:rsid w:val="70B17B9B"/>
    <w:rsid w:val="70B745E3"/>
    <w:rsid w:val="70B87C65"/>
    <w:rsid w:val="70C02705"/>
    <w:rsid w:val="70E72BEB"/>
    <w:rsid w:val="70FA36CE"/>
    <w:rsid w:val="710B55F7"/>
    <w:rsid w:val="7117712C"/>
    <w:rsid w:val="712D5DBD"/>
    <w:rsid w:val="71333FB4"/>
    <w:rsid w:val="713825F4"/>
    <w:rsid w:val="713A1ABC"/>
    <w:rsid w:val="71437B3B"/>
    <w:rsid w:val="71484B50"/>
    <w:rsid w:val="714A7D10"/>
    <w:rsid w:val="71582286"/>
    <w:rsid w:val="715C16FC"/>
    <w:rsid w:val="716770E4"/>
    <w:rsid w:val="71871BB4"/>
    <w:rsid w:val="71915E92"/>
    <w:rsid w:val="71A05E45"/>
    <w:rsid w:val="71A80C69"/>
    <w:rsid w:val="71B30864"/>
    <w:rsid w:val="71B84FBD"/>
    <w:rsid w:val="71D77455"/>
    <w:rsid w:val="71DB19BE"/>
    <w:rsid w:val="71DE08B1"/>
    <w:rsid w:val="71E2610C"/>
    <w:rsid w:val="71FB3CC6"/>
    <w:rsid w:val="71FF0C47"/>
    <w:rsid w:val="72073A82"/>
    <w:rsid w:val="720B120F"/>
    <w:rsid w:val="720D7DF7"/>
    <w:rsid w:val="72122609"/>
    <w:rsid w:val="721541BE"/>
    <w:rsid w:val="72157F31"/>
    <w:rsid w:val="72313860"/>
    <w:rsid w:val="72347352"/>
    <w:rsid w:val="72363F80"/>
    <w:rsid w:val="7237360C"/>
    <w:rsid w:val="7256557B"/>
    <w:rsid w:val="7258323B"/>
    <w:rsid w:val="725910DB"/>
    <w:rsid w:val="727E7EC9"/>
    <w:rsid w:val="7292288F"/>
    <w:rsid w:val="72945BDA"/>
    <w:rsid w:val="729501A1"/>
    <w:rsid w:val="72A17DB8"/>
    <w:rsid w:val="72B16086"/>
    <w:rsid w:val="72BD5F16"/>
    <w:rsid w:val="72BE0F58"/>
    <w:rsid w:val="72C37010"/>
    <w:rsid w:val="72C809F7"/>
    <w:rsid w:val="72C94F58"/>
    <w:rsid w:val="72E03EE3"/>
    <w:rsid w:val="72E23592"/>
    <w:rsid w:val="72E91F8B"/>
    <w:rsid w:val="73071100"/>
    <w:rsid w:val="730F369C"/>
    <w:rsid w:val="731C2B3A"/>
    <w:rsid w:val="732966D7"/>
    <w:rsid w:val="732C2606"/>
    <w:rsid w:val="733A72FC"/>
    <w:rsid w:val="73417EB0"/>
    <w:rsid w:val="73475BA7"/>
    <w:rsid w:val="735617D9"/>
    <w:rsid w:val="7371093A"/>
    <w:rsid w:val="737F1BAB"/>
    <w:rsid w:val="73A056E3"/>
    <w:rsid w:val="73A62BBC"/>
    <w:rsid w:val="73A7180B"/>
    <w:rsid w:val="73BA2367"/>
    <w:rsid w:val="73BB5D69"/>
    <w:rsid w:val="73C31078"/>
    <w:rsid w:val="73E254C2"/>
    <w:rsid w:val="73FA576E"/>
    <w:rsid w:val="74073B95"/>
    <w:rsid w:val="74084DCC"/>
    <w:rsid w:val="742A559B"/>
    <w:rsid w:val="742F0D8F"/>
    <w:rsid w:val="743A0A42"/>
    <w:rsid w:val="743A100D"/>
    <w:rsid w:val="74512AB7"/>
    <w:rsid w:val="745A09F8"/>
    <w:rsid w:val="74643AEC"/>
    <w:rsid w:val="74665929"/>
    <w:rsid w:val="747079DC"/>
    <w:rsid w:val="74800688"/>
    <w:rsid w:val="74851217"/>
    <w:rsid w:val="748B0229"/>
    <w:rsid w:val="7496728D"/>
    <w:rsid w:val="749F1296"/>
    <w:rsid w:val="74A57F54"/>
    <w:rsid w:val="74B041A6"/>
    <w:rsid w:val="74B535BC"/>
    <w:rsid w:val="74B67C01"/>
    <w:rsid w:val="74E546CD"/>
    <w:rsid w:val="750055F3"/>
    <w:rsid w:val="75072AC1"/>
    <w:rsid w:val="7507768A"/>
    <w:rsid w:val="750B1B91"/>
    <w:rsid w:val="75430630"/>
    <w:rsid w:val="755B07C0"/>
    <w:rsid w:val="755C0EC2"/>
    <w:rsid w:val="756337DE"/>
    <w:rsid w:val="757070D4"/>
    <w:rsid w:val="757B3F29"/>
    <w:rsid w:val="75844D3B"/>
    <w:rsid w:val="75877EBC"/>
    <w:rsid w:val="759246F1"/>
    <w:rsid w:val="75A86C7E"/>
    <w:rsid w:val="75B82EFB"/>
    <w:rsid w:val="75BB3058"/>
    <w:rsid w:val="75C06CB1"/>
    <w:rsid w:val="75CD2CC2"/>
    <w:rsid w:val="75D306FD"/>
    <w:rsid w:val="75D34D61"/>
    <w:rsid w:val="75EB7A18"/>
    <w:rsid w:val="76017CC1"/>
    <w:rsid w:val="76096FF8"/>
    <w:rsid w:val="761F46D7"/>
    <w:rsid w:val="76206C56"/>
    <w:rsid w:val="763426DF"/>
    <w:rsid w:val="76436309"/>
    <w:rsid w:val="766159A1"/>
    <w:rsid w:val="76624244"/>
    <w:rsid w:val="766A6F55"/>
    <w:rsid w:val="767E4AAE"/>
    <w:rsid w:val="768E3667"/>
    <w:rsid w:val="76930403"/>
    <w:rsid w:val="769C2E48"/>
    <w:rsid w:val="76A57686"/>
    <w:rsid w:val="76A907F1"/>
    <w:rsid w:val="76AA25F2"/>
    <w:rsid w:val="76C46D31"/>
    <w:rsid w:val="770007D4"/>
    <w:rsid w:val="7710096F"/>
    <w:rsid w:val="771842CE"/>
    <w:rsid w:val="77350F10"/>
    <w:rsid w:val="7735694B"/>
    <w:rsid w:val="775A2566"/>
    <w:rsid w:val="776833E4"/>
    <w:rsid w:val="777E18C5"/>
    <w:rsid w:val="778946AD"/>
    <w:rsid w:val="778C7D38"/>
    <w:rsid w:val="779073B8"/>
    <w:rsid w:val="77995CC7"/>
    <w:rsid w:val="77A50A59"/>
    <w:rsid w:val="77B37656"/>
    <w:rsid w:val="77B42172"/>
    <w:rsid w:val="77B75398"/>
    <w:rsid w:val="77C86761"/>
    <w:rsid w:val="77CE7534"/>
    <w:rsid w:val="77DA0596"/>
    <w:rsid w:val="77E158ED"/>
    <w:rsid w:val="77F45CDE"/>
    <w:rsid w:val="78053B81"/>
    <w:rsid w:val="78140293"/>
    <w:rsid w:val="78193C33"/>
    <w:rsid w:val="78257F22"/>
    <w:rsid w:val="783D33D2"/>
    <w:rsid w:val="78415860"/>
    <w:rsid w:val="78492BCD"/>
    <w:rsid w:val="784A35EA"/>
    <w:rsid w:val="784D47E1"/>
    <w:rsid w:val="785009B5"/>
    <w:rsid w:val="7851027E"/>
    <w:rsid w:val="78511E08"/>
    <w:rsid w:val="789B3027"/>
    <w:rsid w:val="78A4309B"/>
    <w:rsid w:val="78A74E57"/>
    <w:rsid w:val="78B25EB6"/>
    <w:rsid w:val="78B93827"/>
    <w:rsid w:val="78C310AD"/>
    <w:rsid w:val="78C548C7"/>
    <w:rsid w:val="78F81BE7"/>
    <w:rsid w:val="79043EA6"/>
    <w:rsid w:val="79070A5E"/>
    <w:rsid w:val="791B2FB7"/>
    <w:rsid w:val="791D0551"/>
    <w:rsid w:val="791E75E9"/>
    <w:rsid w:val="79223ACD"/>
    <w:rsid w:val="79344BF6"/>
    <w:rsid w:val="793A17B0"/>
    <w:rsid w:val="7940677A"/>
    <w:rsid w:val="79435218"/>
    <w:rsid w:val="79533344"/>
    <w:rsid w:val="795C7E97"/>
    <w:rsid w:val="79663F69"/>
    <w:rsid w:val="797702AE"/>
    <w:rsid w:val="797F0307"/>
    <w:rsid w:val="79815EB8"/>
    <w:rsid w:val="79A13526"/>
    <w:rsid w:val="79B32289"/>
    <w:rsid w:val="79BA70DE"/>
    <w:rsid w:val="79C8096B"/>
    <w:rsid w:val="79DC00DC"/>
    <w:rsid w:val="79E03052"/>
    <w:rsid w:val="79E640D2"/>
    <w:rsid w:val="79F714CF"/>
    <w:rsid w:val="7A1C2509"/>
    <w:rsid w:val="7A5D70ED"/>
    <w:rsid w:val="7A651DF0"/>
    <w:rsid w:val="7A6A111E"/>
    <w:rsid w:val="7A764B7A"/>
    <w:rsid w:val="7A7C0E99"/>
    <w:rsid w:val="7A832F88"/>
    <w:rsid w:val="7AAE6AEF"/>
    <w:rsid w:val="7AB32B19"/>
    <w:rsid w:val="7AB36054"/>
    <w:rsid w:val="7AC51833"/>
    <w:rsid w:val="7ADB19CB"/>
    <w:rsid w:val="7AF02DFF"/>
    <w:rsid w:val="7AF76609"/>
    <w:rsid w:val="7B117D28"/>
    <w:rsid w:val="7B1B01B3"/>
    <w:rsid w:val="7B2F16E9"/>
    <w:rsid w:val="7B317B51"/>
    <w:rsid w:val="7B3D7CEE"/>
    <w:rsid w:val="7B424F78"/>
    <w:rsid w:val="7B472CB5"/>
    <w:rsid w:val="7B4D6396"/>
    <w:rsid w:val="7B6347B9"/>
    <w:rsid w:val="7B642FDB"/>
    <w:rsid w:val="7B797B44"/>
    <w:rsid w:val="7B887194"/>
    <w:rsid w:val="7BB76B2D"/>
    <w:rsid w:val="7BBF3ABD"/>
    <w:rsid w:val="7BD128A9"/>
    <w:rsid w:val="7BEF62A7"/>
    <w:rsid w:val="7BEF7189"/>
    <w:rsid w:val="7BF41E47"/>
    <w:rsid w:val="7C0E12DB"/>
    <w:rsid w:val="7C1C7E1C"/>
    <w:rsid w:val="7C39191A"/>
    <w:rsid w:val="7C3C2310"/>
    <w:rsid w:val="7C4120E6"/>
    <w:rsid w:val="7C5F163E"/>
    <w:rsid w:val="7C6C4159"/>
    <w:rsid w:val="7C943EF2"/>
    <w:rsid w:val="7C97028C"/>
    <w:rsid w:val="7CA76B36"/>
    <w:rsid w:val="7CA87296"/>
    <w:rsid w:val="7CB04A7F"/>
    <w:rsid w:val="7CB50FC2"/>
    <w:rsid w:val="7CB52A70"/>
    <w:rsid w:val="7CC40201"/>
    <w:rsid w:val="7CDD2176"/>
    <w:rsid w:val="7CE57A01"/>
    <w:rsid w:val="7CFC5CEF"/>
    <w:rsid w:val="7D0A2BC0"/>
    <w:rsid w:val="7D263D30"/>
    <w:rsid w:val="7D28311A"/>
    <w:rsid w:val="7D2B7700"/>
    <w:rsid w:val="7D5A14C0"/>
    <w:rsid w:val="7D5B42C2"/>
    <w:rsid w:val="7D617575"/>
    <w:rsid w:val="7D627901"/>
    <w:rsid w:val="7D67423D"/>
    <w:rsid w:val="7D6B6C34"/>
    <w:rsid w:val="7D6E68D0"/>
    <w:rsid w:val="7D765EFC"/>
    <w:rsid w:val="7D9526DF"/>
    <w:rsid w:val="7DA22B4F"/>
    <w:rsid w:val="7DA95783"/>
    <w:rsid w:val="7DB51BBE"/>
    <w:rsid w:val="7DBE52F3"/>
    <w:rsid w:val="7DE657C3"/>
    <w:rsid w:val="7DEF2E41"/>
    <w:rsid w:val="7E0C0901"/>
    <w:rsid w:val="7E17093E"/>
    <w:rsid w:val="7E172016"/>
    <w:rsid w:val="7E1978F8"/>
    <w:rsid w:val="7E216263"/>
    <w:rsid w:val="7E5C56F2"/>
    <w:rsid w:val="7E6D6881"/>
    <w:rsid w:val="7E712509"/>
    <w:rsid w:val="7E7F1AD5"/>
    <w:rsid w:val="7E857541"/>
    <w:rsid w:val="7E867082"/>
    <w:rsid w:val="7E9758F5"/>
    <w:rsid w:val="7EA55E0A"/>
    <w:rsid w:val="7EAD6764"/>
    <w:rsid w:val="7EB540AB"/>
    <w:rsid w:val="7EBD5C62"/>
    <w:rsid w:val="7EC16AFC"/>
    <w:rsid w:val="7EC26EB8"/>
    <w:rsid w:val="7ECD48AC"/>
    <w:rsid w:val="7ED84318"/>
    <w:rsid w:val="7ED9365A"/>
    <w:rsid w:val="7EE65003"/>
    <w:rsid w:val="7EEA2641"/>
    <w:rsid w:val="7EF74E0E"/>
    <w:rsid w:val="7F2332D4"/>
    <w:rsid w:val="7F295AE1"/>
    <w:rsid w:val="7F3333B5"/>
    <w:rsid w:val="7F3F7DD2"/>
    <w:rsid w:val="7F3F7F44"/>
    <w:rsid w:val="7F594E4D"/>
    <w:rsid w:val="7F8C6271"/>
    <w:rsid w:val="7F917679"/>
    <w:rsid w:val="7FA20F8A"/>
    <w:rsid w:val="7FB06B04"/>
    <w:rsid w:val="7FB40336"/>
    <w:rsid w:val="7FB808E2"/>
    <w:rsid w:val="7FC35682"/>
    <w:rsid w:val="7FCB177F"/>
    <w:rsid w:val="7FCE0FD0"/>
    <w:rsid w:val="7FCF4C1D"/>
    <w:rsid w:val="7FD23334"/>
    <w:rsid w:val="7FD91C23"/>
    <w:rsid w:val="7FE5243B"/>
    <w:rsid w:val="7FE92A66"/>
    <w:rsid w:val="7FF1734C"/>
    <w:rsid w:val="7FFB6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jc w:val="center"/>
    </w:pPr>
    <w:rPr>
      <w:rFonts w:ascii="Times New Roman" w:hAnsi="Times New Roman" w:eastAsiaTheme="minorEastAsia" w:cstheme="minorBidi"/>
      <w:kern w:val="2"/>
      <w:sz w:val="21"/>
      <w:szCs w:val="21"/>
      <w:lang w:val="en-US" w:eastAsia="zh-CN" w:bidi="ar-SA"/>
    </w:rPr>
  </w:style>
  <w:style w:type="paragraph" w:styleId="3">
    <w:name w:val="heading 1"/>
    <w:basedOn w:val="1"/>
    <w:next w:val="1"/>
    <w:autoRedefine/>
    <w:qFormat/>
    <w:uiPriority w:val="0"/>
    <w:pPr>
      <w:keepNext/>
      <w:keepLines/>
      <w:pageBreakBefore/>
      <w:spacing w:before="156" w:beforeLines="50" w:after="156" w:afterLines="50" w:line="600" w:lineRule="exact"/>
      <w:outlineLvl w:val="0"/>
    </w:pPr>
    <w:rPr>
      <w:rFonts w:ascii="黑体" w:hAnsi="Calibri" w:eastAsia="黑体"/>
      <w:bCs/>
      <w:kern w:val="44"/>
      <w:sz w:val="32"/>
      <w:szCs w:val="44"/>
    </w:rPr>
  </w:style>
  <w:style w:type="paragraph" w:styleId="4">
    <w:name w:val="heading 2"/>
    <w:basedOn w:val="1"/>
    <w:next w:val="1"/>
    <w:autoRedefine/>
    <w:unhideWhenUsed/>
    <w:qFormat/>
    <w:uiPriority w:val="9"/>
    <w:pPr>
      <w:keepNext/>
      <w:keepLines/>
      <w:spacing w:before="60" w:after="60"/>
      <w:outlineLvl w:val="1"/>
    </w:pPr>
    <w:rPr>
      <w:rFonts w:asciiTheme="majorHAnsi" w:hAnsiTheme="majorHAnsi" w:eastAsiaTheme="majorEastAsia"/>
      <w:b/>
      <w:bCs/>
      <w:sz w:val="28"/>
      <w:szCs w:val="32"/>
    </w:rPr>
  </w:style>
  <w:style w:type="character" w:default="1" w:styleId="15">
    <w:name w:val="Default Paragraph Font"/>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w:basedOn w:val="1"/>
    <w:autoRedefine/>
    <w:qFormat/>
    <w:uiPriority w:val="0"/>
    <w:pPr>
      <w:spacing w:after="120"/>
    </w:pPr>
    <w:rPr>
      <w:rFonts w:ascii="Calibri" w:hAnsi="Calibri"/>
      <w:szCs w:val="20"/>
    </w:rPr>
  </w:style>
  <w:style w:type="paragraph" w:styleId="6">
    <w:name w:val="Plain Text"/>
    <w:basedOn w:val="1"/>
    <w:autoRedefine/>
    <w:unhideWhenUsed/>
    <w:qFormat/>
    <w:uiPriority w:val="0"/>
    <w:rPr>
      <w:rFonts w:ascii="宋体" w:hAnsi="Courier New"/>
    </w:rPr>
  </w:style>
  <w:style w:type="paragraph" w:styleId="7">
    <w:name w:val="Balloon Text"/>
    <w:basedOn w:val="1"/>
    <w:link w:val="44"/>
    <w:uiPriority w:val="0"/>
    <w:rPr>
      <w:sz w:val="18"/>
      <w:szCs w:val="18"/>
    </w:rPr>
  </w:style>
  <w:style w:type="paragraph" w:styleId="8">
    <w:name w:val="footer"/>
    <w:basedOn w:val="1"/>
    <w:autoRedefine/>
    <w:qFormat/>
    <w:uiPriority w:val="0"/>
    <w:pPr>
      <w:tabs>
        <w:tab w:val="center" w:pos="4153"/>
        <w:tab w:val="right" w:pos="8306"/>
      </w:tabs>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toc 1"/>
    <w:basedOn w:val="1"/>
    <w:next w:val="1"/>
    <w:autoRedefine/>
    <w:qFormat/>
    <w:uiPriority w:val="39"/>
    <w:pPr>
      <w:spacing w:line="360" w:lineRule="auto"/>
      <w:jc w:val="left"/>
    </w:pPr>
    <w:rPr>
      <w:rFonts w:eastAsia="宋体" w:cs="Times New Roman"/>
      <w:snapToGrid w:val="0"/>
      <w:kern w:val="0"/>
      <w:sz w:val="28"/>
      <w:szCs w:val="28"/>
    </w:rPr>
  </w:style>
  <w:style w:type="paragraph" w:styleId="11">
    <w:name w:val="toc 2"/>
    <w:basedOn w:val="1"/>
    <w:next w:val="1"/>
    <w:autoRedefine/>
    <w:qFormat/>
    <w:uiPriority w:val="39"/>
    <w:pPr>
      <w:spacing w:line="360" w:lineRule="auto"/>
      <w:ind w:left="100" w:leftChars="100"/>
      <w:jc w:val="left"/>
    </w:pPr>
    <w:rPr>
      <w:rFonts w:eastAsia="宋体" w:cs="Times New Roman"/>
      <w:snapToGrid w:val="0"/>
      <w:kern w:val="0"/>
      <w:sz w:val="24"/>
      <w:szCs w:val="24"/>
    </w:rPr>
  </w:style>
  <w:style w:type="paragraph" w:styleId="12">
    <w:name w:val="Body Text 2"/>
    <w:basedOn w:val="1"/>
    <w:autoRedefine/>
    <w:qFormat/>
    <w:uiPriority w:val="0"/>
    <w:pPr>
      <w:spacing w:after="120" w:line="480" w:lineRule="auto"/>
    </w:pPr>
    <w:rPr>
      <w:sz w:val="20"/>
      <w:szCs w:val="20"/>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_正文格式"/>
    <w:basedOn w:val="1"/>
    <w:autoRedefine/>
    <w:qFormat/>
    <w:uiPriority w:val="0"/>
    <w:pPr>
      <w:spacing w:line="560" w:lineRule="exact"/>
      <w:ind w:firstLine="200" w:firstLineChars="200"/>
    </w:pPr>
    <w:rPr>
      <w:rFonts w:eastAsia="仿宋_GB2312"/>
      <w:sz w:val="28"/>
    </w:rPr>
  </w:style>
  <w:style w:type="paragraph" w:customStyle="1" w:styleId="17">
    <w:name w:val="标题A"/>
    <w:basedOn w:val="1"/>
    <w:autoRedefine/>
    <w:qFormat/>
    <w:uiPriority w:val="0"/>
    <w:pPr>
      <w:spacing w:line="360" w:lineRule="auto"/>
      <w:ind w:firstLine="200" w:firstLineChars="200"/>
      <w:jc w:val="both"/>
    </w:pPr>
    <w:rPr>
      <w:rFonts w:eastAsia="宋体" w:cs="Times New Roman"/>
      <w:snapToGrid w:val="0"/>
      <w:kern w:val="0"/>
      <w:sz w:val="24"/>
      <w:szCs w:val="24"/>
    </w:rPr>
  </w:style>
  <w:style w:type="paragraph" w:customStyle="1" w:styleId="18">
    <w:name w:val="ParaAttribute40"/>
    <w:autoRedefine/>
    <w:qFormat/>
    <w:uiPriority w:val="0"/>
    <w:pPr>
      <w:widowControl w:val="0"/>
      <w:wordWrap w:val="0"/>
      <w:spacing w:line="260" w:lineRule="exact"/>
    </w:pPr>
    <w:rPr>
      <w:rFonts w:ascii="Times New Roman" w:hAnsi="Times New Roman" w:eastAsia="宋体" w:cs="Times New Roman"/>
      <w:lang w:val="en-US" w:eastAsia="zh-CN" w:bidi="ar-SA"/>
    </w:rPr>
  </w:style>
  <w:style w:type="character" w:customStyle="1" w:styleId="19">
    <w:name w:val="CharAttribute12"/>
    <w:autoRedefine/>
    <w:qFormat/>
    <w:uiPriority w:val="0"/>
    <w:rPr>
      <w:rFonts w:ascii="??¨¬?" w:hAnsi="??¨¬?" w:eastAsia="??¨¬?"/>
      <w:sz w:val="24"/>
    </w:rPr>
  </w:style>
  <w:style w:type="character" w:customStyle="1" w:styleId="20">
    <w:name w:val="CharAttribute21"/>
    <w:autoRedefine/>
    <w:qFormat/>
    <w:uiPriority w:val="0"/>
    <w:rPr>
      <w:rFonts w:ascii="??¨¬?" w:hAnsi="??¨¬?" w:eastAsia="??¨¬?"/>
      <w:sz w:val="12"/>
    </w:rPr>
  </w:style>
  <w:style w:type="paragraph" w:customStyle="1" w:styleId="21">
    <w:name w:val="ParaAttribute47"/>
    <w:autoRedefine/>
    <w:qFormat/>
    <w:uiPriority w:val="0"/>
    <w:pPr>
      <w:widowControl w:val="0"/>
      <w:wordWrap w:val="0"/>
      <w:spacing w:line="206" w:lineRule="exact"/>
    </w:pPr>
    <w:rPr>
      <w:rFonts w:ascii="Times New Roman" w:hAnsi="Times New Roman" w:eastAsia="宋体" w:cs="Times New Roman"/>
      <w:lang w:val="en-US" w:eastAsia="zh-CN" w:bidi="ar-SA"/>
    </w:rPr>
  </w:style>
  <w:style w:type="paragraph" w:customStyle="1" w:styleId="22">
    <w:name w:val="ParaAttribute59"/>
    <w:autoRedefine/>
    <w:qFormat/>
    <w:uiPriority w:val="0"/>
    <w:pPr>
      <w:widowControl w:val="0"/>
      <w:wordWrap w:val="0"/>
      <w:spacing w:line="259" w:lineRule="exact"/>
    </w:pPr>
    <w:rPr>
      <w:rFonts w:ascii="Times New Roman" w:hAnsi="Times New Roman" w:eastAsia="宋体" w:cs="Times New Roman"/>
      <w:lang w:val="en-US" w:eastAsia="zh-CN" w:bidi="ar-SA"/>
    </w:rPr>
  </w:style>
  <w:style w:type="character" w:customStyle="1" w:styleId="23">
    <w:name w:val="CharAttribute0"/>
    <w:autoRedefine/>
    <w:qFormat/>
    <w:uiPriority w:val="0"/>
    <w:rPr>
      <w:rFonts w:ascii="Arial" w:hAnsi="Arial" w:eastAsia="Arial"/>
      <w:sz w:val="19"/>
    </w:rPr>
  </w:style>
  <w:style w:type="paragraph" w:customStyle="1" w:styleId="24">
    <w:name w:val="WPSOffice手动目录 1"/>
    <w:autoRedefine/>
    <w:qFormat/>
    <w:uiPriority w:val="0"/>
    <w:rPr>
      <w:rFonts w:ascii="Times New Roman" w:hAnsi="Times New Roman" w:eastAsia="宋体" w:cs="Times New Roman"/>
      <w:lang w:val="en-US" w:eastAsia="zh-CN" w:bidi="ar-SA"/>
    </w:rPr>
  </w:style>
  <w:style w:type="paragraph" w:customStyle="1" w:styleId="2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26">
    <w:name w:val="font41"/>
    <w:basedOn w:val="15"/>
    <w:autoRedefine/>
    <w:qFormat/>
    <w:uiPriority w:val="0"/>
    <w:rPr>
      <w:rFonts w:hint="eastAsia" w:ascii="宋体" w:hAnsi="宋体" w:eastAsia="宋体" w:cs="宋体"/>
      <w:color w:val="000000"/>
      <w:sz w:val="21"/>
      <w:szCs w:val="21"/>
      <w:u w:val="none"/>
    </w:rPr>
  </w:style>
  <w:style w:type="character" w:customStyle="1" w:styleId="27">
    <w:name w:val="font71"/>
    <w:basedOn w:val="15"/>
    <w:autoRedefine/>
    <w:qFormat/>
    <w:uiPriority w:val="0"/>
    <w:rPr>
      <w:rFonts w:hint="eastAsia" w:ascii="Times New Roman" w:hAnsi="Times New Roman" w:cs="Times New Roman"/>
      <w:color w:val="000000"/>
      <w:sz w:val="21"/>
      <w:szCs w:val="21"/>
      <w:u w:val="none"/>
    </w:rPr>
  </w:style>
  <w:style w:type="character" w:customStyle="1" w:styleId="28">
    <w:name w:val="表头 Char Char"/>
    <w:link w:val="29"/>
    <w:autoRedefine/>
    <w:qFormat/>
    <w:uiPriority w:val="0"/>
    <w:rPr>
      <w:rFonts w:ascii="黑体" w:eastAsia="黑体"/>
      <w:kern w:val="0"/>
      <w:sz w:val="24"/>
    </w:rPr>
  </w:style>
  <w:style w:type="paragraph" w:customStyle="1" w:styleId="29">
    <w:name w:val="表头"/>
    <w:basedOn w:val="1"/>
    <w:link w:val="28"/>
    <w:autoRedefine/>
    <w:qFormat/>
    <w:uiPriority w:val="0"/>
    <w:pPr>
      <w:spacing w:line="360" w:lineRule="auto"/>
    </w:pPr>
    <w:rPr>
      <w:rFonts w:ascii="黑体" w:eastAsia="黑体"/>
      <w:kern w:val="0"/>
      <w:sz w:val="24"/>
    </w:rPr>
  </w:style>
  <w:style w:type="paragraph" w:customStyle="1" w:styleId="30">
    <w:name w:val="p0"/>
    <w:basedOn w:val="1"/>
    <w:autoRedefine/>
    <w:qFormat/>
    <w:uiPriority w:val="0"/>
    <w:rPr>
      <w:kern w:val="0"/>
    </w:rPr>
  </w:style>
  <w:style w:type="character" w:customStyle="1" w:styleId="31">
    <w:name w:val="font21"/>
    <w:basedOn w:val="15"/>
    <w:autoRedefine/>
    <w:qFormat/>
    <w:uiPriority w:val="0"/>
    <w:rPr>
      <w:rFonts w:hint="eastAsia" w:ascii="宋体" w:hAnsi="宋体" w:eastAsia="宋体" w:cs="宋体"/>
      <w:color w:val="000000"/>
      <w:sz w:val="21"/>
      <w:szCs w:val="21"/>
      <w:u w:val="none"/>
    </w:rPr>
  </w:style>
  <w:style w:type="character" w:customStyle="1" w:styleId="32">
    <w:name w:val="font11"/>
    <w:basedOn w:val="15"/>
    <w:autoRedefine/>
    <w:qFormat/>
    <w:uiPriority w:val="0"/>
    <w:rPr>
      <w:rFonts w:hint="default" w:ascii="Times New Roman" w:hAnsi="Times New Roman" w:cs="Times New Roman"/>
      <w:color w:val="000000"/>
      <w:sz w:val="21"/>
      <w:szCs w:val="21"/>
      <w:u w:val="none"/>
    </w:rPr>
  </w:style>
  <w:style w:type="character" w:customStyle="1" w:styleId="33">
    <w:name w:val="font01"/>
    <w:basedOn w:val="15"/>
    <w:autoRedefine/>
    <w:qFormat/>
    <w:uiPriority w:val="0"/>
    <w:rPr>
      <w:rFonts w:hint="default" w:ascii="Times New Roman" w:hAnsi="Times New Roman" w:cs="Times New Roman"/>
      <w:color w:val="000000"/>
      <w:sz w:val="21"/>
      <w:szCs w:val="21"/>
      <w:u w:val="none"/>
      <w:vertAlign w:val="superscript"/>
    </w:rPr>
  </w:style>
  <w:style w:type="character" w:customStyle="1" w:styleId="34">
    <w:name w:val="font31"/>
    <w:basedOn w:val="15"/>
    <w:autoRedefine/>
    <w:qFormat/>
    <w:uiPriority w:val="0"/>
    <w:rPr>
      <w:rFonts w:hint="default" w:ascii="Times New Roman" w:hAnsi="Times New Roman" w:cs="Times New Roman"/>
      <w:color w:val="000000"/>
      <w:sz w:val="21"/>
      <w:szCs w:val="21"/>
      <w:u w:val="none"/>
    </w:rPr>
  </w:style>
  <w:style w:type="character" w:customStyle="1" w:styleId="35">
    <w:name w:val="CharAttribute10"/>
    <w:autoRedefine/>
    <w:qFormat/>
    <w:uiPriority w:val="0"/>
    <w:rPr>
      <w:rFonts w:ascii="宋体" w:hAnsi="宋体" w:eastAsia="宋体"/>
      <w:sz w:val="24"/>
    </w:rPr>
  </w:style>
  <w:style w:type="character" w:customStyle="1" w:styleId="36">
    <w:name w:val="CharAttribute14"/>
    <w:autoRedefine/>
    <w:qFormat/>
    <w:uiPriority w:val="0"/>
    <w:rPr>
      <w:rFonts w:ascii="Times New Roman" w:hAnsi="Times New Roman" w:eastAsia="Times New Roman"/>
      <w:b/>
      <w:sz w:val="24"/>
    </w:rPr>
  </w:style>
  <w:style w:type="character" w:customStyle="1" w:styleId="37">
    <w:name w:val="CharAttribute18"/>
    <w:autoRedefine/>
    <w:qFormat/>
    <w:uiPriority w:val="0"/>
    <w:rPr>
      <w:rFonts w:ascii="宋体" w:hAnsi="宋体" w:eastAsia="宋体"/>
      <w:b/>
      <w:sz w:val="24"/>
    </w:rPr>
  </w:style>
  <w:style w:type="character" w:customStyle="1" w:styleId="38">
    <w:name w:val="CharAttribute19"/>
    <w:autoRedefine/>
    <w:qFormat/>
    <w:uiPriority w:val="0"/>
    <w:rPr>
      <w:rFonts w:ascii="宋体" w:hAnsi="宋体" w:eastAsia="宋体"/>
      <w:sz w:val="20"/>
    </w:rPr>
  </w:style>
  <w:style w:type="paragraph" w:customStyle="1" w:styleId="39">
    <w:name w:val="！正文ａｌｔ＋5"/>
    <w:basedOn w:val="1"/>
    <w:autoRedefine/>
    <w:qFormat/>
    <w:uiPriority w:val="0"/>
    <w:pPr>
      <w:widowControl w:val="0"/>
      <w:spacing w:line="560" w:lineRule="exact"/>
      <w:ind w:firstLine="560" w:firstLineChars="200"/>
    </w:pPr>
    <w:rPr>
      <w:rFonts w:ascii="仿宋_GB2312" w:eastAsia="仿宋_GB2312"/>
      <w:sz w:val="28"/>
      <w:szCs w:val="28"/>
    </w:rPr>
  </w:style>
  <w:style w:type="character" w:customStyle="1" w:styleId="40">
    <w:name w:val="CharAttribute11"/>
    <w:autoRedefine/>
    <w:qFormat/>
    <w:uiPriority w:val="0"/>
    <w:rPr>
      <w:rFonts w:ascii="仿宋_GB2312" w:hAnsi="仿宋_GB2312" w:eastAsia="仿宋_GB2312"/>
      <w:sz w:val="28"/>
    </w:rPr>
  </w:style>
  <w:style w:type="paragraph" w:customStyle="1" w:styleId="41">
    <w:name w:val="CM16"/>
    <w:basedOn w:val="2"/>
    <w:next w:val="2"/>
    <w:autoRedefine/>
    <w:qFormat/>
    <w:uiPriority w:val="99"/>
    <w:rPr>
      <w:rFonts w:cs="Times New Roman"/>
      <w:color w:val="auto"/>
    </w:rPr>
  </w:style>
  <w:style w:type="paragraph" w:customStyle="1" w:styleId="42">
    <w:name w:val="表名"/>
    <w:autoRedefine/>
    <w:qFormat/>
    <w:uiPriority w:val="0"/>
    <w:pPr>
      <w:widowControl w:val="0"/>
      <w:wordWrap w:val="0"/>
      <w:spacing w:before="50" w:beforeLines="50" w:line="360" w:lineRule="auto"/>
      <w:jc w:val="center"/>
    </w:pPr>
    <w:rPr>
      <w:rFonts w:ascii="宋体" w:hAnsi="Times New Roman" w:eastAsia="宋体" w:cs="Times New Roman"/>
      <w:b/>
      <w:sz w:val="21"/>
      <w:lang w:val="en-US" w:eastAsia="zh-CN" w:bidi="ar-SA"/>
    </w:rPr>
  </w:style>
  <w:style w:type="paragraph" w:customStyle="1" w:styleId="43">
    <w:name w:val="正文加粗"/>
    <w:basedOn w:val="1"/>
    <w:autoRedefine/>
    <w:qFormat/>
    <w:uiPriority w:val="0"/>
    <w:pPr>
      <w:adjustRightInd/>
      <w:snapToGrid/>
      <w:jc w:val="both"/>
    </w:pPr>
    <w:rPr>
      <w:rFonts w:ascii="宋体" w:hAnsi="宋体" w:eastAsia="宋体" w:cs="宋体"/>
      <w:b/>
      <w:szCs w:val="26"/>
      <w:lang w:val="zh-TW" w:eastAsia="zh-TW" w:bidi="zh-TW"/>
    </w:rPr>
  </w:style>
  <w:style w:type="character" w:customStyle="1" w:styleId="44">
    <w:name w:val="批注框文本 Char"/>
    <w:basedOn w:val="15"/>
    <w:link w:val="7"/>
    <w:qFormat/>
    <w:uiPriority w:val="0"/>
    <w:rPr>
      <w:rFonts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6154</Words>
  <Characters>7010</Characters>
  <Lines>77</Lines>
  <Paragraphs>21</Paragraphs>
  <TotalTime>65</TotalTime>
  <ScaleCrop>false</ScaleCrop>
  <LinksUpToDate>false</LinksUpToDate>
  <CharactersWithSpaces>7075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2020-03-30T08:59:00Z</dcterms:created>
  <dc:creator>Administrator</dc:creator>
  <cp:lastModifiedBy>13947617819</cp:lastModifiedBy>
  <dcterms:modified xsi:type="dcterms:W3CDTF">2025-08-01T01:05:40Z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D9EC66D3A47F4C3B82AB14C70102AA9C</vt:lpwstr>
  </property>
  <property fmtid="{D5CDD505-2E9C-101B-9397-08002B2CF9AE}" pid="4" name="KSOTemplateDocerSaveRecord">
    <vt:lpwstr>eyJoZGlkIjoiZGUyYWM5YTE4ZmFhNzRkYjUyNjczNWMwYjRhMDQyYmEiLCJ1c2VySWQiOiIzMTc5NDEwNjgifQ==</vt:lpwstr>
  </property>
</Properties>
</file>