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E04F0">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黑体" w:cs="Times New Roman"/>
          <w:color w:val="auto"/>
          <w:sz w:val="44"/>
        </w:rPr>
      </w:pPr>
      <w:bookmarkStart w:id="93" w:name="_GoBack"/>
      <w:bookmarkEnd w:id="93"/>
    </w:p>
    <w:p w14:paraId="39D490D3">
      <w:pPr>
        <w:spacing w:line="700" w:lineRule="exact"/>
        <w:ind w:firstLine="0" w:firstLineChars="0"/>
        <w:jc w:val="center"/>
        <w:rPr>
          <w:rFonts w:hint="default" w:ascii="Times New Roman" w:hAnsi="Times New Roman" w:eastAsia="黑体" w:cs="Times New Roman"/>
          <w:color w:val="auto"/>
        </w:rPr>
      </w:pPr>
    </w:p>
    <w:p w14:paraId="3988D622">
      <w:pPr>
        <w:keepNext w:val="0"/>
        <w:keepLines w:val="0"/>
        <w:pageBreakBefore w:val="0"/>
        <w:widowControl/>
        <w:kinsoku/>
        <w:wordWrap/>
        <w:overflowPunct/>
        <w:topLinePunct w:val="0"/>
        <w:autoSpaceDE/>
        <w:autoSpaceDN/>
        <w:bidi w:val="0"/>
        <w:adjustRightInd w:val="0"/>
        <w:snapToGrid w:val="0"/>
        <w:spacing w:line="360" w:lineRule="auto"/>
        <w:ind w:left="-310" w:leftChars="-129" w:right="-466" w:rightChars="-194" w:firstLine="0" w:firstLineChars="0"/>
        <w:jc w:val="center"/>
        <w:textAlignment w:val="auto"/>
        <w:rPr>
          <w:rFonts w:hint="default" w:ascii="Times New Roman" w:hAnsi="Times New Roman" w:eastAsia="宋体" w:cs="Times New Roman"/>
          <w:b/>
          <w:bCs/>
          <w:color w:val="auto"/>
          <w:spacing w:val="3"/>
          <w:sz w:val="44"/>
          <w:szCs w:val="44"/>
          <w:lang w:eastAsia="zh-CN"/>
        </w:rPr>
      </w:pPr>
      <w:r>
        <w:rPr>
          <w:rFonts w:hint="default" w:ascii="Times New Roman" w:hAnsi="Times New Roman" w:eastAsia="宋体" w:cs="Times New Roman"/>
          <w:b/>
          <w:bCs/>
          <w:color w:val="auto"/>
          <w:spacing w:val="3"/>
          <w:sz w:val="44"/>
          <w:szCs w:val="44"/>
          <w:lang w:eastAsia="zh-CN"/>
        </w:rPr>
        <w:t>赤峰矿业（集团）有限责任公司</w:t>
      </w:r>
    </w:p>
    <w:p w14:paraId="0CFD64A9">
      <w:pPr>
        <w:keepNext w:val="0"/>
        <w:keepLines w:val="0"/>
        <w:pageBreakBefore w:val="0"/>
        <w:widowControl/>
        <w:kinsoku/>
        <w:wordWrap/>
        <w:overflowPunct/>
        <w:topLinePunct w:val="0"/>
        <w:autoSpaceDE/>
        <w:autoSpaceDN/>
        <w:bidi w:val="0"/>
        <w:adjustRightInd w:val="0"/>
        <w:snapToGrid w:val="0"/>
        <w:spacing w:line="360" w:lineRule="auto"/>
        <w:ind w:left="-310" w:leftChars="-129" w:right="-466" w:rightChars="-194" w:firstLine="0" w:firstLineChars="0"/>
        <w:jc w:val="center"/>
        <w:textAlignment w:val="auto"/>
        <w:rPr>
          <w:rFonts w:hint="default" w:ascii="Times New Roman" w:hAnsi="Times New Roman" w:eastAsia="宋体" w:cs="Times New Roman"/>
          <w:b/>
          <w:bCs/>
          <w:color w:val="auto"/>
          <w:sz w:val="44"/>
          <w:szCs w:val="44"/>
        </w:rPr>
      </w:pPr>
      <w:r>
        <w:rPr>
          <w:rFonts w:hint="default" w:ascii="Times New Roman" w:hAnsi="Times New Roman" w:eastAsia="宋体" w:cs="Times New Roman"/>
          <w:b/>
          <w:bCs/>
          <w:color w:val="auto"/>
          <w:spacing w:val="3"/>
          <w:sz w:val="44"/>
          <w:szCs w:val="44"/>
          <w:lang w:eastAsia="zh-CN"/>
        </w:rPr>
        <w:t>赤峰市松山区徐家窝铺冰洲石矿</w:t>
      </w:r>
    </w:p>
    <w:p w14:paraId="1A3D18E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color w:val="auto"/>
          <w:sz w:val="44"/>
          <w:szCs w:val="44"/>
          <w:highlight w:val="yellow"/>
        </w:rPr>
      </w:pPr>
      <w:r>
        <w:rPr>
          <w:rFonts w:hint="eastAsia" w:cs="Times New Roman"/>
          <w:b/>
          <w:bCs/>
          <w:color w:val="auto"/>
          <w:sz w:val="44"/>
          <w:szCs w:val="44"/>
          <w:lang w:val="en-US" w:eastAsia="zh-CN"/>
        </w:rPr>
        <w:t>2025</w:t>
      </w:r>
      <w:r>
        <w:rPr>
          <w:rFonts w:hint="default" w:ascii="Times New Roman" w:hAnsi="Times New Roman" w:eastAsia="宋体" w:cs="Times New Roman"/>
          <w:b/>
          <w:bCs/>
          <w:color w:val="auto"/>
          <w:sz w:val="44"/>
          <w:szCs w:val="44"/>
          <w:lang w:eastAsia="zh-CN"/>
        </w:rPr>
        <w:t>年度</w:t>
      </w:r>
      <w:r>
        <w:rPr>
          <w:rFonts w:hint="default" w:ascii="Times New Roman" w:hAnsi="Times New Roman" w:eastAsia="宋体" w:cs="Times New Roman"/>
          <w:b/>
          <w:bCs/>
          <w:color w:val="auto"/>
          <w:sz w:val="44"/>
          <w:szCs w:val="44"/>
        </w:rPr>
        <w:t>矿山地质环境</w:t>
      </w:r>
      <w:r>
        <w:rPr>
          <w:rFonts w:hint="default" w:ascii="Times New Roman" w:hAnsi="Times New Roman" w:eastAsia="宋体" w:cs="Times New Roman"/>
          <w:b/>
          <w:bCs/>
          <w:color w:val="auto"/>
          <w:sz w:val="44"/>
          <w:szCs w:val="44"/>
          <w:lang w:eastAsia="zh-CN"/>
        </w:rPr>
        <w:t>治理</w:t>
      </w:r>
      <w:r>
        <w:rPr>
          <w:rFonts w:hint="default" w:ascii="Times New Roman" w:hAnsi="Times New Roman" w:eastAsia="宋体" w:cs="Times New Roman"/>
          <w:b/>
          <w:bCs/>
          <w:color w:val="auto"/>
          <w:sz w:val="44"/>
          <w:szCs w:val="44"/>
        </w:rPr>
        <w:t>计划</w:t>
      </w:r>
      <w:r>
        <w:rPr>
          <w:rFonts w:hint="default" w:ascii="Times New Roman" w:hAnsi="Times New Roman" w:eastAsia="宋体" w:cs="Times New Roman"/>
          <w:b/>
          <w:bCs/>
          <w:color w:val="auto"/>
          <w:sz w:val="44"/>
          <w:szCs w:val="44"/>
          <w:lang w:eastAsia="zh-CN"/>
        </w:rPr>
        <w:t>书</w:t>
      </w:r>
    </w:p>
    <w:p w14:paraId="34927E6B">
      <w:pPr>
        <w:spacing w:line="600" w:lineRule="exact"/>
        <w:ind w:firstLine="0" w:firstLineChars="0"/>
        <w:jc w:val="center"/>
        <w:rPr>
          <w:rFonts w:hint="default" w:ascii="Times New Roman" w:hAnsi="Times New Roman" w:cs="Times New Roman"/>
          <w:b/>
          <w:color w:val="auto"/>
          <w:sz w:val="36"/>
          <w:szCs w:val="36"/>
          <w:highlight w:val="yellow"/>
        </w:rPr>
      </w:pPr>
    </w:p>
    <w:p w14:paraId="605B95AE">
      <w:pPr>
        <w:spacing w:line="600" w:lineRule="exact"/>
        <w:ind w:firstLine="0" w:firstLineChars="0"/>
        <w:jc w:val="center"/>
        <w:rPr>
          <w:rFonts w:hint="default" w:ascii="Times New Roman" w:hAnsi="Times New Roman" w:cs="Times New Roman"/>
          <w:b/>
          <w:color w:val="auto"/>
          <w:sz w:val="36"/>
          <w:szCs w:val="36"/>
          <w:highlight w:val="yellow"/>
        </w:rPr>
      </w:pPr>
    </w:p>
    <w:p w14:paraId="6ABE81BF">
      <w:pPr>
        <w:spacing w:line="600" w:lineRule="exact"/>
        <w:ind w:firstLine="0" w:firstLineChars="0"/>
        <w:jc w:val="center"/>
        <w:rPr>
          <w:rFonts w:hint="default" w:ascii="Times New Roman" w:hAnsi="Times New Roman" w:cs="Times New Roman"/>
          <w:color w:val="auto"/>
          <w:sz w:val="28"/>
          <w:highlight w:val="yellow"/>
        </w:rPr>
      </w:pPr>
    </w:p>
    <w:p w14:paraId="4F97DD75">
      <w:pPr>
        <w:spacing w:line="600" w:lineRule="exact"/>
        <w:ind w:firstLine="0" w:firstLineChars="0"/>
        <w:jc w:val="center"/>
        <w:rPr>
          <w:rFonts w:hint="default" w:ascii="Times New Roman" w:hAnsi="Times New Roman" w:cs="Times New Roman"/>
          <w:color w:val="auto"/>
          <w:sz w:val="28"/>
          <w:highlight w:val="yellow"/>
        </w:rPr>
      </w:pPr>
    </w:p>
    <w:p w14:paraId="0620B349">
      <w:pPr>
        <w:spacing w:line="600" w:lineRule="exact"/>
        <w:ind w:firstLine="0" w:firstLineChars="0"/>
        <w:jc w:val="center"/>
        <w:rPr>
          <w:rFonts w:hint="default" w:ascii="Times New Roman" w:hAnsi="Times New Roman" w:cs="Times New Roman"/>
          <w:color w:val="auto"/>
          <w:sz w:val="28"/>
          <w:highlight w:val="yellow"/>
        </w:rPr>
      </w:pPr>
    </w:p>
    <w:p w14:paraId="1F7D9BD8">
      <w:pPr>
        <w:spacing w:line="600" w:lineRule="exact"/>
        <w:ind w:firstLine="0" w:firstLineChars="0"/>
        <w:jc w:val="center"/>
        <w:rPr>
          <w:rFonts w:hint="default" w:ascii="Times New Roman" w:hAnsi="Times New Roman" w:cs="Times New Roman"/>
          <w:color w:val="auto"/>
          <w:sz w:val="28"/>
          <w:highlight w:val="yellow"/>
        </w:rPr>
      </w:pPr>
    </w:p>
    <w:p w14:paraId="6AF7DF90">
      <w:pPr>
        <w:spacing w:line="600" w:lineRule="exact"/>
        <w:ind w:firstLine="0" w:firstLineChars="0"/>
        <w:jc w:val="center"/>
        <w:rPr>
          <w:rFonts w:hint="default" w:ascii="Times New Roman" w:hAnsi="Times New Roman" w:cs="Times New Roman"/>
          <w:color w:val="auto"/>
          <w:sz w:val="28"/>
          <w:highlight w:val="yellow"/>
        </w:rPr>
      </w:pPr>
    </w:p>
    <w:p w14:paraId="303DEFCB">
      <w:pPr>
        <w:spacing w:line="600" w:lineRule="exact"/>
        <w:ind w:firstLine="0" w:firstLineChars="0"/>
        <w:jc w:val="center"/>
        <w:rPr>
          <w:rFonts w:hint="default" w:ascii="Times New Roman" w:hAnsi="Times New Roman" w:cs="Times New Roman"/>
          <w:color w:val="auto"/>
          <w:sz w:val="28"/>
          <w:highlight w:val="yellow"/>
        </w:rPr>
      </w:pPr>
    </w:p>
    <w:p w14:paraId="15CE7F81">
      <w:pPr>
        <w:spacing w:line="600" w:lineRule="exact"/>
        <w:ind w:firstLine="0" w:firstLineChars="0"/>
        <w:jc w:val="center"/>
        <w:rPr>
          <w:rFonts w:hint="default" w:ascii="Times New Roman" w:hAnsi="Times New Roman" w:cs="Times New Roman"/>
          <w:color w:val="auto"/>
          <w:sz w:val="28"/>
          <w:highlight w:val="yellow"/>
        </w:rPr>
      </w:pPr>
    </w:p>
    <w:p w14:paraId="4534317E">
      <w:pPr>
        <w:spacing w:line="600" w:lineRule="exact"/>
        <w:ind w:firstLine="0" w:firstLineChars="0"/>
        <w:rPr>
          <w:rFonts w:hint="default" w:ascii="Times New Roman" w:hAnsi="Times New Roman" w:cs="Times New Roman"/>
          <w:color w:val="auto"/>
          <w:sz w:val="28"/>
          <w:highlight w:val="yellow"/>
        </w:rPr>
      </w:pPr>
    </w:p>
    <w:p w14:paraId="2390F5BC">
      <w:pPr>
        <w:spacing w:line="600" w:lineRule="exact"/>
        <w:ind w:firstLine="0" w:firstLineChars="0"/>
        <w:jc w:val="center"/>
        <w:rPr>
          <w:rFonts w:hint="default" w:ascii="Times New Roman" w:hAnsi="Times New Roman" w:cs="Times New Roman"/>
          <w:color w:val="auto"/>
          <w:sz w:val="28"/>
          <w:highlight w:val="yellow"/>
        </w:rPr>
      </w:pPr>
    </w:p>
    <w:p w14:paraId="138356A8">
      <w:pPr>
        <w:pStyle w:val="2"/>
        <w:rPr>
          <w:rFonts w:hint="default"/>
        </w:rPr>
      </w:pPr>
    </w:p>
    <w:p w14:paraId="1FFDA75C">
      <w:pPr>
        <w:pStyle w:val="2"/>
        <w:rPr>
          <w:rFonts w:hint="default" w:ascii="Times New Roman" w:hAnsi="Times New Roman" w:cs="Times New Roman"/>
          <w:color w:val="auto"/>
          <w:sz w:val="28"/>
          <w:highlight w:val="yellow"/>
        </w:rPr>
      </w:pPr>
    </w:p>
    <w:p w14:paraId="27F2F75B">
      <w:pPr>
        <w:pStyle w:val="2"/>
        <w:rPr>
          <w:rFonts w:hint="default" w:ascii="Times New Roman" w:hAnsi="Times New Roman" w:cs="Times New Roman"/>
          <w:color w:val="auto"/>
          <w:sz w:val="28"/>
          <w:highlight w:val="yellow"/>
        </w:rPr>
      </w:pPr>
    </w:p>
    <w:p w14:paraId="37753035">
      <w:pPr>
        <w:pStyle w:val="2"/>
        <w:rPr>
          <w:rFonts w:hint="default" w:ascii="Times New Roman" w:hAnsi="Times New Roman" w:cs="Times New Roman"/>
          <w:color w:val="auto"/>
          <w:sz w:val="28"/>
          <w:highlight w:val="yellow"/>
        </w:rPr>
      </w:pPr>
    </w:p>
    <w:p w14:paraId="57E647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eastAsia="zh-CN"/>
        </w:rPr>
        <w:t>赤峰矿业（集团）有限责任公司</w:t>
      </w:r>
    </w:p>
    <w:p w14:paraId="6E8ACCC8">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default" w:ascii="Times New Roman" w:hAnsi="Times New Roman" w:eastAsia="宋体" w:cs="Times New Roman"/>
          <w:color w:val="auto"/>
          <w:sz w:val="32"/>
          <w:szCs w:val="32"/>
        </w:rPr>
      </w:pPr>
    </w:p>
    <w:p w14:paraId="3994CD05">
      <w:pPr>
        <w:keepNext w:val="0"/>
        <w:keepLines w:val="0"/>
        <w:pageBreakBefore w:val="0"/>
        <w:widowControl w:val="0"/>
        <w:kinsoku/>
        <w:wordWrap/>
        <w:overflowPunct/>
        <w:topLinePunct w:val="0"/>
        <w:autoSpaceDE/>
        <w:autoSpaceDN/>
        <w:bidi w:val="0"/>
        <w:adjustRightInd w:val="0"/>
        <w:snapToGrid w:val="0"/>
        <w:spacing w:line="700" w:lineRule="exact"/>
        <w:ind w:firstLine="0" w:firstLineChars="0"/>
        <w:jc w:val="center"/>
        <w:textAlignment w:val="auto"/>
        <w:rPr>
          <w:rFonts w:hint="default" w:ascii="Times New Roman" w:hAnsi="Times New Roman" w:eastAsia="仿宋" w:cs="Times New Roman"/>
          <w:color w:val="auto"/>
          <w:spacing w:val="20"/>
          <w:sz w:val="30"/>
          <w:szCs w:val="30"/>
        </w:rPr>
      </w:pPr>
      <w:r>
        <w:rPr>
          <w:rFonts w:hint="default" w:ascii="Times New Roman" w:hAnsi="Times New Roman" w:eastAsia="宋体" w:cs="Times New Roman"/>
          <w:color w:val="auto"/>
          <w:sz w:val="32"/>
          <w:szCs w:val="32"/>
        </w:rPr>
        <w:t>二〇</w:t>
      </w:r>
      <w:r>
        <w:rPr>
          <w:rFonts w:hint="default" w:ascii="Times New Roman" w:hAnsi="Times New Roman" w:eastAsia="宋体" w:cs="Times New Roman"/>
          <w:color w:val="auto"/>
          <w:sz w:val="32"/>
          <w:szCs w:val="32"/>
          <w:lang w:eastAsia="zh-CN"/>
        </w:rPr>
        <w:t>二</w:t>
      </w:r>
      <w:r>
        <w:rPr>
          <w:rFonts w:hint="eastAsia" w:cs="Times New Roman"/>
          <w:color w:val="auto"/>
          <w:sz w:val="32"/>
          <w:szCs w:val="32"/>
          <w:lang w:val="en-US" w:eastAsia="zh-CN"/>
        </w:rPr>
        <w:t>五</w:t>
      </w:r>
      <w:r>
        <w:rPr>
          <w:rFonts w:hint="default" w:ascii="Times New Roman" w:hAnsi="Times New Roman" w:eastAsia="宋体" w:cs="Times New Roman"/>
          <w:color w:val="auto"/>
          <w:sz w:val="32"/>
          <w:szCs w:val="32"/>
        </w:rPr>
        <w:t>年</w:t>
      </w:r>
      <w:r>
        <w:rPr>
          <w:rFonts w:hint="eastAsia" w:cs="Times New Roman"/>
          <w:color w:val="auto"/>
          <w:sz w:val="32"/>
          <w:szCs w:val="32"/>
          <w:lang w:val="en-US" w:eastAsia="zh-CN"/>
        </w:rPr>
        <w:t>三</w:t>
      </w:r>
      <w:r>
        <w:rPr>
          <w:rFonts w:hint="default" w:ascii="Times New Roman" w:hAnsi="Times New Roman" w:eastAsia="宋体" w:cs="Times New Roman"/>
          <w:color w:val="auto"/>
          <w:sz w:val="32"/>
          <w:szCs w:val="32"/>
        </w:rPr>
        <w:t>月</w:t>
      </w:r>
    </w:p>
    <w:p w14:paraId="5EC6AB04">
      <w:pPr>
        <w:pStyle w:val="5"/>
        <w:rPr>
          <w:rFonts w:hint="default" w:ascii="Times New Roman" w:hAnsi="Times New Roman" w:eastAsia="仿宋" w:cs="Times New Roman"/>
          <w:color w:val="auto"/>
          <w:spacing w:val="20"/>
          <w:sz w:val="30"/>
          <w:szCs w:val="30"/>
        </w:rPr>
      </w:pPr>
    </w:p>
    <w:p w14:paraId="7A97B30B">
      <w:pPr>
        <w:pStyle w:val="2"/>
        <w:rPr>
          <w:rFonts w:hint="default"/>
          <w:color w:val="auto"/>
          <w:lang w:eastAsia="zh-CN"/>
        </w:rPr>
      </w:pPr>
    </w:p>
    <w:p w14:paraId="2F58DCD2">
      <w:pPr>
        <w:pStyle w:val="2"/>
        <w:rPr>
          <w:rFonts w:hint="default" w:ascii="Times New Roman" w:hAnsi="Times New Roman" w:eastAsia="宋体" w:cs="Times New Roman"/>
          <w:b/>
          <w:bCs/>
          <w:color w:val="auto"/>
          <w:spacing w:val="3"/>
          <w:sz w:val="36"/>
          <w:szCs w:val="36"/>
          <w:lang w:eastAsia="zh-CN"/>
        </w:rPr>
      </w:pPr>
    </w:p>
    <w:p w14:paraId="3D73D97B">
      <w:pPr>
        <w:keepNext w:val="0"/>
        <w:keepLines w:val="0"/>
        <w:pageBreakBefore w:val="0"/>
        <w:widowControl/>
        <w:kinsoku/>
        <w:wordWrap/>
        <w:overflowPunct/>
        <w:topLinePunct w:val="0"/>
        <w:autoSpaceDE/>
        <w:autoSpaceDN/>
        <w:bidi w:val="0"/>
        <w:adjustRightInd w:val="0"/>
        <w:snapToGrid w:val="0"/>
        <w:spacing w:line="360" w:lineRule="auto"/>
        <w:ind w:right="0" w:rightChars="0" w:firstLine="0" w:firstLineChars="0"/>
        <w:jc w:val="center"/>
        <w:textAlignment w:val="auto"/>
        <w:rPr>
          <w:rFonts w:hint="default" w:ascii="Times New Roman" w:hAnsi="Times New Roman" w:eastAsia="宋体" w:cs="Times New Roman"/>
          <w:b/>
          <w:bCs/>
          <w:color w:val="auto"/>
          <w:spacing w:val="3"/>
          <w:sz w:val="36"/>
          <w:szCs w:val="36"/>
          <w:lang w:eastAsia="zh-CN"/>
        </w:rPr>
      </w:pPr>
      <w:r>
        <w:rPr>
          <w:rFonts w:hint="default" w:ascii="Times New Roman" w:hAnsi="Times New Roman" w:eastAsia="宋体" w:cs="Times New Roman"/>
          <w:b/>
          <w:bCs/>
          <w:color w:val="auto"/>
          <w:spacing w:val="3"/>
          <w:sz w:val="36"/>
          <w:szCs w:val="36"/>
          <w:lang w:eastAsia="zh-CN"/>
        </w:rPr>
        <w:t>赤峰矿业（集团）有限责任公司</w:t>
      </w:r>
    </w:p>
    <w:p w14:paraId="43157DAA">
      <w:pPr>
        <w:keepNext w:val="0"/>
        <w:keepLines w:val="0"/>
        <w:pageBreakBefore w:val="0"/>
        <w:widowControl/>
        <w:kinsoku/>
        <w:wordWrap/>
        <w:overflowPunct/>
        <w:topLinePunct w:val="0"/>
        <w:autoSpaceDE/>
        <w:autoSpaceDN/>
        <w:bidi w:val="0"/>
        <w:adjustRightInd w:val="0"/>
        <w:snapToGrid w:val="0"/>
        <w:spacing w:line="360" w:lineRule="auto"/>
        <w:ind w:right="0" w:rightChars="0" w:firstLine="0" w:firstLineChars="0"/>
        <w:jc w:val="center"/>
        <w:textAlignment w:val="auto"/>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pacing w:val="3"/>
          <w:sz w:val="36"/>
          <w:szCs w:val="36"/>
          <w:lang w:eastAsia="zh-CN"/>
        </w:rPr>
        <w:t>赤峰市松山区徐家窝铺冰洲石矿</w:t>
      </w:r>
    </w:p>
    <w:p w14:paraId="58A56F9C">
      <w:pPr>
        <w:keepNext w:val="0"/>
        <w:keepLines w:val="0"/>
        <w:pageBreakBefore w:val="0"/>
        <w:widowControl/>
        <w:kinsoku/>
        <w:wordWrap/>
        <w:overflowPunct/>
        <w:topLinePunct w:val="0"/>
        <w:autoSpaceDE/>
        <w:autoSpaceDN/>
        <w:bidi w:val="0"/>
        <w:adjustRightInd w:val="0"/>
        <w:snapToGrid w:val="0"/>
        <w:spacing w:line="360" w:lineRule="auto"/>
        <w:ind w:right="0" w:rightChars="0" w:firstLine="0" w:firstLineChars="0"/>
        <w:jc w:val="center"/>
        <w:textAlignment w:val="auto"/>
        <w:rPr>
          <w:rFonts w:hint="default" w:ascii="Times New Roman" w:hAnsi="Times New Roman" w:eastAsia="宋体" w:cs="Times New Roman"/>
          <w:b/>
          <w:bCs/>
          <w:color w:val="auto"/>
          <w:sz w:val="36"/>
          <w:szCs w:val="36"/>
          <w:lang w:eastAsia="zh-CN"/>
        </w:rPr>
      </w:pPr>
      <w:r>
        <w:rPr>
          <w:rFonts w:hint="eastAsia" w:cs="Times New Roman"/>
          <w:b/>
          <w:bCs/>
          <w:color w:val="auto"/>
          <w:sz w:val="36"/>
          <w:szCs w:val="36"/>
          <w:lang w:val="en-US" w:eastAsia="zh-CN"/>
        </w:rPr>
        <w:t>2025</w:t>
      </w:r>
      <w:r>
        <w:rPr>
          <w:rFonts w:hint="default" w:ascii="Times New Roman" w:hAnsi="Times New Roman" w:eastAsia="宋体" w:cs="Times New Roman"/>
          <w:b/>
          <w:bCs/>
          <w:color w:val="auto"/>
          <w:sz w:val="36"/>
          <w:szCs w:val="36"/>
          <w:lang w:eastAsia="zh-CN"/>
        </w:rPr>
        <w:t>年度</w:t>
      </w:r>
      <w:r>
        <w:rPr>
          <w:rFonts w:hint="default" w:ascii="Times New Roman" w:hAnsi="Times New Roman" w:eastAsia="宋体" w:cs="Times New Roman"/>
          <w:b/>
          <w:bCs/>
          <w:color w:val="auto"/>
          <w:sz w:val="36"/>
          <w:szCs w:val="36"/>
        </w:rPr>
        <w:t>矿山地质环境</w:t>
      </w:r>
      <w:r>
        <w:rPr>
          <w:rFonts w:hint="default" w:ascii="Times New Roman" w:hAnsi="Times New Roman" w:eastAsia="宋体" w:cs="Times New Roman"/>
          <w:b/>
          <w:bCs/>
          <w:color w:val="auto"/>
          <w:sz w:val="36"/>
          <w:szCs w:val="36"/>
          <w:lang w:eastAsia="zh-CN"/>
        </w:rPr>
        <w:t>治理</w:t>
      </w:r>
      <w:r>
        <w:rPr>
          <w:rFonts w:hint="default" w:ascii="Times New Roman" w:hAnsi="Times New Roman" w:eastAsia="宋体" w:cs="Times New Roman"/>
          <w:b/>
          <w:bCs/>
          <w:color w:val="auto"/>
          <w:sz w:val="36"/>
          <w:szCs w:val="36"/>
        </w:rPr>
        <w:t>计划</w:t>
      </w:r>
      <w:r>
        <w:rPr>
          <w:rFonts w:hint="default" w:ascii="Times New Roman" w:hAnsi="Times New Roman" w:eastAsia="宋体" w:cs="Times New Roman"/>
          <w:b/>
          <w:bCs/>
          <w:color w:val="auto"/>
          <w:sz w:val="36"/>
          <w:szCs w:val="36"/>
          <w:lang w:eastAsia="zh-CN"/>
        </w:rPr>
        <w:t>书</w:t>
      </w:r>
    </w:p>
    <w:p w14:paraId="13254536">
      <w:pPr>
        <w:keepNext w:val="0"/>
        <w:keepLines w:val="0"/>
        <w:pageBreakBefore w:val="0"/>
        <w:widowControl w:val="0"/>
        <w:kinsoku/>
        <w:wordWrap/>
        <w:overflowPunct/>
        <w:topLinePunct w:val="0"/>
        <w:autoSpaceDE/>
        <w:autoSpaceDN/>
        <w:bidi w:val="0"/>
        <w:adjustRightInd/>
        <w:snapToGrid w:val="0"/>
        <w:spacing w:line="240" w:lineRule="auto"/>
        <w:ind w:left="2814" w:leftChars="779" w:hanging="944" w:hangingChars="294"/>
        <w:textAlignment w:val="auto"/>
        <w:rPr>
          <w:rFonts w:hint="default" w:ascii="Times New Roman" w:hAnsi="Times New Roman" w:eastAsia="宋体" w:cs="Times New Roman"/>
          <w:b/>
          <w:bCs/>
          <w:snapToGrid w:val="0"/>
          <w:color w:val="auto"/>
          <w:sz w:val="32"/>
          <w:szCs w:val="32"/>
        </w:rPr>
      </w:pPr>
    </w:p>
    <w:p w14:paraId="615A7E96">
      <w:pPr>
        <w:snapToGrid w:val="0"/>
        <w:spacing w:line="360" w:lineRule="auto"/>
        <w:ind w:left="2274" w:leftChars="285" w:hanging="1590" w:hangingChars="495"/>
        <w:rPr>
          <w:rFonts w:hint="default" w:ascii="Times New Roman" w:hAnsi="Times New Roman" w:eastAsia="宋体" w:cs="Times New Roman"/>
          <w:b/>
          <w:bCs/>
          <w:snapToGrid w:val="0"/>
          <w:color w:val="auto"/>
          <w:sz w:val="32"/>
          <w:szCs w:val="32"/>
        </w:rPr>
      </w:pPr>
    </w:p>
    <w:p w14:paraId="036364AD">
      <w:pPr>
        <w:pStyle w:val="2"/>
        <w:rPr>
          <w:rFonts w:hint="default" w:ascii="Times New Roman" w:hAnsi="Times New Roman" w:eastAsia="宋体" w:cs="Times New Roman"/>
          <w:b/>
          <w:bCs/>
          <w:snapToGrid w:val="0"/>
          <w:color w:val="auto"/>
          <w:sz w:val="32"/>
          <w:szCs w:val="32"/>
        </w:rPr>
      </w:pPr>
    </w:p>
    <w:p w14:paraId="7E793C7F">
      <w:pPr>
        <w:pStyle w:val="2"/>
        <w:rPr>
          <w:rFonts w:hint="default" w:ascii="Times New Roman" w:hAnsi="Times New Roman" w:eastAsia="宋体" w:cs="Times New Roman"/>
          <w:b/>
          <w:bCs/>
          <w:snapToGrid w:val="0"/>
          <w:color w:val="auto"/>
          <w:sz w:val="32"/>
          <w:szCs w:val="32"/>
        </w:rPr>
      </w:pPr>
    </w:p>
    <w:p w14:paraId="6C41C539">
      <w:pPr>
        <w:pStyle w:val="2"/>
        <w:rPr>
          <w:rFonts w:hint="default" w:ascii="Times New Roman" w:hAnsi="Times New Roman" w:eastAsia="宋体" w:cs="Times New Roman"/>
          <w:b/>
          <w:bCs/>
          <w:snapToGrid w:val="0"/>
          <w:color w:val="auto"/>
          <w:sz w:val="32"/>
          <w:szCs w:val="32"/>
        </w:rPr>
      </w:pPr>
    </w:p>
    <w:p w14:paraId="2EC503D4">
      <w:pPr>
        <w:keepNext w:val="0"/>
        <w:keepLines w:val="0"/>
        <w:pageBreakBefore w:val="0"/>
        <w:widowControl/>
        <w:tabs>
          <w:tab w:val="left" w:pos="1620"/>
          <w:tab w:val="left" w:pos="1800"/>
          <w:tab w:val="left" w:pos="1980"/>
          <w:tab w:val="left" w:pos="2160"/>
        </w:tabs>
        <w:kinsoku/>
        <w:wordWrap/>
        <w:overflowPunct/>
        <w:topLinePunct w:val="0"/>
        <w:autoSpaceDE/>
        <w:autoSpaceDN/>
        <w:bidi w:val="0"/>
        <w:adjustRightInd w:val="0"/>
        <w:snapToGrid w:val="0"/>
        <w:spacing w:line="600" w:lineRule="auto"/>
        <w:ind w:firstLine="602" w:firstLineChars="200"/>
        <w:jc w:val="left"/>
        <w:textAlignment w:val="auto"/>
        <w:rPr>
          <w:rFonts w:hint="default" w:ascii="Times New Roman" w:hAnsi="Times New Roman" w:eastAsia="宋体" w:cs="Times New Roman"/>
          <w:b/>
          <w:color w:val="auto"/>
          <w:spacing w:val="0"/>
          <w:sz w:val="30"/>
          <w:szCs w:val="30"/>
        </w:rPr>
      </w:pPr>
    </w:p>
    <w:p w14:paraId="4B4670F7">
      <w:pPr>
        <w:keepNext w:val="0"/>
        <w:keepLines w:val="0"/>
        <w:pageBreakBefore w:val="0"/>
        <w:widowControl/>
        <w:tabs>
          <w:tab w:val="left" w:pos="1620"/>
          <w:tab w:val="left" w:pos="1800"/>
          <w:tab w:val="left" w:pos="1980"/>
          <w:tab w:val="left" w:pos="2160"/>
        </w:tabs>
        <w:kinsoku/>
        <w:wordWrap/>
        <w:overflowPunct/>
        <w:topLinePunct w:val="0"/>
        <w:autoSpaceDE/>
        <w:autoSpaceDN/>
        <w:bidi w:val="0"/>
        <w:adjustRightInd w:val="0"/>
        <w:snapToGrid w:val="0"/>
        <w:spacing w:line="600" w:lineRule="auto"/>
        <w:ind w:firstLine="602" w:firstLineChars="200"/>
        <w:jc w:val="left"/>
        <w:textAlignment w:val="auto"/>
        <w:rPr>
          <w:rFonts w:hint="default" w:ascii="Times New Roman" w:hAnsi="Times New Roman" w:eastAsia="宋体" w:cs="Times New Roman"/>
          <w:b/>
          <w:color w:val="auto"/>
          <w:spacing w:val="0"/>
          <w:sz w:val="30"/>
          <w:szCs w:val="30"/>
        </w:rPr>
      </w:pPr>
    </w:p>
    <w:p w14:paraId="1F946336">
      <w:pPr>
        <w:keepNext w:val="0"/>
        <w:keepLines w:val="0"/>
        <w:pageBreakBefore w:val="0"/>
        <w:widowControl/>
        <w:tabs>
          <w:tab w:val="left" w:pos="1620"/>
          <w:tab w:val="left" w:pos="1800"/>
          <w:tab w:val="left" w:pos="1980"/>
          <w:tab w:val="left" w:pos="2160"/>
        </w:tabs>
        <w:kinsoku/>
        <w:wordWrap/>
        <w:overflowPunct/>
        <w:topLinePunct w:val="0"/>
        <w:autoSpaceDE/>
        <w:autoSpaceDN/>
        <w:bidi w:val="0"/>
        <w:adjustRightInd w:val="0"/>
        <w:snapToGrid w:val="0"/>
        <w:spacing w:line="600" w:lineRule="auto"/>
        <w:ind w:firstLine="602" w:firstLineChars="200"/>
        <w:jc w:val="left"/>
        <w:textAlignment w:val="auto"/>
        <w:rPr>
          <w:rFonts w:hint="default" w:ascii="Times New Roman" w:hAnsi="Times New Roman" w:eastAsia="宋体" w:cs="Times New Roman"/>
          <w:b/>
          <w:color w:val="auto"/>
          <w:spacing w:val="0"/>
          <w:sz w:val="30"/>
          <w:szCs w:val="30"/>
          <w:lang w:val="en-US" w:eastAsia="zh-CN"/>
        </w:rPr>
      </w:pPr>
      <w:r>
        <w:rPr>
          <w:rFonts w:hint="default" w:ascii="Times New Roman" w:hAnsi="Times New Roman" w:eastAsia="宋体" w:cs="Times New Roman"/>
          <w:b/>
          <w:color w:val="auto"/>
          <w:spacing w:val="0"/>
          <w:sz w:val="30"/>
          <w:szCs w:val="30"/>
        </w:rPr>
        <w:t>编</w:t>
      </w:r>
      <w:r>
        <w:rPr>
          <w:rFonts w:hint="default" w:ascii="Times New Roman" w:hAnsi="Times New Roman" w:eastAsia="宋体" w:cs="Times New Roman"/>
          <w:b/>
          <w:color w:val="auto"/>
          <w:spacing w:val="-20"/>
          <w:sz w:val="30"/>
          <w:szCs w:val="30"/>
          <w:lang w:val="en-US" w:eastAsia="zh-CN"/>
        </w:rPr>
        <w:t xml:space="preserve"> </w:t>
      </w:r>
      <w:r>
        <w:rPr>
          <w:rFonts w:hint="default" w:ascii="Times New Roman" w:hAnsi="Times New Roman" w:eastAsia="宋体" w:cs="Times New Roman"/>
          <w:b/>
          <w:color w:val="auto"/>
          <w:spacing w:val="0"/>
          <w:sz w:val="30"/>
          <w:szCs w:val="30"/>
        </w:rPr>
        <w:t>制</w:t>
      </w:r>
      <w:r>
        <w:rPr>
          <w:rFonts w:hint="default" w:ascii="Times New Roman" w:hAnsi="Times New Roman" w:eastAsia="宋体" w:cs="Times New Roman"/>
          <w:b/>
          <w:color w:val="auto"/>
          <w:spacing w:val="-20"/>
          <w:sz w:val="30"/>
          <w:szCs w:val="30"/>
          <w:lang w:val="en-US" w:eastAsia="zh-CN"/>
        </w:rPr>
        <w:t xml:space="preserve"> </w:t>
      </w:r>
      <w:r>
        <w:rPr>
          <w:rFonts w:hint="default" w:ascii="Times New Roman" w:hAnsi="Times New Roman" w:eastAsia="宋体" w:cs="Times New Roman"/>
          <w:b/>
          <w:color w:val="auto"/>
          <w:spacing w:val="0"/>
          <w:sz w:val="30"/>
          <w:szCs w:val="30"/>
        </w:rPr>
        <w:t>单</w:t>
      </w:r>
      <w:r>
        <w:rPr>
          <w:rFonts w:hint="default" w:ascii="Times New Roman" w:hAnsi="Times New Roman" w:eastAsia="宋体" w:cs="Times New Roman"/>
          <w:b/>
          <w:color w:val="auto"/>
          <w:spacing w:val="-20"/>
          <w:sz w:val="30"/>
          <w:szCs w:val="30"/>
          <w:lang w:val="en-US" w:eastAsia="zh-CN"/>
        </w:rPr>
        <w:t xml:space="preserve"> </w:t>
      </w:r>
      <w:r>
        <w:rPr>
          <w:rFonts w:hint="default" w:ascii="Times New Roman" w:hAnsi="Times New Roman" w:eastAsia="宋体" w:cs="Times New Roman"/>
          <w:b/>
          <w:color w:val="auto"/>
          <w:spacing w:val="0"/>
          <w:sz w:val="30"/>
          <w:szCs w:val="30"/>
        </w:rPr>
        <w:t>位：</w:t>
      </w:r>
      <w:r>
        <w:rPr>
          <w:rFonts w:hint="default" w:ascii="Times New Roman" w:hAnsi="Times New Roman" w:eastAsia="宋体" w:cs="Times New Roman"/>
          <w:b/>
          <w:color w:val="auto"/>
          <w:spacing w:val="0"/>
          <w:sz w:val="30"/>
          <w:szCs w:val="30"/>
          <w:lang w:val="en-US" w:eastAsia="zh-CN"/>
        </w:rPr>
        <w:t>赤峰矿业（集团）有限责任公司</w:t>
      </w:r>
    </w:p>
    <w:p w14:paraId="399B08D1">
      <w:pPr>
        <w:keepNext w:val="0"/>
        <w:keepLines w:val="0"/>
        <w:pageBreakBefore w:val="0"/>
        <w:widowControl/>
        <w:tabs>
          <w:tab w:val="left" w:pos="1620"/>
          <w:tab w:val="left" w:pos="1800"/>
          <w:tab w:val="left" w:pos="1980"/>
          <w:tab w:val="left" w:pos="2160"/>
        </w:tabs>
        <w:kinsoku/>
        <w:wordWrap/>
        <w:overflowPunct/>
        <w:topLinePunct w:val="0"/>
        <w:autoSpaceDE/>
        <w:autoSpaceDN/>
        <w:bidi w:val="0"/>
        <w:adjustRightInd w:val="0"/>
        <w:snapToGrid w:val="0"/>
        <w:spacing w:line="600" w:lineRule="auto"/>
        <w:ind w:firstLine="602" w:firstLineChars="200"/>
        <w:jc w:val="left"/>
        <w:textAlignment w:val="auto"/>
        <w:rPr>
          <w:rFonts w:hint="default" w:ascii="Times New Roman" w:hAnsi="Times New Roman" w:eastAsia="宋体" w:cs="Times New Roman"/>
          <w:b/>
          <w:color w:val="auto"/>
          <w:spacing w:val="0"/>
          <w:sz w:val="30"/>
          <w:szCs w:val="30"/>
          <w:lang w:val="en-US" w:eastAsia="zh-CN"/>
        </w:rPr>
      </w:pPr>
      <w:r>
        <w:rPr>
          <w:rFonts w:hint="default" w:ascii="Times New Roman" w:hAnsi="Times New Roman" w:eastAsia="宋体" w:cs="Times New Roman"/>
          <w:b/>
          <w:color w:val="auto"/>
          <w:spacing w:val="0"/>
          <w:sz w:val="30"/>
          <w:szCs w:val="30"/>
        </w:rPr>
        <w:t>法定代表人：</w:t>
      </w:r>
      <w:r>
        <w:rPr>
          <w:rFonts w:hint="eastAsia" w:ascii="Times New Roman" w:hAnsi="Times New Roman" w:eastAsia="宋体" w:cs="Times New Roman"/>
          <w:b/>
          <w:color w:val="auto"/>
          <w:spacing w:val="0"/>
          <w:sz w:val="30"/>
          <w:szCs w:val="30"/>
          <w:lang w:val="en-US" w:eastAsia="zh-CN"/>
        </w:rPr>
        <w:t>夏景图</w:t>
      </w:r>
    </w:p>
    <w:p w14:paraId="082BA46C">
      <w:pPr>
        <w:keepNext w:val="0"/>
        <w:keepLines w:val="0"/>
        <w:pageBreakBefore w:val="0"/>
        <w:widowControl/>
        <w:kinsoku/>
        <w:wordWrap/>
        <w:overflowPunct/>
        <w:topLinePunct w:val="0"/>
        <w:autoSpaceDE/>
        <w:autoSpaceDN/>
        <w:bidi w:val="0"/>
        <w:adjustRightInd w:val="0"/>
        <w:snapToGrid w:val="0"/>
        <w:spacing w:line="600" w:lineRule="auto"/>
        <w:ind w:firstLine="602" w:firstLineChars="200"/>
        <w:jc w:val="left"/>
        <w:textAlignment w:val="auto"/>
        <w:rPr>
          <w:rFonts w:hint="default" w:ascii="Times New Roman" w:hAnsi="Times New Roman" w:eastAsia="宋体" w:cs="Times New Roman"/>
          <w:b/>
          <w:color w:val="auto"/>
          <w:spacing w:val="0"/>
          <w:sz w:val="30"/>
          <w:szCs w:val="30"/>
          <w:lang w:val="en-US" w:eastAsia="zh-CN"/>
        </w:rPr>
      </w:pPr>
      <w:r>
        <w:rPr>
          <w:rFonts w:hint="default" w:ascii="Times New Roman" w:hAnsi="Times New Roman" w:eastAsia="宋体" w:cs="Times New Roman"/>
          <w:b/>
          <w:color w:val="auto"/>
          <w:spacing w:val="0"/>
          <w:sz w:val="30"/>
          <w:szCs w:val="30"/>
        </w:rPr>
        <w:t>项目负责人：</w:t>
      </w:r>
      <w:r>
        <w:rPr>
          <w:rFonts w:hint="eastAsia" w:ascii="Times New Roman" w:hAnsi="Times New Roman" w:eastAsia="宋体" w:cs="Times New Roman"/>
          <w:b/>
          <w:color w:val="auto"/>
          <w:spacing w:val="0"/>
          <w:sz w:val="30"/>
          <w:szCs w:val="30"/>
          <w:lang w:val="en-US" w:eastAsia="zh-CN"/>
        </w:rPr>
        <w:t>李文阔</w:t>
      </w:r>
    </w:p>
    <w:p w14:paraId="663DE74A">
      <w:pPr>
        <w:keepNext w:val="0"/>
        <w:keepLines w:val="0"/>
        <w:pageBreakBefore w:val="0"/>
        <w:widowControl/>
        <w:kinsoku/>
        <w:wordWrap/>
        <w:overflowPunct/>
        <w:topLinePunct w:val="0"/>
        <w:autoSpaceDE/>
        <w:autoSpaceDN/>
        <w:bidi w:val="0"/>
        <w:adjustRightInd w:val="0"/>
        <w:snapToGrid w:val="0"/>
        <w:spacing w:line="600" w:lineRule="auto"/>
        <w:ind w:firstLine="602" w:firstLineChars="200"/>
        <w:jc w:val="left"/>
        <w:textAlignment w:val="auto"/>
        <w:rPr>
          <w:rFonts w:hint="default" w:ascii="Times New Roman" w:hAnsi="Times New Roman" w:eastAsia="宋体" w:cs="Times New Roman"/>
          <w:b/>
          <w:color w:val="auto"/>
          <w:spacing w:val="0"/>
          <w:sz w:val="30"/>
          <w:szCs w:val="30"/>
          <w:lang w:val="en-US"/>
        </w:rPr>
      </w:pPr>
      <w:r>
        <w:rPr>
          <w:rFonts w:hint="default" w:ascii="Times New Roman" w:hAnsi="Times New Roman" w:eastAsia="宋体" w:cs="Times New Roman"/>
          <w:b/>
          <w:color w:val="auto"/>
          <w:spacing w:val="0"/>
          <w:sz w:val="30"/>
          <w:szCs w:val="30"/>
        </w:rPr>
        <w:t>编  写  人：</w:t>
      </w:r>
      <w:r>
        <w:rPr>
          <w:rFonts w:hint="eastAsia" w:ascii="Times New Roman" w:hAnsi="Times New Roman" w:eastAsia="宋体" w:cs="Times New Roman"/>
          <w:b/>
          <w:color w:val="auto"/>
          <w:spacing w:val="0"/>
          <w:sz w:val="30"/>
          <w:szCs w:val="30"/>
          <w:lang w:val="en-US" w:eastAsia="zh-CN"/>
        </w:rPr>
        <w:t>齐丽君  韩特</w:t>
      </w:r>
      <w:r>
        <w:rPr>
          <w:rFonts w:hint="default" w:ascii="Times New Roman" w:hAnsi="Times New Roman" w:eastAsia="宋体" w:cs="Times New Roman"/>
          <w:b/>
          <w:color w:val="auto"/>
          <w:spacing w:val="0"/>
          <w:sz w:val="30"/>
          <w:szCs w:val="30"/>
          <w:lang w:val="en-US" w:eastAsia="zh-CN"/>
        </w:rPr>
        <w:t xml:space="preserve"> </w:t>
      </w:r>
    </w:p>
    <w:p w14:paraId="2725280E">
      <w:pPr>
        <w:keepNext w:val="0"/>
        <w:keepLines w:val="0"/>
        <w:pageBreakBefore w:val="0"/>
        <w:widowControl/>
        <w:kinsoku/>
        <w:wordWrap/>
        <w:overflowPunct/>
        <w:topLinePunct w:val="0"/>
        <w:autoSpaceDE/>
        <w:autoSpaceDN/>
        <w:bidi w:val="0"/>
        <w:adjustRightInd w:val="0"/>
        <w:snapToGrid w:val="0"/>
        <w:spacing w:line="600" w:lineRule="auto"/>
        <w:ind w:firstLine="602" w:firstLineChars="200"/>
        <w:jc w:val="left"/>
        <w:textAlignment w:val="auto"/>
        <w:rPr>
          <w:rFonts w:hint="eastAsia" w:ascii="Times New Roman" w:hAnsi="Times New Roman" w:eastAsia="宋体" w:cs="Times New Roman"/>
          <w:b/>
          <w:color w:val="auto"/>
          <w:spacing w:val="0"/>
          <w:sz w:val="30"/>
          <w:szCs w:val="30"/>
          <w:lang w:val="en-US" w:eastAsia="zh-CN"/>
        </w:rPr>
      </w:pPr>
      <w:r>
        <w:rPr>
          <w:rFonts w:hint="default" w:ascii="Times New Roman" w:hAnsi="Times New Roman" w:eastAsia="宋体" w:cs="Times New Roman"/>
          <w:b/>
          <w:color w:val="auto"/>
          <w:spacing w:val="0"/>
          <w:sz w:val="30"/>
          <w:szCs w:val="30"/>
        </w:rPr>
        <w:t>审      核：</w:t>
      </w:r>
      <w:r>
        <w:rPr>
          <w:rFonts w:hint="eastAsia" w:ascii="Times New Roman" w:hAnsi="Times New Roman" w:eastAsia="宋体" w:cs="Times New Roman"/>
          <w:b/>
          <w:color w:val="auto"/>
          <w:spacing w:val="0"/>
          <w:sz w:val="30"/>
          <w:szCs w:val="30"/>
          <w:lang w:eastAsia="zh-CN"/>
        </w:rPr>
        <w:t>车璐飞</w:t>
      </w:r>
    </w:p>
    <w:p w14:paraId="525493C4">
      <w:pPr>
        <w:ind w:left="0" w:leftChars="0" w:firstLine="602" w:firstLineChars="200"/>
        <w:rPr>
          <w:rFonts w:hint="eastAsia"/>
          <w:color w:val="auto"/>
          <w:lang w:val="zh-CN"/>
        </w:rPr>
      </w:pPr>
      <w:r>
        <w:rPr>
          <w:rFonts w:hint="default" w:ascii="Times New Roman" w:hAnsi="Times New Roman" w:eastAsia="宋体" w:cs="Times New Roman"/>
          <w:b/>
          <w:color w:val="auto"/>
          <w:spacing w:val="0"/>
          <w:sz w:val="30"/>
          <w:szCs w:val="30"/>
        </w:rPr>
        <w:t>编</w:t>
      </w:r>
      <w:r>
        <w:rPr>
          <w:rFonts w:hint="default" w:ascii="Times New Roman" w:hAnsi="Times New Roman" w:eastAsia="宋体" w:cs="Times New Roman"/>
          <w:b/>
          <w:color w:val="auto"/>
          <w:spacing w:val="-20"/>
          <w:sz w:val="30"/>
          <w:szCs w:val="30"/>
          <w:lang w:val="en-US" w:eastAsia="zh-CN"/>
        </w:rPr>
        <w:t xml:space="preserve"> </w:t>
      </w:r>
      <w:r>
        <w:rPr>
          <w:rFonts w:hint="default" w:ascii="Times New Roman" w:hAnsi="Times New Roman" w:eastAsia="宋体" w:cs="Times New Roman"/>
          <w:b/>
          <w:color w:val="auto"/>
          <w:spacing w:val="0"/>
          <w:sz w:val="30"/>
          <w:szCs w:val="30"/>
        </w:rPr>
        <w:t>制</w:t>
      </w:r>
      <w:r>
        <w:rPr>
          <w:rFonts w:hint="default" w:ascii="Times New Roman" w:hAnsi="Times New Roman" w:eastAsia="宋体" w:cs="Times New Roman"/>
          <w:b/>
          <w:color w:val="auto"/>
          <w:spacing w:val="-20"/>
          <w:sz w:val="30"/>
          <w:szCs w:val="30"/>
          <w:lang w:val="en-US" w:eastAsia="zh-CN"/>
        </w:rPr>
        <w:t xml:space="preserve"> </w:t>
      </w:r>
      <w:r>
        <w:rPr>
          <w:rFonts w:hint="default" w:ascii="Times New Roman" w:hAnsi="Times New Roman" w:eastAsia="宋体" w:cs="Times New Roman"/>
          <w:b/>
          <w:color w:val="auto"/>
          <w:spacing w:val="0"/>
          <w:sz w:val="30"/>
          <w:szCs w:val="30"/>
        </w:rPr>
        <w:t>时</w:t>
      </w:r>
      <w:r>
        <w:rPr>
          <w:rFonts w:hint="default" w:ascii="Times New Roman" w:hAnsi="Times New Roman" w:eastAsia="宋体" w:cs="Times New Roman"/>
          <w:b/>
          <w:color w:val="auto"/>
          <w:spacing w:val="-20"/>
          <w:sz w:val="30"/>
          <w:szCs w:val="30"/>
          <w:lang w:val="en-US" w:eastAsia="zh-CN"/>
        </w:rPr>
        <w:t xml:space="preserve"> </w:t>
      </w:r>
      <w:r>
        <w:rPr>
          <w:rFonts w:hint="default" w:ascii="Times New Roman" w:hAnsi="Times New Roman" w:eastAsia="宋体" w:cs="Times New Roman"/>
          <w:b/>
          <w:color w:val="auto"/>
          <w:spacing w:val="0"/>
          <w:sz w:val="30"/>
          <w:szCs w:val="30"/>
        </w:rPr>
        <w:t>间：</w:t>
      </w:r>
      <w:r>
        <w:rPr>
          <w:rFonts w:hint="default" w:ascii="Times New Roman" w:hAnsi="Times New Roman" w:eastAsia="宋体" w:cs="Times New Roman"/>
          <w:b/>
          <w:color w:val="auto"/>
          <w:spacing w:val="0"/>
          <w:sz w:val="30"/>
          <w:szCs w:val="30"/>
          <w:lang w:eastAsia="zh-CN"/>
        </w:rPr>
        <w:t>202</w:t>
      </w:r>
      <w:r>
        <w:rPr>
          <w:rFonts w:hint="eastAsia" w:ascii="Times New Roman" w:hAnsi="Times New Roman" w:eastAsia="宋体" w:cs="Times New Roman"/>
          <w:b/>
          <w:color w:val="auto"/>
          <w:spacing w:val="0"/>
          <w:sz w:val="30"/>
          <w:szCs w:val="30"/>
          <w:lang w:val="en-US" w:eastAsia="zh-CN"/>
        </w:rPr>
        <w:t>5</w:t>
      </w:r>
      <w:r>
        <w:rPr>
          <w:rFonts w:hint="default" w:ascii="Times New Roman" w:hAnsi="Times New Roman" w:eastAsia="宋体" w:cs="Times New Roman"/>
          <w:b/>
          <w:color w:val="auto"/>
          <w:spacing w:val="0"/>
          <w:sz w:val="30"/>
          <w:szCs w:val="30"/>
        </w:rPr>
        <w:t>年</w:t>
      </w:r>
      <w:r>
        <w:rPr>
          <w:rFonts w:hint="default" w:ascii="Times New Roman" w:hAnsi="Times New Roman" w:eastAsia="宋体" w:cs="Times New Roman"/>
          <w:b/>
          <w:color w:val="auto"/>
          <w:spacing w:val="0"/>
          <w:sz w:val="30"/>
          <w:szCs w:val="30"/>
          <w:lang w:val="en-US" w:eastAsia="zh-CN"/>
        </w:rPr>
        <w:t>3</w:t>
      </w:r>
      <w:r>
        <w:rPr>
          <w:rFonts w:hint="default" w:ascii="Times New Roman" w:hAnsi="Times New Roman" w:eastAsia="宋体" w:cs="Times New Roman"/>
          <w:b/>
          <w:color w:val="auto"/>
          <w:spacing w:val="0"/>
          <w:sz w:val="30"/>
          <w:szCs w:val="30"/>
        </w:rPr>
        <w:t>月</w:t>
      </w:r>
    </w:p>
    <w:p w14:paraId="040DC025">
      <w:pPr>
        <w:spacing w:line="480" w:lineRule="auto"/>
        <w:ind w:firstLine="413" w:firstLineChars="147"/>
        <w:rPr>
          <w:rFonts w:hint="default" w:ascii="Times New Roman" w:hAnsi="Times New Roman" w:eastAsia="仿宋" w:cs="Times New Roman"/>
          <w:b/>
          <w:bCs/>
          <w:color w:val="auto"/>
          <w:sz w:val="28"/>
          <w:szCs w:val="28"/>
        </w:rPr>
      </w:pPr>
    </w:p>
    <w:p w14:paraId="09A0558A">
      <w:pPr>
        <w:ind w:left="0" w:leftChars="0" w:firstLine="0" w:firstLineChars="0"/>
        <w:rPr>
          <w:rFonts w:hint="default" w:ascii="Times New Roman" w:hAnsi="Times New Roman" w:cs="Times New Roman"/>
          <w:color w:val="auto"/>
        </w:rPr>
        <w:sectPr>
          <w:headerReference r:id="rId5" w:type="default"/>
          <w:footerReference r:id="rId6" w:type="default"/>
          <w:pgSz w:w="11906" w:h="16838"/>
          <w:pgMar w:top="1440" w:right="1797" w:bottom="1440" w:left="1797" w:header="851" w:footer="992" w:gutter="0"/>
          <w:pgNumType w:fmt="decimal" w:start="1"/>
          <w:cols w:space="720" w:num="1"/>
          <w:docGrid w:linePitch="312" w:charSpace="0"/>
        </w:sectPr>
      </w:pPr>
    </w:p>
    <w:p w14:paraId="225EE201">
      <w:pPr>
        <w:spacing w:line="600" w:lineRule="exact"/>
        <w:ind w:firstLine="0" w:firstLineChars="0"/>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14:paraId="368A9977">
      <w:pPr>
        <w:pStyle w:val="9"/>
        <w:keepNext w:val="0"/>
        <w:keepLines w:val="0"/>
        <w:pageBreakBefore w:val="0"/>
        <w:widowControl w:val="0"/>
        <w:tabs>
          <w:tab w:val="right" w:leader="dot" w:pos="8312"/>
        </w:tabs>
        <w:kinsoku/>
        <w:wordWrap/>
        <w:overflowPunct/>
        <w:topLinePunct w:val="0"/>
        <w:autoSpaceDE/>
        <w:autoSpaceDN/>
        <w:bidi w:val="0"/>
        <w:adjustRightInd/>
        <w:snapToGrid/>
        <w:spacing w:before="0" w:beforeLines="0" w:after="0" w:afterLines="0" w:line="600" w:lineRule="exact"/>
        <w:ind w:left="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TOC \o "1-2" \h \u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_Toc11328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32"/>
          <w:lang w:val="en-US" w:eastAsia="zh-CN"/>
        </w:rPr>
        <w:t>一、矿山基本情况</w:t>
      </w:r>
      <w:r>
        <w:rPr>
          <w:color w:val="auto"/>
        </w:rPr>
        <w:tab/>
      </w:r>
      <w:r>
        <w:rPr>
          <w:color w:val="auto"/>
        </w:rPr>
        <w:fldChar w:fldCharType="begin"/>
      </w:r>
      <w:r>
        <w:rPr>
          <w:color w:val="auto"/>
        </w:rPr>
        <w:instrText xml:space="preserve"> PAGEREF _Toc11328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lang w:val="en-US" w:eastAsia="zh-CN"/>
        </w:rPr>
        <w:fldChar w:fldCharType="end"/>
      </w:r>
    </w:p>
    <w:p w14:paraId="4F279824">
      <w:pPr>
        <w:pStyle w:val="9"/>
        <w:keepNext w:val="0"/>
        <w:keepLines w:val="0"/>
        <w:pageBreakBefore w:val="0"/>
        <w:widowControl w:val="0"/>
        <w:tabs>
          <w:tab w:val="right" w:leader="dot" w:pos="8312"/>
        </w:tabs>
        <w:kinsoku/>
        <w:wordWrap/>
        <w:overflowPunct/>
        <w:topLinePunct w:val="0"/>
        <w:autoSpaceDE/>
        <w:autoSpaceDN/>
        <w:bidi w:val="0"/>
        <w:adjustRightInd/>
        <w:snapToGrid/>
        <w:spacing w:before="0" w:beforeLines="0" w:after="0" w:afterLines="0" w:line="600" w:lineRule="exact"/>
        <w:ind w:left="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_Toc1516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32"/>
          <w:lang w:val="en-US" w:eastAsia="zh-CN"/>
        </w:rPr>
        <w:t>二、矿山地质环境治理方案的编制与执行情况</w:t>
      </w:r>
      <w:r>
        <w:rPr>
          <w:color w:val="auto"/>
        </w:rPr>
        <w:tab/>
      </w:r>
      <w:r>
        <w:rPr>
          <w:color w:val="auto"/>
        </w:rPr>
        <w:fldChar w:fldCharType="begin"/>
      </w:r>
      <w:r>
        <w:rPr>
          <w:color w:val="auto"/>
        </w:rPr>
        <w:instrText xml:space="preserve"> PAGEREF _Toc1516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color w:val="auto"/>
          <w:lang w:val="en-US" w:eastAsia="zh-CN"/>
        </w:rPr>
        <w:fldChar w:fldCharType="end"/>
      </w:r>
    </w:p>
    <w:p w14:paraId="56A26774">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_Toc31442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（一）方案编制概况</w:t>
      </w:r>
      <w:r>
        <w:rPr>
          <w:color w:val="auto"/>
        </w:rPr>
        <w:tab/>
      </w:r>
      <w:r>
        <w:rPr>
          <w:color w:val="auto"/>
        </w:rPr>
        <w:fldChar w:fldCharType="begin"/>
      </w:r>
      <w:r>
        <w:rPr>
          <w:color w:val="auto"/>
        </w:rPr>
        <w:instrText xml:space="preserve"> PAGEREF _Toc31442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color w:val="auto"/>
          <w:lang w:val="en-US" w:eastAsia="zh-CN"/>
        </w:rPr>
        <w:fldChar w:fldCharType="end"/>
      </w:r>
    </w:p>
    <w:p w14:paraId="783CFE14">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_Toc2635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（二）治理方案规划的近期治理工程内容</w:t>
      </w:r>
      <w:r>
        <w:rPr>
          <w:color w:val="auto"/>
        </w:rPr>
        <w:tab/>
      </w:r>
      <w:r>
        <w:rPr>
          <w:color w:val="auto"/>
        </w:rPr>
        <w:fldChar w:fldCharType="begin"/>
      </w:r>
      <w:r>
        <w:rPr>
          <w:color w:val="auto"/>
        </w:rPr>
        <w:instrText xml:space="preserve"> PAGEREF _Toc2635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color w:val="auto"/>
          <w:lang w:val="en-US" w:eastAsia="zh-CN"/>
        </w:rPr>
        <w:fldChar w:fldCharType="end"/>
      </w:r>
    </w:p>
    <w:p w14:paraId="4E1AC710">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_Toc30094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（三）矿山地质环境治理方案执行情况</w:t>
      </w:r>
      <w:r>
        <w:rPr>
          <w:color w:val="auto"/>
        </w:rPr>
        <w:tab/>
      </w:r>
      <w:r>
        <w:rPr>
          <w:color w:val="auto"/>
        </w:rPr>
        <w:fldChar w:fldCharType="begin"/>
      </w:r>
      <w:r>
        <w:rPr>
          <w:color w:val="auto"/>
        </w:rPr>
        <w:instrText xml:space="preserve"> PAGEREF _Toc30094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color w:val="auto"/>
          <w:lang w:val="en-US" w:eastAsia="zh-CN"/>
        </w:rPr>
        <w:fldChar w:fldCharType="end"/>
      </w:r>
    </w:p>
    <w:p w14:paraId="4D9B533A">
      <w:pPr>
        <w:pStyle w:val="9"/>
        <w:keepNext w:val="0"/>
        <w:keepLines w:val="0"/>
        <w:pageBreakBefore w:val="0"/>
        <w:widowControl w:val="0"/>
        <w:tabs>
          <w:tab w:val="right" w:leader="dot" w:pos="8312"/>
        </w:tabs>
        <w:kinsoku/>
        <w:wordWrap/>
        <w:overflowPunct/>
        <w:topLinePunct w:val="0"/>
        <w:autoSpaceDE/>
        <w:autoSpaceDN/>
        <w:bidi w:val="0"/>
        <w:adjustRightInd/>
        <w:snapToGrid/>
        <w:spacing w:before="0" w:beforeLines="0" w:after="0" w:afterLines="0" w:line="600" w:lineRule="exact"/>
        <w:ind w:left="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_Toc31275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32"/>
          <w:lang w:val="en-US" w:eastAsia="zh-CN"/>
        </w:rPr>
        <w:t>三、本年度矿山生产计划</w:t>
      </w:r>
      <w:r>
        <w:rPr>
          <w:color w:val="auto"/>
        </w:rPr>
        <w:tab/>
      </w:r>
      <w:r>
        <w:rPr>
          <w:color w:val="auto"/>
        </w:rPr>
        <w:fldChar w:fldCharType="begin"/>
      </w:r>
      <w:r>
        <w:rPr>
          <w:color w:val="auto"/>
        </w:rPr>
        <w:instrText xml:space="preserve"> PAGEREF _Toc31275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color w:val="auto"/>
          <w:lang w:val="en-US" w:eastAsia="zh-CN"/>
        </w:rPr>
        <w:fldChar w:fldCharType="end"/>
      </w:r>
    </w:p>
    <w:p w14:paraId="3AB8930F">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_Toc7893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（一）本年度的主要生产指标计划</w:t>
      </w:r>
      <w:r>
        <w:rPr>
          <w:color w:val="auto"/>
        </w:rPr>
        <w:tab/>
      </w:r>
      <w:r>
        <w:rPr>
          <w:color w:val="auto"/>
        </w:rPr>
        <w:fldChar w:fldCharType="begin"/>
      </w:r>
      <w:r>
        <w:rPr>
          <w:color w:val="auto"/>
        </w:rPr>
        <w:instrText xml:space="preserve"> PAGEREF _Toc7893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color w:val="auto"/>
          <w:lang w:val="en-US" w:eastAsia="zh-CN"/>
        </w:rPr>
        <w:fldChar w:fldCharType="end"/>
      </w:r>
    </w:p>
    <w:p w14:paraId="3860DBBB">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_Toc18505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（二）开采范围</w:t>
      </w:r>
      <w:r>
        <w:rPr>
          <w:color w:val="auto"/>
        </w:rPr>
        <w:tab/>
      </w:r>
      <w:r>
        <w:rPr>
          <w:color w:val="auto"/>
        </w:rPr>
        <w:fldChar w:fldCharType="begin"/>
      </w:r>
      <w:r>
        <w:rPr>
          <w:color w:val="auto"/>
        </w:rPr>
        <w:instrText xml:space="preserve"> PAGEREF _Toc18505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color w:val="auto"/>
          <w:lang w:val="en-US" w:eastAsia="zh-CN"/>
        </w:rPr>
        <w:fldChar w:fldCharType="end"/>
      </w:r>
    </w:p>
    <w:p w14:paraId="09FF682F">
      <w:pPr>
        <w:pStyle w:val="9"/>
        <w:keepNext w:val="0"/>
        <w:keepLines w:val="0"/>
        <w:pageBreakBefore w:val="0"/>
        <w:widowControl w:val="0"/>
        <w:tabs>
          <w:tab w:val="right" w:leader="dot" w:pos="8312"/>
        </w:tabs>
        <w:kinsoku/>
        <w:wordWrap/>
        <w:overflowPunct/>
        <w:topLinePunct w:val="0"/>
        <w:autoSpaceDE/>
        <w:autoSpaceDN/>
        <w:bidi w:val="0"/>
        <w:adjustRightInd/>
        <w:snapToGrid/>
        <w:spacing w:before="0" w:beforeLines="0" w:after="0" w:afterLines="0" w:line="600" w:lineRule="exact"/>
        <w:ind w:left="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_Toc14531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32"/>
          <w:lang w:val="en-US" w:eastAsia="zh-CN"/>
        </w:rPr>
        <w:t>四、矿山地质环境问题</w:t>
      </w:r>
      <w:r>
        <w:rPr>
          <w:color w:val="auto"/>
        </w:rPr>
        <w:tab/>
      </w:r>
      <w:r>
        <w:rPr>
          <w:color w:val="auto"/>
        </w:rPr>
        <w:fldChar w:fldCharType="begin"/>
      </w:r>
      <w:r>
        <w:rPr>
          <w:color w:val="auto"/>
        </w:rPr>
        <w:instrText xml:space="preserve"> PAGEREF _Toc14531 \h </w:instrText>
      </w:r>
      <w:r>
        <w:rPr>
          <w:color w:val="auto"/>
        </w:rPr>
        <w:fldChar w:fldCharType="separate"/>
      </w:r>
      <w:r>
        <w:rPr>
          <w:color w:val="auto"/>
        </w:rPr>
        <w:t>8</w:t>
      </w:r>
      <w:r>
        <w:rPr>
          <w:color w:val="auto"/>
        </w:rPr>
        <w:fldChar w:fldCharType="end"/>
      </w:r>
      <w:r>
        <w:rPr>
          <w:rFonts w:hint="default" w:ascii="Times New Roman" w:hAnsi="Times New Roman" w:eastAsia="宋体" w:cs="Times New Roman"/>
          <w:color w:val="auto"/>
          <w:lang w:val="en-US" w:eastAsia="zh-CN"/>
        </w:rPr>
        <w:fldChar w:fldCharType="end"/>
      </w:r>
    </w:p>
    <w:p w14:paraId="6B3107CC">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_Toc18240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（一）矿山地质环境问题现状</w:t>
      </w:r>
      <w:r>
        <w:rPr>
          <w:color w:val="auto"/>
        </w:rPr>
        <w:tab/>
      </w:r>
      <w:r>
        <w:rPr>
          <w:color w:val="auto"/>
        </w:rPr>
        <w:fldChar w:fldCharType="begin"/>
      </w:r>
      <w:r>
        <w:rPr>
          <w:color w:val="auto"/>
        </w:rPr>
        <w:instrText xml:space="preserve"> PAGEREF _Toc18240 \h </w:instrText>
      </w:r>
      <w:r>
        <w:rPr>
          <w:color w:val="auto"/>
        </w:rPr>
        <w:fldChar w:fldCharType="separate"/>
      </w:r>
      <w:r>
        <w:rPr>
          <w:color w:val="auto"/>
        </w:rPr>
        <w:t>8</w:t>
      </w:r>
      <w:r>
        <w:rPr>
          <w:color w:val="auto"/>
        </w:rPr>
        <w:fldChar w:fldCharType="end"/>
      </w:r>
      <w:r>
        <w:rPr>
          <w:rFonts w:hint="default" w:ascii="Times New Roman" w:hAnsi="Times New Roman" w:eastAsia="宋体" w:cs="Times New Roman"/>
          <w:color w:val="auto"/>
          <w:lang w:val="en-US" w:eastAsia="zh-CN"/>
        </w:rPr>
        <w:fldChar w:fldCharType="end"/>
      </w:r>
    </w:p>
    <w:p w14:paraId="305A44B9">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_Toc18616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（二）矿山地质环境问题预测</w:t>
      </w:r>
      <w:r>
        <w:rPr>
          <w:color w:val="auto"/>
        </w:rPr>
        <w:tab/>
      </w:r>
      <w:r>
        <w:rPr>
          <w:color w:val="auto"/>
        </w:rPr>
        <w:fldChar w:fldCharType="begin"/>
      </w:r>
      <w:r>
        <w:rPr>
          <w:color w:val="auto"/>
        </w:rPr>
        <w:instrText xml:space="preserve"> PAGEREF _Toc18616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lang w:val="en-US" w:eastAsia="zh-CN"/>
        </w:rPr>
        <w:fldChar w:fldCharType="end"/>
      </w:r>
    </w:p>
    <w:p w14:paraId="425A2512">
      <w:pPr>
        <w:pStyle w:val="9"/>
        <w:keepNext w:val="0"/>
        <w:keepLines w:val="0"/>
        <w:pageBreakBefore w:val="0"/>
        <w:widowControl w:val="0"/>
        <w:tabs>
          <w:tab w:val="right" w:leader="dot" w:pos="8312"/>
        </w:tabs>
        <w:kinsoku/>
        <w:wordWrap/>
        <w:overflowPunct/>
        <w:topLinePunct w:val="0"/>
        <w:autoSpaceDE/>
        <w:autoSpaceDN/>
        <w:bidi w:val="0"/>
        <w:adjustRightInd/>
        <w:snapToGrid/>
        <w:spacing w:before="0" w:beforeLines="0" w:after="0" w:afterLines="0" w:line="600" w:lineRule="exact"/>
        <w:ind w:left="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_Toc6007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32"/>
          <w:lang w:val="en-US" w:eastAsia="zh-CN"/>
        </w:rPr>
        <w:t>五、矿山地质环境防治工程</w:t>
      </w:r>
      <w:r>
        <w:rPr>
          <w:color w:val="auto"/>
        </w:rPr>
        <w:tab/>
      </w:r>
      <w:r>
        <w:rPr>
          <w:color w:val="auto"/>
        </w:rPr>
        <w:fldChar w:fldCharType="begin"/>
      </w:r>
      <w:r>
        <w:rPr>
          <w:color w:val="auto"/>
        </w:rPr>
        <w:instrText xml:space="preserve"> PAGEREF _Toc6007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color w:val="auto"/>
          <w:lang w:val="en-US" w:eastAsia="zh-CN"/>
        </w:rPr>
        <w:fldChar w:fldCharType="end"/>
      </w:r>
    </w:p>
    <w:p w14:paraId="3EF96BE1">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_Toc25591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（一）矿山地质环境治理区的确定</w:t>
      </w:r>
      <w:r>
        <w:rPr>
          <w:color w:val="auto"/>
        </w:rPr>
        <w:tab/>
      </w:r>
      <w:r>
        <w:rPr>
          <w:color w:val="auto"/>
        </w:rPr>
        <w:fldChar w:fldCharType="begin"/>
      </w:r>
      <w:r>
        <w:rPr>
          <w:color w:val="auto"/>
        </w:rPr>
        <w:instrText xml:space="preserve"> PAGEREF _Toc25591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color w:val="auto"/>
          <w:lang w:val="en-US" w:eastAsia="zh-CN"/>
        </w:rPr>
        <w:fldChar w:fldCharType="end"/>
      </w:r>
    </w:p>
    <w:p w14:paraId="0735802F">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_Toc32179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（二）矿山地质环境治理工程</w:t>
      </w:r>
      <w:r>
        <w:rPr>
          <w:color w:val="auto"/>
        </w:rPr>
        <w:tab/>
      </w:r>
      <w:r>
        <w:rPr>
          <w:color w:val="auto"/>
        </w:rPr>
        <w:fldChar w:fldCharType="begin"/>
      </w:r>
      <w:r>
        <w:rPr>
          <w:color w:val="auto"/>
        </w:rPr>
        <w:instrText xml:space="preserve"> PAGEREF _Toc32179 \h </w:instrText>
      </w:r>
      <w:r>
        <w:rPr>
          <w:color w:val="auto"/>
        </w:rPr>
        <w:fldChar w:fldCharType="separate"/>
      </w:r>
      <w:r>
        <w:rPr>
          <w:color w:val="auto"/>
        </w:rPr>
        <w:t>16</w:t>
      </w:r>
      <w:r>
        <w:rPr>
          <w:color w:val="auto"/>
        </w:rPr>
        <w:fldChar w:fldCharType="end"/>
      </w:r>
      <w:r>
        <w:rPr>
          <w:rFonts w:hint="default" w:ascii="Times New Roman" w:hAnsi="Times New Roman" w:eastAsia="宋体" w:cs="Times New Roman"/>
          <w:color w:val="auto"/>
          <w:lang w:val="en-US" w:eastAsia="zh-CN"/>
        </w:rPr>
        <w:fldChar w:fldCharType="end"/>
      </w:r>
    </w:p>
    <w:p w14:paraId="694A6D57">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_Toc30328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（三）矿山地质环境监测工程</w:t>
      </w:r>
      <w:r>
        <w:rPr>
          <w:color w:val="auto"/>
        </w:rPr>
        <w:tab/>
      </w:r>
      <w:r>
        <w:rPr>
          <w:color w:val="auto"/>
        </w:rPr>
        <w:fldChar w:fldCharType="begin"/>
      </w:r>
      <w:r>
        <w:rPr>
          <w:color w:val="auto"/>
        </w:rPr>
        <w:instrText xml:space="preserve"> PAGEREF _Toc30328 \h </w:instrText>
      </w:r>
      <w:r>
        <w:rPr>
          <w:color w:val="auto"/>
        </w:rPr>
        <w:fldChar w:fldCharType="separate"/>
      </w:r>
      <w:r>
        <w:rPr>
          <w:color w:val="auto"/>
        </w:rPr>
        <w:t>16</w:t>
      </w:r>
      <w:r>
        <w:rPr>
          <w:color w:val="auto"/>
        </w:rPr>
        <w:fldChar w:fldCharType="end"/>
      </w:r>
      <w:r>
        <w:rPr>
          <w:rFonts w:hint="default" w:ascii="Times New Roman" w:hAnsi="Times New Roman" w:eastAsia="宋体" w:cs="Times New Roman"/>
          <w:color w:val="auto"/>
          <w:lang w:val="en-US" w:eastAsia="zh-CN"/>
        </w:rPr>
        <w:fldChar w:fldCharType="end"/>
      </w:r>
    </w:p>
    <w:p w14:paraId="3CC7EB6E">
      <w:pPr>
        <w:pStyle w:val="9"/>
        <w:keepNext w:val="0"/>
        <w:keepLines w:val="0"/>
        <w:pageBreakBefore w:val="0"/>
        <w:widowControl w:val="0"/>
        <w:tabs>
          <w:tab w:val="right" w:leader="dot" w:pos="8312"/>
        </w:tabs>
        <w:kinsoku/>
        <w:wordWrap/>
        <w:overflowPunct/>
        <w:topLinePunct w:val="0"/>
        <w:autoSpaceDE/>
        <w:autoSpaceDN/>
        <w:bidi w:val="0"/>
        <w:adjustRightInd/>
        <w:snapToGrid/>
        <w:spacing w:before="0" w:beforeLines="0" w:after="0" w:afterLines="0" w:line="600" w:lineRule="exact"/>
        <w:ind w:left="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_Toc12079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32"/>
          <w:lang w:val="en-US" w:eastAsia="zh-CN"/>
        </w:rPr>
        <w:t>六、经费估算</w:t>
      </w:r>
      <w:r>
        <w:rPr>
          <w:color w:val="auto"/>
        </w:rPr>
        <w:tab/>
      </w:r>
      <w:r>
        <w:rPr>
          <w:color w:val="auto"/>
        </w:rPr>
        <w:fldChar w:fldCharType="begin"/>
      </w:r>
      <w:r>
        <w:rPr>
          <w:color w:val="auto"/>
        </w:rPr>
        <w:instrText xml:space="preserve"> PAGEREF _Toc12079 \h </w:instrText>
      </w:r>
      <w:r>
        <w:rPr>
          <w:color w:val="auto"/>
        </w:rPr>
        <w:fldChar w:fldCharType="separate"/>
      </w:r>
      <w:r>
        <w:rPr>
          <w:color w:val="auto"/>
        </w:rPr>
        <w:t>18</w:t>
      </w:r>
      <w:r>
        <w:rPr>
          <w:color w:val="auto"/>
        </w:rPr>
        <w:fldChar w:fldCharType="end"/>
      </w:r>
      <w:r>
        <w:rPr>
          <w:rFonts w:hint="default" w:ascii="Times New Roman" w:hAnsi="Times New Roman" w:eastAsia="宋体" w:cs="Times New Roman"/>
          <w:color w:val="auto"/>
          <w:lang w:val="en-US" w:eastAsia="zh-CN"/>
        </w:rPr>
        <w:fldChar w:fldCharType="end"/>
      </w:r>
    </w:p>
    <w:p w14:paraId="2EDCACCA">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_Toc32038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en-US" w:eastAsia="zh-CN"/>
        </w:rPr>
        <w:t>（一）估算说明</w:t>
      </w:r>
      <w:r>
        <w:rPr>
          <w:color w:val="auto"/>
        </w:rPr>
        <w:tab/>
      </w:r>
      <w:r>
        <w:rPr>
          <w:color w:val="auto"/>
        </w:rPr>
        <w:fldChar w:fldCharType="begin"/>
      </w:r>
      <w:r>
        <w:rPr>
          <w:color w:val="auto"/>
        </w:rPr>
        <w:instrText xml:space="preserve"> PAGEREF _Toc32038 \h </w:instrText>
      </w:r>
      <w:r>
        <w:rPr>
          <w:color w:val="auto"/>
        </w:rPr>
        <w:fldChar w:fldCharType="separate"/>
      </w:r>
      <w:r>
        <w:rPr>
          <w:color w:val="auto"/>
        </w:rPr>
        <w:t>18</w:t>
      </w:r>
      <w:r>
        <w:rPr>
          <w:color w:val="auto"/>
        </w:rPr>
        <w:fldChar w:fldCharType="end"/>
      </w:r>
      <w:r>
        <w:rPr>
          <w:rFonts w:hint="default" w:ascii="Times New Roman" w:hAnsi="Times New Roman" w:eastAsia="宋体" w:cs="Times New Roman"/>
          <w:color w:val="auto"/>
          <w:lang w:val="en-US" w:eastAsia="zh-CN"/>
        </w:rPr>
        <w:fldChar w:fldCharType="end"/>
      </w:r>
    </w:p>
    <w:p w14:paraId="7A38B4F9">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_Toc18269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zh-CN" w:eastAsia="zh-CN"/>
        </w:rPr>
        <w:t>（二）主要工程量</w:t>
      </w:r>
      <w:r>
        <w:rPr>
          <w:color w:val="auto"/>
        </w:rPr>
        <w:tab/>
      </w:r>
      <w:r>
        <w:rPr>
          <w:color w:val="auto"/>
        </w:rPr>
        <w:fldChar w:fldCharType="begin"/>
      </w:r>
      <w:r>
        <w:rPr>
          <w:color w:val="auto"/>
        </w:rPr>
        <w:instrText xml:space="preserve"> PAGEREF _Toc18269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color w:val="auto"/>
          <w:lang w:val="en-US" w:eastAsia="zh-CN"/>
        </w:rPr>
        <w:fldChar w:fldCharType="end"/>
      </w:r>
    </w:p>
    <w:p w14:paraId="3EF80BBD">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ind w:left="0" w:firstLine="480" w:firstLineChars="200"/>
        <w:textAlignment w:val="auto"/>
        <w:rPr>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_Toc14103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szCs w:val="28"/>
          <w:lang w:val="zh-CN" w:eastAsia="zh-CN"/>
        </w:rPr>
        <w:t>（三）估算结果</w:t>
      </w:r>
      <w:r>
        <w:rPr>
          <w:color w:val="auto"/>
        </w:rPr>
        <w:tab/>
      </w:r>
      <w:r>
        <w:rPr>
          <w:color w:val="auto"/>
        </w:rPr>
        <w:fldChar w:fldCharType="begin"/>
      </w:r>
      <w:r>
        <w:rPr>
          <w:color w:val="auto"/>
        </w:rPr>
        <w:instrText xml:space="preserve"> PAGEREF _Toc14103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color w:val="auto"/>
          <w:lang w:val="en-US" w:eastAsia="zh-CN"/>
        </w:rPr>
        <w:fldChar w:fldCharType="end"/>
      </w:r>
    </w:p>
    <w:p w14:paraId="221FE6A4">
      <w:pPr>
        <w:pStyle w:val="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end"/>
      </w:r>
    </w:p>
    <w:p w14:paraId="22A207CF">
      <w:pPr>
        <w:pStyle w:val="25"/>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cs="Times New Roman"/>
          <w:b/>
          <w:color w:val="auto"/>
          <w:sz w:val="24"/>
          <w:szCs w:val="24"/>
          <w:lang w:val="en-US" w:eastAsia="zh-CN"/>
        </w:rPr>
      </w:pPr>
      <w:r>
        <w:rPr>
          <w:rFonts w:hint="default" w:ascii="Times New Roman" w:hAnsi="Times New Roman" w:cs="Times New Roman"/>
          <w:b/>
          <w:color w:val="auto"/>
          <w:sz w:val="24"/>
          <w:szCs w:val="24"/>
          <w:lang w:val="en-US" w:eastAsia="zh-CN"/>
        </w:rPr>
        <w:t>附图：</w:t>
      </w:r>
    </w:p>
    <w:p w14:paraId="00D479CD">
      <w:pPr>
        <w:pStyle w:val="25"/>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bCs/>
          <w:color w:val="auto"/>
          <w:kern w:val="2"/>
          <w:sz w:val="24"/>
          <w:szCs w:val="24"/>
          <w:lang w:val="en-US" w:eastAsia="zh-CN"/>
        </w:rPr>
      </w:pPr>
      <w:r>
        <w:rPr>
          <w:rFonts w:hint="default" w:ascii="Times New Roman" w:hAnsi="Times New Roman" w:eastAsia="宋体" w:cs="Times New Roman"/>
          <w:bCs/>
          <w:color w:val="auto"/>
          <w:kern w:val="2"/>
          <w:sz w:val="24"/>
          <w:szCs w:val="24"/>
          <w:lang w:val="en-US" w:eastAsia="zh-CN"/>
        </w:rPr>
        <w:t>赤峰市松山区徐家窝铺冰洲石矿</w:t>
      </w:r>
      <w:r>
        <w:rPr>
          <w:rFonts w:hint="eastAsia" w:cs="Times New Roman"/>
          <w:bCs/>
          <w:color w:val="auto"/>
          <w:kern w:val="2"/>
          <w:sz w:val="24"/>
          <w:szCs w:val="24"/>
          <w:lang w:val="en-US" w:eastAsia="zh-CN"/>
        </w:rPr>
        <w:t>2024</w:t>
      </w:r>
      <w:r>
        <w:rPr>
          <w:rFonts w:hint="default" w:ascii="Times New Roman" w:hAnsi="Times New Roman" w:cs="Times New Roman"/>
          <w:bCs/>
          <w:color w:val="auto"/>
          <w:kern w:val="2"/>
          <w:sz w:val="24"/>
          <w:szCs w:val="24"/>
          <w:lang w:val="en-US" w:eastAsia="zh-CN"/>
        </w:rPr>
        <w:t>年度矿山地质环境治理工程部署图</w:t>
      </w:r>
    </w:p>
    <w:p w14:paraId="0688E75C">
      <w:pPr>
        <w:pStyle w:val="25"/>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6720" w:firstLineChars="28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Cs/>
          <w:color w:val="auto"/>
          <w:kern w:val="2"/>
          <w:sz w:val="24"/>
          <w:szCs w:val="24"/>
          <w:lang w:val="en-US" w:eastAsia="zh-CN"/>
        </w:rPr>
        <w:t>比例尺1:2000</w:t>
      </w:r>
    </w:p>
    <w:p w14:paraId="71E95526">
      <w:pPr>
        <w:rPr>
          <w:rFonts w:hint="default"/>
          <w:color w:val="auto"/>
        </w:rPr>
        <w:sectPr>
          <w:footerReference r:id="rId7" w:type="default"/>
          <w:pgSz w:w="11906" w:h="16838"/>
          <w:pgMar w:top="1440" w:right="1797" w:bottom="1440" w:left="1797" w:header="851" w:footer="992" w:gutter="0"/>
          <w:pgNumType w:fmt="decimal"/>
          <w:cols w:space="720" w:num="1"/>
          <w:docGrid w:linePitch="326" w:charSpace="0"/>
        </w:sectPr>
      </w:pPr>
    </w:p>
    <w:p w14:paraId="6CBE780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宋体" w:cs="Times New Roman"/>
          <w:b/>
          <w:bCs/>
          <w:color w:val="auto"/>
          <w:sz w:val="36"/>
          <w:szCs w:val="36"/>
          <w:lang w:val="en-US" w:eastAsia="zh-CN"/>
        </w:rPr>
      </w:pPr>
      <w:bookmarkStart w:id="0" w:name="_Toc5538"/>
      <w:bookmarkStart w:id="1" w:name="_Toc29382"/>
      <w:bookmarkStart w:id="2" w:name="_Toc11328"/>
      <w:bookmarkStart w:id="3" w:name="_Toc20745"/>
      <w:bookmarkStart w:id="4" w:name="_Toc31071"/>
      <w:r>
        <w:rPr>
          <w:rFonts w:hint="default" w:ascii="Times New Roman" w:hAnsi="Times New Roman" w:eastAsia="宋体" w:cs="Times New Roman"/>
          <w:b/>
          <w:bCs/>
          <w:color w:val="auto"/>
          <w:sz w:val="32"/>
          <w:szCs w:val="32"/>
          <w:lang w:val="en-US" w:eastAsia="zh-CN"/>
        </w:rPr>
        <w:t>一、矿山基本情况</w:t>
      </w:r>
      <w:bookmarkEnd w:id="0"/>
      <w:bookmarkEnd w:id="1"/>
      <w:bookmarkEnd w:id="2"/>
      <w:bookmarkEnd w:id="3"/>
      <w:bookmarkEnd w:id="4"/>
    </w:p>
    <w:p w14:paraId="5C1461D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黑体" w:cs="Times New Roman"/>
          <w:b w:val="0"/>
          <w:bCs w:val="0"/>
          <w:color w:val="auto"/>
          <w:sz w:val="24"/>
          <w:szCs w:val="24"/>
          <w:lang w:val="en-US" w:eastAsia="zh-CN"/>
        </w:rPr>
        <w:t>矿山基本情况表</w:t>
      </w:r>
    </w:p>
    <w:tbl>
      <w:tblPr>
        <w:tblStyle w:val="13"/>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387"/>
        <w:gridCol w:w="1815"/>
        <w:gridCol w:w="728"/>
        <w:gridCol w:w="870"/>
        <w:gridCol w:w="2220"/>
      </w:tblGrid>
      <w:tr w14:paraId="0776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24" w:type="dxa"/>
            <w:gridSpan w:val="6"/>
            <w:vAlign w:val="center"/>
          </w:tcPr>
          <w:p w14:paraId="06F74939">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矿山企业基本信息</w:t>
            </w:r>
          </w:p>
        </w:tc>
      </w:tr>
      <w:tr w14:paraId="6247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572DD89D">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矿山名称</w:t>
            </w:r>
          </w:p>
        </w:tc>
        <w:tc>
          <w:tcPr>
            <w:tcW w:w="7020" w:type="dxa"/>
            <w:gridSpan w:val="5"/>
            <w:vAlign w:val="center"/>
          </w:tcPr>
          <w:p w14:paraId="23D31AF9">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Cs/>
                <w:color w:val="auto"/>
                <w:kern w:val="2"/>
                <w:sz w:val="21"/>
                <w:szCs w:val="21"/>
                <w:lang w:val="en-US" w:eastAsia="zh-CN"/>
              </w:rPr>
              <w:t>赤峰矿业（集团）有限责任公司赤峰市松山区徐家窝铺冰洲石矿</w:t>
            </w:r>
          </w:p>
        </w:tc>
      </w:tr>
      <w:tr w14:paraId="5092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09F4D590">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采矿权人</w:t>
            </w:r>
          </w:p>
        </w:tc>
        <w:tc>
          <w:tcPr>
            <w:tcW w:w="3202" w:type="dxa"/>
            <w:gridSpan w:val="2"/>
            <w:vAlign w:val="center"/>
          </w:tcPr>
          <w:p w14:paraId="2EDBB429">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Cs/>
                <w:color w:val="auto"/>
                <w:kern w:val="2"/>
                <w:sz w:val="21"/>
                <w:szCs w:val="21"/>
                <w:lang w:eastAsia="zh-CN"/>
              </w:rPr>
              <w:t>赤峰矿业（集团）有限责任公司</w:t>
            </w:r>
          </w:p>
        </w:tc>
        <w:tc>
          <w:tcPr>
            <w:tcW w:w="1598" w:type="dxa"/>
            <w:gridSpan w:val="2"/>
            <w:vAlign w:val="center"/>
          </w:tcPr>
          <w:p w14:paraId="007EA8FA">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法人代表</w:t>
            </w:r>
          </w:p>
        </w:tc>
        <w:tc>
          <w:tcPr>
            <w:tcW w:w="2220" w:type="dxa"/>
            <w:vAlign w:val="center"/>
          </w:tcPr>
          <w:p w14:paraId="55B71D1C">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zh-CN"/>
              </w:rPr>
              <w:t>夏景图</w:t>
            </w:r>
          </w:p>
        </w:tc>
      </w:tr>
      <w:tr w14:paraId="2723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262E8C0C">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采矿许可证号</w:t>
            </w:r>
          </w:p>
        </w:tc>
        <w:tc>
          <w:tcPr>
            <w:tcW w:w="3202" w:type="dxa"/>
            <w:gridSpan w:val="2"/>
            <w:vAlign w:val="center"/>
          </w:tcPr>
          <w:p w14:paraId="3D48D276">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
              </w:rPr>
              <w:t>C1504002015066130138765</w:t>
            </w:r>
          </w:p>
        </w:tc>
        <w:tc>
          <w:tcPr>
            <w:tcW w:w="1598" w:type="dxa"/>
            <w:gridSpan w:val="2"/>
            <w:vAlign w:val="center"/>
          </w:tcPr>
          <w:p w14:paraId="3C0C8615">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发证机关</w:t>
            </w:r>
          </w:p>
        </w:tc>
        <w:tc>
          <w:tcPr>
            <w:tcW w:w="2220" w:type="dxa"/>
            <w:vAlign w:val="center"/>
          </w:tcPr>
          <w:p w14:paraId="5C80290A">
            <w:pPr>
              <w:pStyle w:val="27"/>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sz w:val="21"/>
                <w:szCs w:val="21"/>
                <w:lang w:val="en-US" w:eastAsia="zh-CN"/>
              </w:rPr>
              <w:t>赤峰市自然资源局</w:t>
            </w:r>
          </w:p>
        </w:tc>
      </w:tr>
      <w:tr w14:paraId="0476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shd w:val="clear" w:color="auto" w:fill="auto"/>
            <w:vAlign w:val="center"/>
          </w:tcPr>
          <w:p w14:paraId="2DA09267">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有效期限</w:t>
            </w:r>
          </w:p>
        </w:tc>
        <w:tc>
          <w:tcPr>
            <w:tcW w:w="3202" w:type="dxa"/>
            <w:gridSpan w:val="2"/>
            <w:shd w:val="clear" w:color="auto" w:fill="auto"/>
            <w:vAlign w:val="center"/>
          </w:tcPr>
          <w:p w14:paraId="168C5A72">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lang w:val="en-US" w:eastAsia="zh-CN"/>
              </w:rPr>
              <w:t>2018.6.29-2025.12.29</w:t>
            </w:r>
          </w:p>
        </w:tc>
        <w:tc>
          <w:tcPr>
            <w:tcW w:w="1598" w:type="dxa"/>
            <w:gridSpan w:val="2"/>
            <w:shd w:val="clear" w:color="auto" w:fill="auto"/>
            <w:vAlign w:val="center"/>
          </w:tcPr>
          <w:p w14:paraId="2F45446B">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发证日期</w:t>
            </w:r>
          </w:p>
        </w:tc>
        <w:tc>
          <w:tcPr>
            <w:tcW w:w="2220" w:type="dxa"/>
            <w:shd w:val="clear" w:color="auto" w:fill="auto"/>
            <w:vAlign w:val="center"/>
          </w:tcPr>
          <w:p w14:paraId="3DCBA109">
            <w:pPr>
              <w:pStyle w:val="27"/>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2024.8.29</w:t>
            </w:r>
          </w:p>
        </w:tc>
      </w:tr>
      <w:tr w14:paraId="0597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6039B968">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矿区地址</w:t>
            </w:r>
          </w:p>
        </w:tc>
        <w:tc>
          <w:tcPr>
            <w:tcW w:w="7020" w:type="dxa"/>
            <w:gridSpan w:val="5"/>
            <w:vAlign w:val="center"/>
          </w:tcPr>
          <w:p w14:paraId="06AC7A6D">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rPr>
              <w:t>赤峰市松山区大庙镇孙营子村</w:t>
            </w:r>
          </w:p>
        </w:tc>
      </w:tr>
      <w:tr w14:paraId="5B3A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7D4F3FBB">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经纬度坐标</w:t>
            </w:r>
          </w:p>
        </w:tc>
        <w:tc>
          <w:tcPr>
            <w:tcW w:w="7020" w:type="dxa"/>
            <w:gridSpan w:val="5"/>
            <w:vAlign w:val="center"/>
          </w:tcPr>
          <w:p w14:paraId="58117C5D">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东经118°13′07″～118°14′23″，北纬42°20′27″～42°21′43″</w:t>
            </w:r>
          </w:p>
        </w:tc>
      </w:tr>
      <w:tr w14:paraId="35F4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2E39C606">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经济类型</w:t>
            </w:r>
          </w:p>
        </w:tc>
        <w:tc>
          <w:tcPr>
            <w:tcW w:w="3202" w:type="dxa"/>
            <w:gridSpan w:val="2"/>
            <w:vAlign w:val="center"/>
          </w:tcPr>
          <w:p w14:paraId="6E55CD33">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有限责任公司</w:t>
            </w:r>
          </w:p>
        </w:tc>
        <w:tc>
          <w:tcPr>
            <w:tcW w:w="1598" w:type="dxa"/>
            <w:gridSpan w:val="2"/>
            <w:vAlign w:val="center"/>
          </w:tcPr>
          <w:p w14:paraId="7B921049">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生产规模</w:t>
            </w:r>
          </w:p>
        </w:tc>
        <w:tc>
          <w:tcPr>
            <w:tcW w:w="2220" w:type="dxa"/>
            <w:vAlign w:val="center"/>
          </w:tcPr>
          <w:p w14:paraId="2088D042">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小型</w:t>
            </w:r>
          </w:p>
        </w:tc>
      </w:tr>
      <w:tr w14:paraId="3AE0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4AF2FE21">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开采矿种</w:t>
            </w:r>
          </w:p>
        </w:tc>
        <w:tc>
          <w:tcPr>
            <w:tcW w:w="3202" w:type="dxa"/>
            <w:gridSpan w:val="2"/>
            <w:vAlign w:val="center"/>
          </w:tcPr>
          <w:p w14:paraId="5AAC67B2">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Cs/>
                <w:color w:val="auto"/>
                <w:kern w:val="2"/>
                <w:sz w:val="21"/>
                <w:szCs w:val="21"/>
                <w:lang w:val="en-US" w:eastAsia="zh-CN"/>
              </w:rPr>
              <w:t>冰洲石</w:t>
            </w:r>
          </w:p>
        </w:tc>
        <w:tc>
          <w:tcPr>
            <w:tcW w:w="1598" w:type="dxa"/>
            <w:gridSpan w:val="2"/>
            <w:vAlign w:val="center"/>
          </w:tcPr>
          <w:p w14:paraId="172CA6A8">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采矿方式</w:t>
            </w:r>
          </w:p>
        </w:tc>
        <w:tc>
          <w:tcPr>
            <w:tcW w:w="2220" w:type="dxa"/>
            <w:vAlign w:val="center"/>
          </w:tcPr>
          <w:p w14:paraId="24BE926C">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露天开采</w:t>
            </w:r>
          </w:p>
        </w:tc>
      </w:tr>
      <w:tr w14:paraId="416C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6BCB7142">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矿区面积</w:t>
            </w:r>
          </w:p>
        </w:tc>
        <w:tc>
          <w:tcPr>
            <w:tcW w:w="3202" w:type="dxa"/>
            <w:gridSpan w:val="2"/>
            <w:vAlign w:val="center"/>
          </w:tcPr>
          <w:p w14:paraId="1743BB31">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3.9480</w:t>
            </w: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rPr>
              <w:t>2</w:t>
            </w:r>
          </w:p>
        </w:tc>
        <w:tc>
          <w:tcPr>
            <w:tcW w:w="1598" w:type="dxa"/>
            <w:gridSpan w:val="2"/>
            <w:vAlign w:val="center"/>
          </w:tcPr>
          <w:p w14:paraId="1C8E9A7C">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生产现状</w:t>
            </w:r>
          </w:p>
        </w:tc>
        <w:tc>
          <w:tcPr>
            <w:tcW w:w="2220" w:type="dxa"/>
            <w:vAlign w:val="center"/>
          </w:tcPr>
          <w:p w14:paraId="2C8A0D27">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14:paraId="05A3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207D78B8">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建矿时间</w:t>
            </w:r>
          </w:p>
        </w:tc>
        <w:tc>
          <w:tcPr>
            <w:tcW w:w="3202" w:type="dxa"/>
            <w:gridSpan w:val="2"/>
            <w:vAlign w:val="center"/>
          </w:tcPr>
          <w:p w14:paraId="72B95BA4">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尚未建设</w:t>
            </w:r>
          </w:p>
        </w:tc>
        <w:tc>
          <w:tcPr>
            <w:tcW w:w="1598" w:type="dxa"/>
            <w:gridSpan w:val="2"/>
            <w:vAlign w:val="center"/>
          </w:tcPr>
          <w:p w14:paraId="3B424C1E">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设计生产能力</w:t>
            </w:r>
          </w:p>
        </w:tc>
        <w:tc>
          <w:tcPr>
            <w:tcW w:w="2220" w:type="dxa"/>
            <w:vAlign w:val="center"/>
          </w:tcPr>
          <w:p w14:paraId="7B38379B">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0.5</w:t>
            </w:r>
            <w:r>
              <w:rPr>
                <w:rFonts w:hint="default" w:ascii="Times New Roman" w:hAnsi="Times New Roman" w:eastAsia="宋体" w:cs="Times New Roman"/>
                <w:b w:val="0"/>
                <w:color w:val="auto"/>
                <w:sz w:val="21"/>
                <w:szCs w:val="21"/>
              </w:rPr>
              <w:t>×10</w:t>
            </w:r>
            <w:r>
              <w:rPr>
                <w:rFonts w:hint="default" w:ascii="Times New Roman" w:hAnsi="Times New Roman" w:eastAsia="宋体" w:cs="Times New Roman"/>
                <w:b w:val="0"/>
                <w:color w:val="auto"/>
                <w:sz w:val="21"/>
                <w:szCs w:val="21"/>
                <w:vertAlign w:val="superscript"/>
              </w:rPr>
              <w:t>4</w:t>
            </w:r>
            <w:r>
              <w:rPr>
                <w:rFonts w:hint="default" w:ascii="Times New Roman" w:hAnsi="Times New Roman" w:eastAsia="宋体" w:cs="Times New Roman"/>
                <w:b w:val="0"/>
                <w:bCs w:val="0"/>
                <w:color w:val="auto"/>
                <w:sz w:val="21"/>
                <w:szCs w:val="21"/>
                <w:vertAlign w:val="baseline"/>
                <w:lang w:val="en-US" w:eastAsia="zh-CN"/>
              </w:rPr>
              <w:t>t/a</w:t>
            </w:r>
          </w:p>
        </w:tc>
      </w:tr>
      <w:tr w14:paraId="1193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377FCE5B">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设计服务年限</w:t>
            </w:r>
          </w:p>
        </w:tc>
        <w:tc>
          <w:tcPr>
            <w:tcW w:w="3202" w:type="dxa"/>
            <w:gridSpan w:val="2"/>
            <w:vAlign w:val="center"/>
          </w:tcPr>
          <w:p w14:paraId="1972F99D">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b w:val="0"/>
                <w:bCs w:val="0"/>
                <w:color w:val="auto"/>
                <w:sz w:val="21"/>
                <w:szCs w:val="21"/>
                <w:vertAlign w:val="baseline"/>
                <w:lang w:val="en-US" w:eastAsia="zh-CN"/>
              </w:rPr>
              <w:t>年</w:t>
            </w:r>
          </w:p>
        </w:tc>
        <w:tc>
          <w:tcPr>
            <w:tcW w:w="1598" w:type="dxa"/>
            <w:gridSpan w:val="2"/>
            <w:vAlign w:val="center"/>
          </w:tcPr>
          <w:p w14:paraId="504F106D">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实际生产能力</w:t>
            </w:r>
          </w:p>
        </w:tc>
        <w:tc>
          <w:tcPr>
            <w:tcW w:w="2220" w:type="dxa"/>
            <w:vAlign w:val="center"/>
          </w:tcPr>
          <w:p w14:paraId="52A25592">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w:t>
            </w:r>
          </w:p>
        </w:tc>
      </w:tr>
      <w:tr w14:paraId="6EA8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118B013E">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剩余服务年限</w:t>
            </w:r>
          </w:p>
        </w:tc>
        <w:tc>
          <w:tcPr>
            <w:tcW w:w="3202" w:type="dxa"/>
            <w:gridSpan w:val="2"/>
            <w:vAlign w:val="center"/>
          </w:tcPr>
          <w:p w14:paraId="05E5135A">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b w:val="0"/>
                <w:bCs w:val="0"/>
                <w:color w:val="auto"/>
                <w:sz w:val="21"/>
                <w:szCs w:val="21"/>
                <w:vertAlign w:val="baseline"/>
                <w:lang w:val="en-US" w:eastAsia="zh-CN"/>
              </w:rPr>
              <w:t>年</w:t>
            </w:r>
          </w:p>
        </w:tc>
        <w:tc>
          <w:tcPr>
            <w:tcW w:w="1598" w:type="dxa"/>
            <w:gridSpan w:val="2"/>
            <w:vAlign w:val="center"/>
          </w:tcPr>
          <w:p w14:paraId="5CDABA39">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开采深度</w:t>
            </w:r>
          </w:p>
        </w:tc>
        <w:tc>
          <w:tcPr>
            <w:tcW w:w="2220" w:type="dxa"/>
            <w:vAlign w:val="center"/>
          </w:tcPr>
          <w:p w14:paraId="13C52891">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1340</w:t>
            </w:r>
            <w:r>
              <w:rPr>
                <w:rFonts w:hint="default" w:ascii="Times New Roman" w:hAnsi="Times New Roman" w:eastAsia="宋体" w:cs="Times New Roman"/>
                <w:color w:val="auto"/>
                <w:kern w:val="0"/>
                <w:sz w:val="21"/>
                <w:szCs w:val="21"/>
              </w:rPr>
              <w:t>m至</w:t>
            </w:r>
            <w:r>
              <w:rPr>
                <w:rFonts w:hint="default" w:ascii="Times New Roman" w:hAnsi="Times New Roman" w:eastAsia="宋体" w:cs="Times New Roman"/>
                <w:color w:val="auto"/>
                <w:kern w:val="0"/>
                <w:sz w:val="21"/>
                <w:szCs w:val="21"/>
                <w:lang w:val="en-US" w:eastAsia="zh-CN"/>
              </w:rPr>
              <w:t>860</w:t>
            </w:r>
            <w:r>
              <w:rPr>
                <w:rFonts w:hint="default" w:ascii="Times New Roman" w:hAnsi="Times New Roman" w:eastAsia="宋体" w:cs="Times New Roman"/>
                <w:color w:val="auto"/>
                <w:kern w:val="0"/>
                <w:sz w:val="21"/>
                <w:szCs w:val="21"/>
              </w:rPr>
              <w:t>m</w:t>
            </w:r>
          </w:p>
        </w:tc>
      </w:tr>
      <w:tr w14:paraId="54E9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2FDCD9EA">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查明资源储量</w:t>
            </w:r>
          </w:p>
        </w:tc>
        <w:tc>
          <w:tcPr>
            <w:tcW w:w="3202" w:type="dxa"/>
            <w:gridSpan w:val="2"/>
            <w:vAlign w:val="center"/>
          </w:tcPr>
          <w:p w14:paraId="3C492EE1">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color w:val="auto"/>
                <w:sz w:val="21"/>
                <w:szCs w:val="21"/>
                <w:lang w:val="en-US" w:eastAsia="zh-CN"/>
              </w:rPr>
              <w:t>5.56</w:t>
            </w:r>
            <w:r>
              <w:rPr>
                <w:rFonts w:hint="default" w:ascii="Times New Roman" w:hAnsi="Times New Roman" w:eastAsia="宋体" w:cs="Times New Roman"/>
                <w:b w:val="0"/>
                <w:color w:val="auto"/>
                <w:sz w:val="21"/>
                <w:szCs w:val="21"/>
              </w:rPr>
              <w:t>×10</w:t>
            </w:r>
            <w:r>
              <w:rPr>
                <w:rFonts w:hint="default" w:ascii="Times New Roman" w:hAnsi="Times New Roman" w:eastAsia="宋体" w:cs="Times New Roman"/>
                <w:b w:val="0"/>
                <w:color w:val="auto"/>
                <w:sz w:val="21"/>
                <w:szCs w:val="21"/>
                <w:vertAlign w:val="superscript"/>
              </w:rPr>
              <w:t>4</w:t>
            </w:r>
            <w:r>
              <w:rPr>
                <w:rFonts w:hint="default" w:ascii="Times New Roman" w:hAnsi="Times New Roman" w:eastAsia="宋体" w:cs="Times New Roman"/>
                <w:b w:val="0"/>
                <w:color w:val="auto"/>
                <w:sz w:val="21"/>
                <w:szCs w:val="21"/>
                <w:lang w:val="en-US" w:eastAsia="zh-CN"/>
              </w:rPr>
              <w:t>t</w:t>
            </w:r>
          </w:p>
        </w:tc>
        <w:tc>
          <w:tcPr>
            <w:tcW w:w="1598" w:type="dxa"/>
            <w:gridSpan w:val="2"/>
            <w:vAlign w:val="center"/>
          </w:tcPr>
          <w:p w14:paraId="4A41D52E">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剩余资源储量</w:t>
            </w:r>
          </w:p>
        </w:tc>
        <w:tc>
          <w:tcPr>
            <w:tcW w:w="2220" w:type="dxa"/>
            <w:vAlign w:val="center"/>
          </w:tcPr>
          <w:p w14:paraId="44368244">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color w:val="auto"/>
                <w:sz w:val="21"/>
                <w:szCs w:val="21"/>
                <w:lang w:val="en-US" w:eastAsia="zh-CN"/>
              </w:rPr>
              <w:t>5.56</w:t>
            </w:r>
            <w:r>
              <w:rPr>
                <w:rFonts w:hint="default" w:ascii="Times New Roman" w:hAnsi="Times New Roman" w:eastAsia="宋体" w:cs="Times New Roman"/>
                <w:b w:val="0"/>
                <w:color w:val="auto"/>
                <w:sz w:val="21"/>
                <w:szCs w:val="21"/>
              </w:rPr>
              <w:t>×10</w:t>
            </w:r>
            <w:r>
              <w:rPr>
                <w:rFonts w:hint="default" w:ascii="Times New Roman" w:hAnsi="Times New Roman" w:eastAsia="宋体" w:cs="Times New Roman"/>
                <w:b w:val="0"/>
                <w:color w:val="auto"/>
                <w:sz w:val="21"/>
                <w:szCs w:val="21"/>
                <w:vertAlign w:val="superscript"/>
              </w:rPr>
              <w:t>4</w:t>
            </w:r>
            <w:r>
              <w:rPr>
                <w:rFonts w:hint="default" w:ascii="Times New Roman" w:hAnsi="Times New Roman" w:eastAsia="宋体" w:cs="Times New Roman"/>
                <w:b w:val="0"/>
                <w:color w:val="auto"/>
                <w:sz w:val="21"/>
                <w:szCs w:val="21"/>
                <w:lang w:val="en-US" w:eastAsia="zh-CN"/>
              </w:rPr>
              <w:t>t</w:t>
            </w:r>
          </w:p>
        </w:tc>
      </w:tr>
      <w:tr w14:paraId="3679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Merge w:val="restart"/>
            <w:vAlign w:val="center"/>
          </w:tcPr>
          <w:p w14:paraId="4E7CF148">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矿区范围</w:t>
            </w:r>
          </w:p>
          <w:p w14:paraId="781CABCF">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拐点坐标</w:t>
            </w:r>
          </w:p>
          <w:p w14:paraId="7DDE1D6E">
            <w:pPr>
              <w:pStyle w:val="2"/>
              <w:keepNext w:val="0"/>
              <w:keepLines w:val="0"/>
              <w:suppressLineNumbers w:val="0"/>
              <w:spacing w:before="0" w:beforeAutospacing="0" w:after="0" w:afterAutospacing="0"/>
              <w:ind w:left="0" w:right="0"/>
              <w:jc w:val="both"/>
              <w:rPr>
                <w:rFonts w:hint="default" w:ascii="Times New Roman" w:hAnsi="Times New Roman" w:cs="Times New Roman"/>
                <w:color w:val="auto"/>
                <w:kern w:val="2"/>
                <w:lang w:val="en-US" w:eastAsia="zh-CN"/>
              </w:rPr>
            </w:pPr>
            <w:r>
              <w:rPr>
                <w:rFonts w:hint="default" w:ascii="Times New Roman" w:hAnsi="Times New Roman" w:cs="Times New Roman" w:eastAsiaTheme="minorEastAsia"/>
                <w:color w:val="auto"/>
                <w:kern w:val="2"/>
                <w:sz w:val="18"/>
                <w:szCs w:val="18"/>
                <w:lang w:val="en-US" w:eastAsia="zh-CN" w:bidi="ar-SA"/>
              </w:rPr>
              <w:t>（引自采矿权设置文件）</w:t>
            </w:r>
          </w:p>
        </w:tc>
        <w:tc>
          <w:tcPr>
            <w:tcW w:w="7020" w:type="dxa"/>
            <w:gridSpan w:val="5"/>
            <w:vAlign w:val="center"/>
          </w:tcPr>
          <w:p w14:paraId="7BAE9102">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2000国家大地坐标系</w:t>
            </w:r>
          </w:p>
        </w:tc>
      </w:tr>
      <w:tr w14:paraId="7F6B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Merge w:val="continue"/>
            <w:vAlign w:val="center"/>
          </w:tcPr>
          <w:p w14:paraId="1149497F">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rPr>
            </w:pPr>
          </w:p>
        </w:tc>
        <w:tc>
          <w:tcPr>
            <w:tcW w:w="1387" w:type="dxa"/>
            <w:vAlign w:val="center"/>
          </w:tcPr>
          <w:p w14:paraId="12CDE30E">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拐点编号</w:t>
            </w:r>
          </w:p>
        </w:tc>
        <w:tc>
          <w:tcPr>
            <w:tcW w:w="2543" w:type="dxa"/>
            <w:gridSpan w:val="2"/>
            <w:vAlign w:val="center"/>
          </w:tcPr>
          <w:p w14:paraId="41E36981">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3090" w:type="dxa"/>
            <w:gridSpan w:val="2"/>
            <w:vAlign w:val="center"/>
          </w:tcPr>
          <w:p w14:paraId="121B0784">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Y</w:t>
            </w:r>
          </w:p>
        </w:tc>
      </w:tr>
      <w:tr w14:paraId="7823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Merge w:val="continue"/>
            <w:vAlign w:val="center"/>
          </w:tcPr>
          <w:p w14:paraId="75907DBE">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vertAlign w:val="baseline"/>
                <w:lang w:val="en-US" w:eastAsia="zh-CN"/>
              </w:rPr>
            </w:pPr>
          </w:p>
        </w:tc>
        <w:tc>
          <w:tcPr>
            <w:tcW w:w="1387" w:type="dxa"/>
            <w:vAlign w:val="center"/>
          </w:tcPr>
          <w:p w14:paraId="2F7C75B0">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2543" w:type="dxa"/>
            <w:gridSpan w:val="2"/>
            <w:vAlign w:val="center"/>
          </w:tcPr>
          <w:p w14:paraId="3AA08CD3">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4690257.5612</w:t>
            </w:r>
          </w:p>
        </w:tc>
        <w:tc>
          <w:tcPr>
            <w:tcW w:w="3090" w:type="dxa"/>
            <w:gridSpan w:val="2"/>
            <w:vAlign w:val="center"/>
          </w:tcPr>
          <w:p w14:paraId="1D2CE71E">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39600549.6856</w:t>
            </w:r>
          </w:p>
        </w:tc>
      </w:tr>
      <w:tr w14:paraId="6798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Merge w:val="continue"/>
            <w:vAlign w:val="center"/>
          </w:tcPr>
          <w:p w14:paraId="371352AD">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vertAlign w:val="baseline"/>
                <w:lang w:val="en-US" w:eastAsia="zh-CN"/>
              </w:rPr>
            </w:pPr>
          </w:p>
        </w:tc>
        <w:tc>
          <w:tcPr>
            <w:tcW w:w="1387" w:type="dxa"/>
            <w:vAlign w:val="center"/>
          </w:tcPr>
          <w:p w14:paraId="54A9F65F">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2543" w:type="dxa"/>
            <w:gridSpan w:val="2"/>
            <w:vAlign w:val="center"/>
          </w:tcPr>
          <w:p w14:paraId="1DF70081">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4692572.5678</w:t>
            </w:r>
          </w:p>
        </w:tc>
        <w:tc>
          <w:tcPr>
            <w:tcW w:w="3090" w:type="dxa"/>
            <w:gridSpan w:val="2"/>
            <w:vAlign w:val="center"/>
          </w:tcPr>
          <w:p w14:paraId="067A2273">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39600561.6822</w:t>
            </w:r>
          </w:p>
        </w:tc>
      </w:tr>
      <w:tr w14:paraId="34E7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Merge w:val="continue"/>
            <w:vAlign w:val="center"/>
          </w:tcPr>
          <w:p w14:paraId="498DA064">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vertAlign w:val="baseline"/>
                <w:lang w:val="en-US" w:eastAsia="zh-CN"/>
              </w:rPr>
            </w:pPr>
          </w:p>
        </w:tc>
        <w:tc>
          <w:tcPr>
            <w:tcW w:w="1387" w:type="dxa"/>
            <w:vAlign w:val="center"/>
          </w:tcPr>
          <w:p w14:paraId="6EC11D97">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2543" w:type="dxa"/>
            <w:gridSpan w:val="2"/>
            <w:vAlign w:val="center"/>
          </w:tcPr>
          <w:p w14:paraId="31783A5A">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4692566.5706</w:t>
            </w:r>
          </w:p>
        </w:tc>
        <w:tc>
          <w:tcPr>
            <w:tcW w:w="3090" w:type="dxa"/>
            <w:gridSpan w:val="2"/>
            <w:vAlign w:val="center"/>
          </w:tcPr>
          <w:p w14:paraId="2B1A881C">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39602255.6878</w:t>
            </w:r>
          </w:p>
        </w:tc>
      </w:tr>
      <w:tr w14:paraId="0136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Merge w:val="continue"/>
            <w:vAlign w:val="center"/>
          </w:tcPr>
          <w:p w14:paraId="1F85FA03">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vertAlign w:val="baseline"/>
                <w:lang w:val="en-US" w:eastAsia="zh-CN"/>
              </w:rPr>
            </w:pPr>
          </w:p>
        </w:tc>
        <w:tc>
          <w:tcPr>
            <w:tcW w:w="1387" w:type="dxa"/>
            <w:vAlign w:val="center"/>
          </w:tcPr>
          <w:p w14:paraId="4F55A627">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2543" w:type="dxa"/>
            <w:gridSpan w:val="2"/>
            <w:vAlign w:val="center"/>
          </w:tcPr>
          <w:p w14:paraId="75797163">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4690251.5636</w:t>
            </w:r>
          </w:p>
        </w:tc>
        <w:tc>
          <w:tcPr>
            <w:tcW w:w="3090" w:type="dxa"/>
            <w:gridSpan w:val="2"/>
            <w:vAlign w:val="center"/>
          </w:tcPr>
          <w:p w14:paraId="0A6821B6">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39602266.6913</w:t>
            </w:r>
          </w:p>
        </w:tc>
      </w:tr>
      <w:tr w14:paraId="7DCB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50FA63AE">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基金计提</w:t>
            </w:r>
          </w:p>
        </w:tc>
        <w:tc>
          <w:tcPr>
            <w:tcW w:w="3202" w:type="dxa"/>
            <w:gridSpan w:val="2"/>
            <w:vAlign w:val="center"/>
          </w:tcPr>
          <w:p w14:paraId="5F703F22">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w:t>
            </w:r>
          </w:p>
        </w:tc>
        <w:tc>
          <w:tcPr>
            <w:tcW w:w="1598" w:type="dxa"/>
            <w:gridSpan w:val="2"/>
            <w:vAlign w:val="center"/>
          </w:tcPr>
          <w:p w14:paraId="55C92781">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基金使用</w:t>
            </w:r>
          </w:p>
        </w:tc>
        <w:tc>
          <w:tcPr>
            <w:tcW w:w="2220" w:type="dxa"/>
            <w:vAlign w:val="center"/>
          </w:tcPr>
          <w:p w14:paraId="7231957F">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w:t>
            </w:r>
          </w:p>
        </w:tc>
      </w:tr>
      <w:tr w14:paraId="1ED1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24" w:type="dxa"/>
            <w:gridSpan w:val="6"/>
            <w:vAlign w:val="center"/>
          </w:tcPr>
          <w:p w14:paraId="5B0B43F5">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矿山企业联系方式</w:t>
            </w:r>
          </w:p>
        </w:tc>
      </w:tr>
      <w:tr w14:paraId="6710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7BF46D2D">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联系人</w:t>
            </w:r>
          </w:p>
        </w:tc>
        <w:tc>
          <w:tcPr>
            <w:tcW w:w="3202" w:type="dxa"/>
            <w:gridSpan w:val="2"/>
            <w:vAlign w:val="center"/>
          </w:tcPr>
          <w:p w14:paraId="346A3AAD">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车璐飞</w:t>
            </w:r>
          </w:p>
        </w:tc>
        <w:tc>
          <w:tcPr>
            <w:tcW w:w="1598" w:type="dxa"/>
            <w:gridSpan w:val="2"/>
            <w:vAlign w:val="center"/>
          </w:tcPr>
          <w:p w14:paraId="72065CAC">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手机号</w:t>
            </w:r>
          </w:p>
        </w:tc>
        <w:tc>
          <w:tcPr>
            <w:tcW w:w="2220" w:type="dxa"/>
            <w:vAlign w:val="center"/>
          </w:tcPr>
          <w:p w14:paraId="51FA9190">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18504760036</w:t>
            </w:r>
          </w:p>
        </w:tc>
      </w:tr>
      <w:tr w14:paraId="264E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7CF67D1B">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通讯地址</w:t>
            </w:r>
          </w:p>
        </w:tc>
        <w:tc>
          <w:tcPr>
            <w:tcW w:w="3202" w:type="dxa"/>
            <w:gridSpan w:val="2"/>
            <w:vAlign w:val="center"/>
          </w:tcPr>
          <w:p w14:paraId="75F62A6C">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赤峰市新城区玉龙大街中核大厦</w:t>
            </w:r>
          </w:p>
        </w:tc>
        <w:tc>
          <w:tcPr>
            <w:tcW w:w="1598" w:type="dxa"/>
            <w:gridSpan w:val="2"/>
            <w:vAlign w:val="center"/>
          </w:tcPr>
          <w:p w14:paraId="2D2C0493">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邮编</w:t>
            </w:r>
          </w:p>
        </w:tc>
        <w:tc>
          <w:tcPr>
            <w:tcW w:w="2220" w:type="dxa"/>
            <w:vAlign w:val="center"/>
          </w:tcPr>
          <w:p w14:paraId="0F172B63">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024000</w:t>
            </w:r>
          </w:p>
        </w:tc>
      </w:tr>
      <w:tr w14:paraId="0448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4" w:type="dxa"/>
            <w:vAlign w:val="center"/>
          </w:tcPr>
          <w:p w14:paraId="173AB17B">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固定电话</w:t>
            </w:r>
          </w:p>
        </w:tc>
        <w:tc>
          <w:tcPr>
            <w:tcW w:w="3202" w:type="dxa"/>
            <w:gridSpan w:val="2"/>
            <w:vAlign w:val="center"/>
          </w:tcPr>
          <w:p w14:paraId="725905B3">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04765678700</w:t>
            </w:r>
          </w:p>
        </w:tc>
        <w:tc>
          <w:tcPr>
            <w:tcW w:w="1598" w:type="dxa"/>
            <w:gridSpan w:val="2"/>
            <w:vAlign w:val="center"/>
          </w:tcPr>
          <w:p w14:paraId="6F8331B0">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E-mail</w:t>
            </w:r>
          </w:p>
        </w:tc>
        <w:tc>
          <w:tcPr>
            <w:tcW w:w="2220" w:type="dxa"/>
            <w:vAlign w:val="center"/>
          </w:tcPr>
          <w:p w14:paraId="5FF0F5B5">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CFKYJT@163.com</w:t>
            </w:r>
          </w:p>
        </w:tc>
      </w:tr>
    </w:tbl>
    <w:p w14:paraId="4C4291D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bCs/>
          <w:color w:val="auto"/>
          <w:sz w:val="32"/>
          <w:szCs w:val="32"/>
          <w:lang w:val="en-US" w:eastAsia="zh-CN"/>
        </w:rPr>
      </w:pPr>
      <w:bookmarkStart w:id="5" w:name="_Toc15725"/>
      <w:bookmarkStart w:id="6" w:name="_Toc11620"/>
      <w:bookmarkStart w:id="7" w:name="_Toc5550"/>
      <w:bookmarkStart w:id="8" w:name="_Toc21775"/>
      <w:bookmarkStart w:id="9" w:name="_Toc3121"/>
    </w:p>
    <w:p w14:paraId="796E611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宋体" w:cs="Times New Roman"/>
          <w:b/>
          <w:bCs/>
          <w:color w:val="auto"/>
          <w:sz w:val="32"/>
          <w:szCs w:val="32"/>
          <w:lang w:val="en-US" w:eastAsia="zh-CN"/>
        </w:rPr>
      </w:pPr>
      <w:bookmarkStart w:id="10" w:name="_Toc1516"/>
      <w:r>
        <w:rPr>
          <w:rFonts w:hint="default" w:ascii="Times New Roman" w:hAnsi="Times New Roman" w:eastAsia="宋体" w:cs="Times New Roman"/>
          <w:b/>
          <w:bCs/>
          <w:color w:val="auto"/>
          <w:sz w:val="32"/>
          <w:szCs w:val="32"/>
          <w:lang w:val="en-US" w:eastAsia="zh-CN"/>
        </w:rPr>
        <w:t>二、矿山地质环境治理方案的编制与执行情况</w:t>
      </w:r>
      <w:bookmarkEnd w:id="5"/>
      <w:bookmarkEnd w:id="6"/>
      <w:bookmarkEnd w:id="7"/>
      <w:bookmarkEnd w:id="8"/>
      <w:bookmarkEnd w:id="10"/>
    </w:p>
    <w:p w14:paraId="6708DF6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outlineLvl w:val="1"/>
        <w:rPr>
          <w:rFonts w:hint="default" w:ascii="Times New Roman" w:hAnsi="Times New Roman" w:eastAsia="宋体" w:cs="Times New Roman"/>
          <w:color w:val="auto"/>
          <w:sz w:val="28"/>
          <w:szCs w:val="28"/>
          <w:lang w:val="en-US" w:eastAsia="zh-CN"/>
        </w:rPr>
      </w:pPr>
      <w:bookmarkStart w:id="11" w:name="_Toc1814"/>
      <w:bookmarkStart w:id="12" w:name="_Toc15468"/>
      <w:bookmarkStart w:id="13" w:name="_Toc17036"/>
      <w:bookmarkStart w:id="14" w:name="_Toc16524"/>
      <w:bookmarkStart w:id="15" w:name="_Toc31442"/>
      <w:r>
        <w:rPr>
          <w:rFonts w:hint="default" w:ascii="Times New Roman" w:hAnsi="Times New Roman" w:eastAsia="宋体" w:cs="Times New Roman"/>
          <w:b/>
          <w:bCs/>
          <w:color w:val="auto"/>
          <w:sz w:val="28"/>
          <w:szCs w:val="28"/>
          <w:lang w:val="en-US" w:eastAsia="zh-CN"/>
        </w:rPr>
        <w:t>（一）方案编制概况</w:t>
      </w:r>
      <w:bookmarkEnd w:id="11"/>
      <w:bookmarkEnd w:id="12"/>
      <w:bookmarkEnd w:id="13"/>
      <w:bookmarkEnd w:id="14"/>
      <w:bookmarkEnd w:id="15"/>
    </w:p>
    <w:p w14:paraId="6502837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采矿权人赤峰矿业（集团）有限责任公司于2022年12月委托华北有色工程勘察院有限公司编制了《赤峰矿业（集团）有限责任公司赤峰市松山区徐家窝铺冰洲石矿矿山地质环境保护与土地复垦方案》。</w:t>
      </w:r>
    </w:p>
    <w:p w14:paraId="2C70179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2023年4月24日，受赤峰市自然资源局委托，内蒙古赤峰地质矿产勘查开发有限责任公司组织有关专家在赤峰市召开会议，对由华北有色工程勘察院有限公司编制、赤峰矿业（集团）有限责任公司提交的《赤峰矿业（集团）有限责任公司赤峰市松山区徐家窝铺冰洲石矿矿山地质环境保护与土地复垦方案》(以下简称《方案》)进行了审查。</w:t>
      </w:r>
    </w:p>
    <w:p w14:paraId="7642FCA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32"/>
          <w:szCs w:val="32"/>
          <w:lang w:val="en-US" w:eastAsia="zh-CN"/>
        </w:rPr>
      </w:pPr>
      <w:r>
        <w:rPr>
          <w:rFonts w:hint="eastAsia" w:cs="Times New Roman"/>
          <w:color w:val="auto"/>
          <w:sz w:val="24"/>
          <w:szCs w:val="24"/>
          <w:lang w:val="en-US" w:eastAsia="zh-CN"/>
        </w:rPr>
        <w:t>评审结果，</w:t>
      </w:r>
      <w:r>
        <w:rPr>
          <w:rFonts w:hint="default" w:ascii="Times New Roman" w:hAnsi="Times New Roman" w:eastAsia="宋体" w:cs="Times New Roman"/>
          <w:color w:val="auto"/>
          <w:sz w:val="24"/>
          <w:szCs w:val="24"/>
          <w:lang w:val="en-US" w:eastAsia="zh-CN"/>
        </w:rPr>
        <w:t>《方案》通过了内蒙古赤峰地质矿产勘查开发有限责任公司组织的专家审查（评审文号：赤矿治评字[2023]</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号）。</w:t>
      </w:r>
      <w:bookmarkStart w:id="16" w:name="_Toc9197"/>
      <w:bookmarkStart w:id="17" w:name="_Toc19156"/>
      <w:bookmarkStart w:id="18" w:name="_Toc28707"/>
      <w:bookmarkStart w:id="19" w:name="_Toc31997"/>
    </w:p>
    <w:p w14:paraId="40A979CE">
      <w:pPr>
        <w:keepNext w:val="0"/>
        <w:keepLines w:val="0"/>
        <w:pageBreakBefore w:val="0"/>
        <w:numPr>
          <w:ilvl w:val="0"/>
          <w:numId w:val="0"/>
        </w:numPr>
        <w:kinsoku/>
        <w:overflowPunct/>
        <w:topLinePunct w:val="0"/>
        <w:autoSpaceDE/>
        <w:autoSpaceDN/>
        <w:bidi w:val="0"/>
        <w:spacing w:line="360" w:lineRule="auto"/>
        <w:jc w:val="both"/>
        <w:textAlignment w:val="auto"/>
        <w:outlineLvl w:val="1"/>
        <w:rPr>
          <w:rFonts w:hint="default" w:ascii="Times New Roman" w:hAnsi="Times New Roman" w:eastAsia="宋体" w:cs="Times New Roman"/>
          <w:b/>
          <w:bCs/>
          <w:color w:val="auto"/>
          <w:sz w:val="32"/>
          <w:szCs w:val="32"/>
          <w:lang w:val="en-US" w:eastAsia="zh-CN"/>
        </w:rPr>
      </w:pPr>
      <w:bookmarkStart w:id="20" w:name="_Toc2635"/>
      <w:r>
        <w:rPr>
          <w:rFonts w:hint="default" w:ascii="Times New Roman" w:hAnsi="Times New Roman" w:eastAsia="宋体" w:cs="Times New Roman"/>
          <w:b/>
          <w:bCs/>
          <w:color w:val="auto"/>
          <w:sz w:val="28"/>
          <w:szCs w:val="28"/>
          <w:lang w:val="en-US" w:eastAsia="zh-CN"/>
        </w:rPr>
        <w:t>（二）治理方案规划的近期治理工程内容</w:t>
      </w:r>
      <w:bookmarkEnd w:id="16"/>
      <w:bookmarkEnd w:id="17"/>
      <w:bookmarkEnd w:id="18"/>
      <w:bookmarkEnd w:id="19"/>
      <w:bookmarkEnd w:id="20"/>
    </w:p>
    <w:p w14:paraId="0FD1CA45">
      <w:pPr>
        <w:pStyle w:val="28"/>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赤峰矿业（集团）有限责任公司赤峰市松山区徐家窝铺冰洲石矿矿山地质环境保护与土地复垦方案》规划的近期（首期）治理工程实施时间为2023年1月1日-2027年12月31日，近期治理工程对象为拟建露天采场、拟建工业场地、拟建废石场、拟建表土场、民采坑、钻机平台。</w:t>
      </w:r>
    </w:p>
    <w:p w14:paraId="1C5B68C9">
      <w:pPr>
        <w:pStyle w:val="28"/>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各单元设计治理工程措施如下：</w:t>
      </w:r>
    </w:p>
    <w:p w14:paraId="5F57247C">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1、拟建露天采场</w:t>
      </w:r>
    </w:p>
    <w:p w14:paraId="41C345F0">
      <w:pPr>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建设前剥离表土，及时清除危岩体，对露天采场外围设置网围栏、警示牌；对到界边坡台阶进行整平、覆土、恢复植被。</w:t>
      </w:r>
    </w:p>
    <w:p w14:paraId="3325FC62">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2、拟建工业场地</w:t>
      </w:r>
    </w:p>
    <w:p w14:paraId="027C31E0">
      <w:pPr>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建设前剥离表土，近期对场地切坡和堆坡进行整形。</w:t>
      </w:r>
    </w:p>
    <w:p w14:paraId="35E59E7B">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3、拟建废石场</w:t>
      </w:r>
    </w:p>
    <w:p w14:paraId="70CDC195">
      <w:pPr>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建设前剥离表土，集中堆放。</w:t>
      </w:r>
    </w:p>
    <w:p w14:paraId="35681219">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4、拟建表土场</w:t>
      </w:r>
    </w:p>
    <w:p w14:paraId="62F053FE">
      <w:pPr>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近期对拟建表土场种草过渡治理。</w:t>
      </w:r>
    </w:p>
    <w:p w14:paraId="07BEDFCC">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5、民采坑</w:t>
      </w:r>
    </w:p>
    <w:p w14:paraId="42742969">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近期利用周边废土石进行回填，对场地进行整平、恢复植被。</w:t>
      </w:r>
    </w:p>
    <w:p w14:paraId="3114E12E">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6、钻机平台</w:t>
      </w:r>
    </w:p>
    <w:p w14:paraId="6F34566E">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近期利用周边废土石进行回填，对场地进行整平、恢复植被。</w:t>
      </w:r>
    </w:p>
    <w:p w14:paraId="227F445E">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7、监测与管护</w:t>
      </w:r>
    </w:p>
    <w:p w14:paraId="7127DD13">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矿山生产期间，对各工程场地地质灾害、地形地貌景观及土地资源进行监测，对复垦植被进行管护。</w:t>
      </w:r>
    </w:p>
    <w:p w14:paraId="780DCCCC">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首期矿山地质环境治理措</w:t>
      </w:r>
      <w:r>
        <w:rPr>
          <w:rFonts w:hint="default" w:ascii="Times New Roman" w:hAnsi="Times New Roman" w:eastAsia="宋体" w:cs="Times New Roman"/>
          <w:color w:val="auto"/>
          <w:sz w:val="24"/>
          <w:szCs w:val="24"/>
          <w:lang w:eastAsia="zh-CN"/>
        </w:rPr>
        <w:t>施为工程措施和生物措施，</w:t>
      </w:r>
      <w:r>
        <w:rPr>
          <w:rFonts w:hint="default" w:ascii="Times New Roman" w:hAnsi="Times New Roman" w:eastAsia="宋体" w:cs="Times New Roman"/>
          <w:bCs/>
          <w:color w:val="auto"/>
          <w:sz w:val="24"/>
          <w:szCs w:val="24"/>
          <w:lang w:eastAsia="zh-CN"/>
        </w:rPr>
        <w:t>治理总面积</w:t>
      </w:r>
      <w:r>
        <w:rPr>
          <w:rFonts w:hint="default" w:ascii="Times New Roman" w:hAnsi="Times New Roman" w:cs="Times New Roman"/>
          <w:bCs/>
          <w:color w:val="auto"/>
          <w:sz w:val="24"/>
          <w:szCs w:val="24"/>
          <w:lang w:val="en-US"/>
        </w:rPr>
        <w:t>4918m</w:t>
      </w:r>
      <w:r>
        <w:rPr>
          <w:rFonts w:hint="default" w:ascii="Times New Roman" w:hAnsi="Times New Roman" w:cs="Times New Roman"/>
          <w:bCs/>
          <w:color w:val="auto"/>
          <w:sz w:val="24"/>
          <w:szCs w:val="24"/>
          <w:vertAlign w:val="superscript"/>
          <w:lang w:val="en-US"/>
        </w:rPr>
        <w:t>2</w:t>
      </w:r>
      <w:r>
        <w:rPr>
          <w:rFonts w:hint="default" w:ascii="Times New Roman" w:hAnsi="Times New Roman" w:eastAsia="宋体" w:cs="Times New Roman"/>
          <w:bCs/>
          <w:color w:val="auto"/>
          <w:sz w:val="24"/>
          <w:szCs w:val="24"/>
          <w:lang w:eastAsia="zh-CN"/>
        </w:rPr>
        <w:t>，复垦面积</w:t>
      </w:r>
      <w:r>
        <w:rPr>
          <w:rFonts w:hint="default" w:ascii="Times New Roman" w:hAnsi="Times New Roman" w:cs="Times New Roman"/>
          <w:bCs/>
          <w:color w:val="auto"/>
          <w:sz w:val="24"/>
          <w:szCs w:val="24"/>
          <w:lang w:val="en-US"/>
        </w:rPr>
        <w:t>4918m</w:t>
      </w:r>
      <w:r>
        <w:rPr>
          <w:rFonts w:hint="default" w:ascii="Times New Roman" w:hAnsi="Times New Roman" w:cs="Times New Roman"/>
          <w:bCs/>
          <w:color w:val="auto"/>
          <w:sz w:val="24"/>
          <w:szCs w:val="24"/>
          <w:vertAlign w:val="superscript"/>
          <w:lang w:val="en-US"/>
        </w:rPr>
        <w:t>2</w:t>
      </w:r>
      <w:r>
        <w:rPr>
          <w:rFonts w:hint="default" w:ascii="Times New Roman" w:hAnsi="Times New Roman" w:eastAsia="宋体" w:cs="Times New Roman"/>
          <w:color w:val="auto"/>
          <w:sz w:val="24"/>
          <w:szCs w:val="24"/>
          <w:lang w:eastAsia="zh-CN"/>
        </w:rPr>
        <w:t>，恢复为灌木林地面积</w:t>
      </w:r>
      <w:r>
        <w:rPr>
          <w:rFonts w:hint="default" w:ascii="Times New Roman" w:hAnsi="Times New Roman" w:cs="Times New Roman"/>
          <w:bCs/>
          <w:color w:val="auto"/>
          <w:sz w:val="24"/>
          <w:szCs w:val="24"/>
          <w:lang w:val="en-US"/>
        </w:rPr>
        <w:t>4918m</w:t>
      </w:r>
      <w:r>
        <w:rPr>
          <w:rFonts w:hint="default" w:ascii="Times New Roman" w:hAnsi="Times New Roman" w:cs="Times New Roman"/>
          <w:bCs/>
          <w:color w:val="auto"/>
          <w:sz w:val="24"/>
          <w:szCs w:val="24"/>
          <w:vertAlign w:val="superscript"/>
          <w:lang w:val="en-US"/>
        </w:rPr>
        <w:t>2</w:t>
      </w:r>
      <w:r>
        <w:rPr>
          <w:rFonts w:hint="default" w:ascii="Times New Roman" w:hAnsi="Times New Roman" w:eastAsia="宋体" w:cs="Times New Roman"/>
          <w:color w:val="auto"/>
          <w:sz w:val="24"/>
          <w:szCs w:val="24"/>
          <w:lang w:eastAsia="zh-CN"/>
        </w:rPr>
        <w:t>。</w:t>
      </w:r>
    </w:p>
    <w:p w14:paraId="79799D42">
      <w:pPr>
        <w:pStyle w:val="11"/>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《方案》规划的</w:t>
      </w:r>
      <w:r>
        <w:rPr>
          <w:rFonts w:hint="eastAsia" w:ascii="Times New Roman" w:hAnsi="Times New Roman" w:eastAsia="宋体" w:cs="Times New Roman"/>
          <w:color w:val="auto"/>
          <w:sz w:val="24"/>
          <w:szCs w:val="24"/>
          <w:lang w:val="en-US" w:eastAsia="zh-CN"/>
        </w:rPr>
        <w:t>近期</w:t>
      </w:r>
      <w:r>
        <w:rPr>
          <w:rFonts w:hint="default" w:ascii="Times New Roman" w:hAnsi="Times New Roman" w:eastAsia="宋体" w:cs="Times New Roman"/>
          <w:color w:val="auto"/>
          <w:sz w:val="24"/>
          <w:szCs w:val="24"/>
          <w:lang w:val="en-US" w:eastAsia="zh-CN"/>
        </w:rPr>
        <w:t>治理</w:t>
      </w:r>
      <w:r>
        <w:rPr>
          <w:rFonts w:hint="eastAsia"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lang w:val="en-US" w:eastAsia="zh-CN"/>
        </w:rPr>
        <w:t>及</w:t>
      </w:r>
      <w:r>
        <w:rPr>
          <w:rFonts w:hint="eastAsia" w:ascii="Times New Roman" w:hAnsi="Times New Roman" w:eastAsia="宋体" w:cs="Times New Roman"/>
          <w:color w:val="auto"/>
          <w:sz w:val="24"/>
          <w:szCs w:val="24"/>
          <w:lang w:val="en-US" w:eastAsia="zh-CN"/>
        </w:rPr>
        <w:t>进度安排</w:t>
      </w:r>
      <w:r>
        <w:rPr>
          <w:rFonts w:hint="default" w:ascii="Times New Roman" w:hAnsi="Times New Roman" w:eastAsia="宋体" w:cs="Times New Roman"/>
          <w:color w:val="auto"/>
          <w:sz w:val="24"/>
          <w:szCs w:val="24"/>
          <w:lang w:eastAsia="zh-CN"/>
        </w:rPr>
        <w:t>见</w:t>
      </w:r>
      <w:r>
        <w:rPr>
          <w:rFonts w:hint="default" w:ascii="Times New Roman" w:hAnsi="Times New Roman" w:eastAsia="宋体" w:cs="Times New Roman"/>
          <w:color w:val="auto"/>
          <w:sz w:val="24"/>
          <w:szCs w:val="24"/>
          <w:lang w:val="en-US" w:eastAsia="zh-CN"/>
        </w:rPr>
        <w:t>2-1。</w:t>
      </w:r>
    </w:p>
    <w:p w14:paraId="6DB11453">
      <w:pPr>
        <w:pStyle w:val="28"/>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表2-1  </w:t>
      </w:r>
      <w:r>
        <w:rPr>
          <w:rFonts w:hint="eastAsia" w:cs="Times New Roman"/>
          <w:b/>
          <w:bCs/>
          <w:color w:val="auto"/>
          <w:sz w:val="21"/>
          <w:szCs w:val="21"/>
          <w:lang w:val="en-US" w:eastAsia="zh-CN"/>
        </w:rPr>
        <w:t>近期</w:t>
      </w:r>
      <w:r>
        <w:rPr>
          <w:rFonts w:hint="default" w:ascii="Times New Roman" w:hAnsi="Times New Roman" w:eastAsia="宋体" w:cs="Times New Roman"/>
          <w:b/>
          <w:bCs/>
          <w:color w:val="auto"/>
          <w:sz w:val="21"/>
          <w:szCs w:val="21"/>
          <w:lang w:val="en-US" w:eastAsia="zh-CN"/>
        </w:rPr>
        <w:t>治理</w:t>
      </w:r>
      <w:r>
        <w:rPr>
          <w:rFonts w:hint="eastAsia" w:cs="Times New Roman"/>
          <w:b/>
          <w:bCs/>
          <w:color w:val="auto"/>
          <w:sz w:val="21"/>
          <w:szCs w:val="21"/>
          <w:lang w:val="en-US" w:eastAsia="zh-CN"/>
        </w:rPr>
        <w:t>工程</w:t>
      </w:r>
      <w:r>
        <w:rPr>
          <w:rFonts w:hint="default" w:ascii="Times New Roman" w:hAnsi="Times New Roman" w:eastAsia="宋体" w:cs="Times New Roman"/>
          <w:b/>
          <w:bCs/>
          <w:color w:val="auto"/>
          <w:sz w:val="21"/>
          <w:szCs w:val="21"/>
          <w:lang w:val="en-US" w:eastAsia="zh-CN"/>
        </w:rPr>
        <w:t>及</w:t>
      </w:r>
      <w:r>
        <w:rPr>
          <w:rFonts w:hint="eastAsia" w:cs="Times New Roman"/>
          <w:b/>
          <w:bCs/>
          <w:color w:val="auto"/>
          <w:sz w:val="21"/>
          <w:szCs w:val="21"/>
          <w:lang w:val="en-US" w:eastAsia="zh-CN"/>
        </w:rPr>
        <w:t>进度安排</w:t>
      </w:r>
      <w:r>
        <w:rPr>
          <w:rFonts w:hint="default" w:ascii="Times New Roman" w:hAnsi="Times New Roman" w:eastAsia="宋体" w:cs="Times New Roman"/>
          <w:b/>
          <w:bCs/>
          <w:color w:val="auto"/>
          <w:sz w:val="21"/>
          <w:szCs w:val="21"/>
          <w:lang w:val="en-US" w:eastAsia="zh-CN"/>
        </w:rPr>
        <w:t>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55"/>
        <w:gridCol w:w="2340"/>
        <w:gridCol w:w="1995"/>
        <w:gridCol w:w="1112"/>
        <w:gridCol w:w="1728"/>
      </w:tblGrid>
      <w:tr w14:paraId="6052A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trPr>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2B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治理年度</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B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治理区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3C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治理措施</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9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单位</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EA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工程量</w:t>
            </w:r>
          </w:p>
        </w:tc>
      </w:tr>
      <w:tr w14:paraId="775E7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A0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2023</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8E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拟建露天采场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D4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表土剥离</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E35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D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11559 </w:t>
            </w:r>
          </w:p>
        </w:tc>
      </w:tr>
      <w:tr w14:paraId="5552C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7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AD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拟建工业场地</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2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表土剥离</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E45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910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1173 </w:t>
            </w:r>
          </w:p>
        </w:tc>
      </w:tr>
      <w:tr w14:paraId="7559E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16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0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A8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整形</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84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AC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230 </w:t>
            </w:r>
          </w:p>
        </w:tc>
      </w:tr>
      <w:tr w14:paraId="3A4BB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30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55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拟建废石场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7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表土剥离</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A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0B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3748 </w:t>
            </w:r>
          </w:p>
        </w:tc>
      </w:tr>
      <w:tr w14:paraId="6601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3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1D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拟建表土场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BC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种草</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9DF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33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4446 </w:t>
            </w:r>
          </w:p>
        </w:tc>
      </w:tr>
      <w:tr w14:paraId="62BC2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15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2024</w:t>
            </w:r>
          </w:p>
        </w:tc>
        <w:tc>
          <w:tcPr>
            <w:tcW w:w="13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27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拟建露天采场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E8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警示牌</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93C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块</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24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4 </w:t>
            </w:r>
          </w:p>
        </w:tc>
      </w:tr>
      <w:tr w14:paraId="07CD7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1E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0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8AB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网围栏</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FD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1C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660 </w:t>
            </w:r>
          </w:p>
        </w:tc>
      </w:tr>
      <w:tr w14:paraId="216FC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E5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DA0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钻机平台</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B5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回填</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71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11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37 </w:t>
            </w:r>
          </w:p>
        </w:tc>
      </w:tr>
      <w:tr w14:paraId="57CF1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25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B6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33B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整平</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BD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C19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14 </w:t>
            </w:r>
          </w:p>
        </w:tc>
      </w:tr>
      <w:tr w14:paraId="2F234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D6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E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B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覆土</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9EE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47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24 </w:t>
            </w:r>
          </w:p>
        </w:tc>
      </w:tr>
      <w:tr w14:paraId="240D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A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C3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F9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种植灌木</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F7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328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48 </w:t>
            </w:r>
          </w:p>
        </w:tc>
      </w:tr>
      <w:tr w14:paraId="7EEE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02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2025</w:t>
            </w:r>
          </w:p>
        </w:tc>
        <w:tc>
          <w:tcPr>
            <w:tcW w:w="13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D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拟建露天采场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5B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清理危岩体</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EE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42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926 </w:t>
            </w:r>
          </w:p>
        </w:tc>
      </w:tr>
      <w:tr w14:paraId="2C665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9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9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E5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整平</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8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350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501 </w:t>
            </w:r>
          </w:p>
        </w:tc>
      </w:tr>
      <w:tr w14:paraId="07A62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55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6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4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覆土</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C20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C79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836 </w:t>
            </w:r>
          </w:p>
        </w:tc>
      </w:tr>
      <w:tr w14:paraId="2B6D0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CB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74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1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种植灌木</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B1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70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1672 </w:t>
            </w:r>
          </w:p>
        </w:tc>
      </w:tr>
      <w:tr w14:paraId="149C1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A2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2026</w:t>
            </w:r>
          </w:p>
        </w:tc>
        <w:tc>
          <w:tcPr>
            <w:tcW w:w="1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A5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拟建露天采场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06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清理危岩体</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C3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F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926 </w:t>
            </w:r>
          </w:p>
        </w:tc>
      </w:tr>
      <w:tr w14:paraId="0D20B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D8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2027</w:t>
            </w:r>
          </w:p>
        </w:tc>
        <w:tc>
          <w:tcPr>
            <w:tcW w:w="13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64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拟建露天采场</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5FB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清理危岩体</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C9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C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926 </w:t>
            </w:r>
          </w:p>
        </w:tc>
      </w:tr>
      <w:tr w14:paraId="1D0BA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F1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5F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4A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整平</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AF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8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501 </w:t>
            </w:r>
          </w:p>
        </w:tc>
      </w:tr>
      <w:tr w14:paraId="393A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F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EA6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78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覆土</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8C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74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836 </w:t>
            </w:r>
          </w:p>
        </w:tc>
      </w:tr>
      <w:tr w14:paraId="4E9D1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F7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E2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E9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种植灌木</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B3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E8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1672 </w:t>
            </w:r>
          </w:p>
        </w:tc>
      </w:tr>
      <w:tr w14:paraId="0882F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D8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B6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民采坑</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FB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回填</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0D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E1C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1854 </w:t>
            </w:r>
          </w:p>
        </w:tc>
      </w:tr>
      <w:tr w14:paraId="5C433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D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D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621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整平</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C1E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C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458 </w:t>
            </w:r>
          </w:p>
        </w:tc>
      </w:tr>
      <w:tr w14:paraId="3CB53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3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E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EF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覆土</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C2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50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764 </w:t>
            </w:r>
          </w:p>
        </w:tc>
      </w:tr>
      <w:tr w14:paraId="1DE1A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9D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3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B3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rPr>
            </w:pP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C3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种植灌木</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AB8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2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 xml:space="preserve">1527 </w:t>
            </w:r>
          </w:p>
        </w:tc>
      </w:tr>
    </w:tbl>
    <w:p w14:paraId="1E6111CF">
      <w:pPr>
        <w:pStyle w:val="28"/>
        <w:keepNext w:val="0"/>
        <w:keepLines w:val="0"/>
        <w:pageBreakBefore w:val="0"/>
        <w:widowControl w:val="0"/>
        <w:kinsoku/>
        <w:wordWrap w:val="0"/>
        <w:overflowPunct/>
        <w:topLinePunct w:val="0"/>
        <w:autoSpaceDE/>
        <w:autoSpaceDN/>
        <w:bidi w:val="0"/>
        <w:adjustRightInd/>
        <w:snapToGrid/>
        <w:spacing w:line="120" w:lineRule="exact"/>
        <w:ind w:firstLine="480" w:firstLineChars="200"/>
        <w:textAlignment w:val="auto"/>
        <w:rPr>
          <w:rFonts w:hint="default" w:ascii="Times New Roman" w:hAnsi="Times New Roman" w:eastAsia="宋体" w:cs="Times New Roman"/>
          <w:color w:val="auto"/>
          <w:sz w:val="24"/>
          <w:szCs w:val="24"/>
          <w:lang w:val="en-US" w:eastAsia="zh-CN"/>
        </w:rPr>
      </w:pPr>
    </w:p>
    <w:p w14:paraId="274F2EC9">
      <w:pPr>
        <w:pStyle w:val="2"/>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default" w:ascii="Times New Roman" w:hAnsi="Times New Roman" w:eastAsia="宋体" w:cs="Times New Roman"/>
          <w:b/>
          <w:bCs/>
          <w:color w:val="auto"/>
          <w:sz w:val="21"/>
          <w:szCs w:val="21"/>
          <w:lang w:val="en-US" w:eastAsia="zh-CN"/>
        </w:rPr>
      </w:pPr>
    </w:p>
    <w:p w14:paraId="5B6C8A8E">
      <w:pPr>
        <w:keepNext w:val="0"/>
        <w:keepLines w:val="0"/>
        <w:pageBreakBefore w:val="0"/>
        <w:numPr>
          <w:ilvl w:val="0"/>
          <w:numId w:val="0"/>
        </w:numPr>
        <w:kinsoku/>
        <w:overflowPunct/>
        <w:topLinePunct w:val="0"/>
        <w:autoSpaceDE/>
        <w:autoSpaceDN/>
        <w:bidi w:val="0"/>
        <w:spacing w:line="360" w:lineRule="auto"/>
        <w:jc w:val="both"/>
        <w:textAlignment w:val="auto"/>
        <w:outlineLvl w:val="1"/>
        <w:rPr>
          <w:rFonts w:hint="default" w:ascii="Times New Roman" w:hAnsi="Times New Roman" w:eastAsia="宋体" w:cs="Times New Roman"/>
          <w:b/>
          <w:bCs/>
          <w:color w:val="auto"/>
          <w:sz w:val="28"/>
          <w:szCs w:val="28"/>
          <w:lang w:val="en-US" w:eastAsia="zh-CN"/>
        </w:rPr>
      </w:pPr>
      <w:bookmarkStart w:id="21" w:name="_Toc19544"/>
      <w:bookmarkStart w:id="22" w:name="_Toc30380"/>
      <w:bookmarkStart w:id="23" w:name="_Toc30094"/>
      <w:bookmarkStart w:id="24" w:name="_Toc26916"/>
      <w:bookmarkStart w:id="25" w:name="_Toc18291"/>
      <w:r>
        <w:rPr>
          <w:rFonts w:hint="default" w:ascii="Times New Roman" w:hAnsi="Times New Roman" w:eastAsia="宋体" w:cs="Times New Roman"/>
          <w:b/>
          <w:bCs/>
          <w:color w:val="auto"/>
          <w:sz w:val="28"/>
          <w:szCs w:val="28"/>
          <w:lang w:val="en-US" w:eastAsia="zh-CN"/>
        </w:rPr>
        <w:t>（三）矿山地质环境治理方案执行情况</w:t>
      </w:r>
      <w:bookmarkEnd w:id="21"/>
      <w:bookmarkEnd w:id="22"/>
      <w:bookmarkEnd w:id="23"/>
      <w:bookmarkEnd w:id="24"/>
      <w:bookmarkEnd w:id="25"/>
    </w:p>
    <w:p w14:paraId="4139875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赤峰矿业（集团）有限责任公司赤峰市松山区徐家窝铺冰洲石矿属于新建矿山（现状尚未基建），无生产历史，矿区仅实施过探矿工程。</w:t>
      </w:r>
    </w:p>
    <w:p w14:paraId="692947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sz w:val="24"/>
          <w:szCs w:val="24"/>
          <w:lang w:val="en-US" w:eastAsia="zh-CN"/>
        </w:rPr>
        <w:t>赤峰市松山区徐家窝铺冰洲石矿</w:t>
      </w:r>
      <w:r>
        <w:rPr>
          <w:rFonts w:hint="default" w:ascii="Times New Roman" w:hAnsi="Times New Roman" w:eastAsia="宋体" w:cs="Times New Roman"/>
          <w:color w:val="auto"/>
          <w:kern w:val="2"/>
          <w:sz w:val="24"/>
          <w:szCs w:val="24"/>
          <w:lang w:val="en-US" w:eastAsia="zh-CN" w:bidi="ar"/>
        </w:rPr>
        <w:t>为赤峰矿业（集团）有限责任公司储备（代管）矿山，</w:t>
      </w:r>
      <w:r>
        <w:rPr>
          <w:rFonts w:hint="default" w:ascii="Times New Roman" w:hAnsi="Times New Roman" w:eastAsia="宋体" w:cs="Times New Roman"/>
          <w:color w:val="auto"/>
          <w:sz w:val="24"/>
          <w:szCs w:val="24"/>
          <w:lang w:val="en-US" w:eastAsia="zh-CN"/>
        </w:rPr>
        <w:t>赤峰矿业（集团）有限责任公司的</w:t>
      </w:r>
      <w:r>
        <w:rPr>
          <w:rFonts w:hint="default" w:ascii="Times New Roman" w:hAnsi="Times New Roman" w:eastAsia="宋体" w:cs="Times New Roman"/>
          <w:color w:val="auto"/>
          <w:kern w:val="2"/>
          <w:sz w:val="24"/>
          <w:szCs w:val="24"/>
          <w:lang w:val="en-US" w:eastAsia="zh-CN" w:bidi="ar"/>
        </w:rPr>
        <w:t>职能是延续矿权，以确保国有资产不流失。现状赤峰矿业（集团）有限责任公司并不具备法律意义上的采矿权人的实际采矿职能（尚未取得采矿许可证）。因此，</w:t>
      </w:r>
      <w:r>
        <w:rPr>
          <w:rFonts w:hint="default" w:ascii="Times New Roman" w:hAnsi="Times New Roman" w:eastAsia="宋体" w:cs="Times New Roman"/>
          <w:color w:val="auto"/>
          <w:sz w:val="24"/>
          <w:szCs w:val="24"/>
          <w:lang w:val="en-US" w:eastAsia="zh-CN"/>
        </w:rPr>
        <w:t>2016年6月29日赤峰市政府同意将赤峰市松山区徐家窝铺冰洲石矿矿权转让至赤峰矿业（集团）有限责任公司后，仅在2023年度委托资质单位编制了《赤峰矿业（集团）有限责任公司赤峰市松山区徐家窝铺冰洲石矿矿山地质环境保护与土地复垦方案》，但现状条件下</w:t>
      </w:r>
      <w:r>
        <w:rPr>
          <w:rFonts w:hint="default" w:ascii="Times New Roman" w:hAnsi="Times New Roman" w:eastAsia="宋体" w:cs="Times New Roman"/>
          <w:color w:val="auto"/>
          <w:kern w:val="2"/>
          <w:sz w:val="24"/>
          <w:szCs w:val="24"/>
          <w:lang w:val="en-US" w:eastAsia="zh-CN" w:bidi="ar"/>
        </w:rPr>
        <w:t>《方案》规划的</w:t>
      </w:r>
      <w:r>
        <w:rPr>
          <w:rFonts w:hint="eastAsia" w:cs="Times New Roman"/>
          <w:color w:val="auto"/>
          <w:kern w:val="2"/>
          <w:sz w:val="24"/>
          <w:szCs w:val="24"/>
          <w:lang w:val="en-US" w:eastAsia="zh-CN" w:bidi="ar"/>
        </w:rPr>
        <w:t>与采矿相关的</w:t>
      </w:r>
      <w:r>
        <w:rPr>
          <w:rFonts w:hint="default" w:ascii="Times New Roman" w:hAnsi="Times New Roman" w:eastAsia="宋体" w:cs="Times New Roman"/>
          <w:color w:val="auto"/>
          <w:kern w:val="2"/>
          <w:sz w:val="24"/>
          <w:szCs w:val="24"/>
          <w:lang w:val="en-US" w:eastAsia="zh-CN" w:bidi="ar"/>
        </w:rPr>
        <w:t>近期治理工程内容</w:t>
      </w:r>
      <w:r>
        <w:rPr>
          <w:rFonts w:hint="eastAsia" w:cs="Times New Roman"/>
          <w:color w:val="auto"/>
          <w:sz w:val="24"/>
          <w:szCs w:val="24"/>
          <w:lang w:val="en-US" w:eastAsia="zh-CN"/>
        </w:rPr>
        <w:t>（拟建露天采场、拟建工业场地、拟建废石场、拟建表土场）</w:t>
      </w:r>
      <w:r>
        <w:rPr>
          <w:rFonts w:hint="default" w:ascii="Times New Roman" w:hAnsi="Times New Roman" w:eastAsia="宋体" w:cs="Times New Roman"/>
          <w:color w:val="auto"/>
          <w:sz w:val="24"/>
          <w:szCs w:val="24"/>
          <w:lang w:val="en-US" w:eastAsia="zh-CN"/>
        </w:rPr>
        <w:t>未实施</w:t>
      </w:r>
      <w:r>
        <w:rPr>
          <w:rFonts w:hint="eastAsia" w:cs="Times New Roman"/>
          <w:color w:val="auto"/>
          <w:sz w:val="24"/>
          <w:szCs w:val="24"/>
          <w:lang w:val="en-US" w:eastAsia="zh-CN"/>
        </w:rPr>
        <w:t>，但依据《</w:t>
      </w:r>
      <w:r>
        <w:rPr>
          <w:rFonts w:hint="default" w:ascii="Times New Roman" w:hAnsi="Times New Roman" w:eastAsia="宋体" w:cs="Times New Roman"/>
          <w:color w:val="auto"/>
          <w:sz w:val="24"/>
          <w:szCs w:val="24"/>
          <w:lang w:val="en-US" w:eastAsia="zh-CN"/>
        </w:rPr>
        <w:t>赤峰矿业（集团）有限责任公司赤峰市松山区徐家窝铺冰洲石矿</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年度矿山地</w:t>
      </w:r>
      <w:r>
        <w:rPr>
          <w:rFonts w:hint="default" w:ascii="Times New Roman" w:hAnsi="Times New Roman" w:eastAsia="宋体" w:cs="Times New Roman"/>
          <w:color w:val="auto"/>
          <w:kern w:val="2"/>
          <w:sz w:val="24"/>
          <w:szCs w:val="24"/>
          <w:lang w:val="en-US" w:eastAsia="zh-CN" w:bidi="ar"/>
        </w:rPr>
        <w:t>质环境治理计划书</w:t>
      </w:r>
      <w:r>
        <w:rPr>
          <w:rFonts w:hint="eastAsia" w:ascii="Times New Roman" w:hAnsi="Times New Roman" w:eastAsia="宋体" w:cs="Times New Roman"/>
          <w:color w:val="auto"/>
          <w:kern w:val="2"/>
          <w:sz w:val="24"/>
          <w:szCs w:val="24"/>
          <w:lang w:val="en-US" w:eastAsia="zh-CN" w:bidi="ar"/>
        </w:rPr>
        <w:t>》实施了钻机平台的治理工程，并对部分矿区道路进行了治理</w:t>
      </w:r>
      <w:r>
        <w:rPr>
          <w:rFonts w:hint="default" w:ascii="Times New Roman" w:hAnsi="Times New Roman" w:eastAsia="宋体" w:cs="Times New Roman"/>
          <w:color w:val="auto"/>
          <w:kern w:val="2"/>
          <w:sz w:val="24"/>
          <w:szCs w:val="24"/>
          <w:lang w:val="en-US" w:eastAsia="zh-CN" w:bidi="ar"/>
        </w:rPr>
        <w:t>。</w:t>
      </w:r>
    </w:p>
    <w:p w14:paraId="0FC93D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赤峰矿业（集团）有限责任公司赤峰市松山区徐家窝铺冰洲石矿</w:t>
      </w:r>
      <w:r>
        <w:rPr>
          <w:rFonts w:hint="eastAsia" w:ascii="Times New Roman" w:hAnsi="Times New Roman" w:eastAsia="宋体" w:cs="Times New Roman"/>
          <w:color w:val="auto"/>
          <w:kern w:val="2"/>
          <w:sz w:val="24"/>
          <w:szCs w:val="24"/>
          <w:lang w:val="en-US" w:eastAsia="zh-CN" w:bidi="ar"/>
        </w:rPr>
        <w:t>2023</w:t>
      </w:r>
      <w:r>
        <w:rPr>
          <w:rFonts w:hint="default" w:ascii="Times New Roman" w:hAnsi="Times New Roman" w:eastAsia="宋体" w:cs="Times New Roman"/>
          <w:color w:val="auto"/>
          <w:kern w:val="2"/>
          <w:sz w:val="24"/>
          <w:szCs w:val="24"/>
          <w:lang w:val="en-US" w:eastAsia="zh-CN" w:bidi="ar"/>
        </w:rPr>
        <w:t>年度矿山地质环境治理</w:t>
      </w:r>
      <w:r>
        <w:rPr>
          <w:rFonts w:hint="eastAsia" w:ascii="Times New Roman" w:hAnsi="Times New Roman" w:eastAsia="宋体" w:cs="Times New Roman"/>
          <w:color w:val="auto"/>
          <w:kern w:val="2"/>
          <w:sz w:val="24"/>
          <w:szCs w:val="24"/>
          <w:lang w:val="en-US" w:eastAsia="zh-CN" w:bidi="ar"/>
        </w:rPr>
        <w:t>单元</w:t>
      </w:r>
      <w:r>
        <w:rPr>
          <w:rFonts w:hint="eastAsia" w:cs="Times New Roman"/>
          <w:color w:val="auto"/>
          <w:kern w:val="2"/>
          <w:sz w:val="24"/>
          <w:szCs w:val="24"/>
          <w:lang w:val="en-US" w:eastAsia="zh-CN" w:bidi="ar"/>
        </w:rPr>
        <w:t>包括</w:t>
      </w:r>
      <w:r>
        <w:rPr>
          <w:rFonts w:hint="default" w:ascii="Times New Roman" w:hAnsi="Times New Roman" w:eastAsia="宋体" w:cs="Times New Roman"/>
          <w:color w:val="auto"/>
          <w:kern w:val="2"/>
          <w:sz w:val="24"/>
          <w:szCs w:val="24"/>
          <w:lang w:val="en-US" w:eastAsia="zh-CN" w:bidi="ar"/>
        </w:rPr>
        <w:t>PT1与PT2两处钻机平台</w:t>
      </w:r>
      <w:r>
        <w:rPr>
          <w:rFonts w:hint="eastAsia" w:cs="Times New Roman"/>
          <w:color w:val="auto"/>
          <w:kern w:val="2"/>
          <w:sz w:val="24"/>
          <w:szCs w:val="24"/>
          <w:lang w:val="en-US" w:eastAsia="zh-CN" w:bidi="ar"/>
        </w:rPr>
        <w:t>，治理工程内容为对两处钻机平台进行</w:t>
      </w:r>
      <w:r>
        <w:rPr>
          <w:rFonts w:hint="default" w:ascii="Times New Roman" w:hAnsi="Times New Roman" w:eastAsia="宋体" w:cs="Times New Roman"/>
          <w:color w:val="auto"/>
          <w:kern w:val="2"/>
          <w:sz w:val="24"/>
          <w:szCs w:val="24"/>
          <w:lang w:val="en-US" w:eastAsia="zh-CN" w:bidi="ar"/>
        </w:rPr>
        <w:t>回填、整平、覆土、种植灌木。治理计划书</w:t>
      </w:r>
      <w:r>
        <w:rPr>
          <w:rFonts w:hint="eastAsia" w:ascii="Times New Roman" w:hAnsi="Times New Roman" w:eastAsia="宋体" w:cs="Times New Roman"/>
          <w:color w:val="auto"/>
          <w:kern w:val="2"/>
          <w:sz w:val="24"/>
          <w:szCs w:val="24"/>
          <w:lang w:val="en-US" w:eastAsia="zh-CN" w:bidi="ar"/>
        </w:rPr>
        <w:t>之外，完成了矿区道路的回填整形与覆土。矿山</w:t>
      </w:r>
      <w:r>
        <w:rPr>
          <w:rFonts w:hint="default" w:ascii="Times New Roman" w:hAnsi="Times New Roman" w:eastAsia="宋体" w:cs="Times New Roman"/>
          <w:color w:val="auto"/>
          <w:kern w:val="2"/>
          <w:sz w:val="24"/>
          <w:szCs w:val="24"/>
          <w:lang w:val="en-US" w:eastAsia="zh-CN" w:bidi="ar"/>
        </w:rPr>
        <w:t>对矿区地形地貌景观及土地资源进行</w:t>
      </w:r>
      <w:r>
        <w:rPr>
          <w:rFonts w:hint="eastAsia" w:cs="Times New Roman"/>
          <w:color w:val="auto"/>
          <w:kern w:val="2"/>
          <w:sz w:val="24"/>
          <w:szCs w:val="24"/>
          <w:lang w:val="en-US" w:eastAsia="zh-CN" w:bidi="ar"/>
        </w:rPr>
        <w:t>了</w:t>
      </w:r>
      <w:r>
        <w:rPr>
          <w:rFonts w:hint="default" w:ascii="Times New Roman" w:hAnsi="Times New Roman" w:eastAsia="宋体" w:cs="Times New Roman"/>
          <w:color w:val="auto"/>
          <w:kern w:val="2"/>
          <w:sz w:val="24"/>
          <w:szCs w:val="24"/>
          <w:lang w:val="en-US" w:eastAsia="zh-CN" w:bidi="ar"/>
        </w:rPr>
        <w:t>监测。</w:t>
      </w:r>
    </w:p>
    <w:p w14:paraId="2A0E23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eastAsia" w:cs="Times New Roman"/>
          <w:color w:val="auto"/>
          <w:kern w:val="2"/>
          <w:sz w:val="24"/>
          <w:szCs w:val="24"/>
          <w:lang w:val="en-US" w:eastAsia="zh-CN" w:bidi="ar"/>
        </w:rPr>
        <w:t>治理工程效果见照片2-1至照片2-3。</w:t>
      </w:r>
    </w:p>
    <w:p w14:paraId="5189C1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2023年</w:t>
      </w:r>
      <w:r>
        <w:rPr>
          <w:rFonts w:hint="eastAsia" w:ascii="Times New Roman" w:hAnsi="Times New Roman" w:eastAsia="宋体" w:cs="Times New Roman"/>
          <w:color w:val="auto"/>
          <w:kern w:val="2"/>
          <w:sz w:val="24"/>
          <w:szCs w:val="24"/>
          <w:lang w:val="en-US" w:eastAsia="zh-CN" w:bidi="ar"/>
        </w:rPr>
        <w:t>12</w:t>
      </w:r>
      <w:r>
        <w:rPr>
          <w:rFonts w:hint="default" w:ascii="Times New Roman" w:hAnsi="Times New Roman" w:eastAsia="宋体" w:cs="Times New Roman"/>
          <w:color w:val="auto"/>
          <w:kern w:val="2"/>
          <w:sz w:val="24"/>
          <w:szCs w:val="24"/>
          <w:lang w:val="en-US" w:eastAsia="zh-CN" w:bidi="ar"/>
        </w:rPr>
        <w:t>月</w:t>
      </w:r>
      <w:r>
        <w:rPr>
          <w:rFonts w:hint="eastAsia" w:ascii="Times New Roman" w:hAnsi="Times New Roman" w:eastAsia="宋体" w:cs="Times New Roman"/>
          <w:color w:val="auto"/>
          <w:kern w:val="2"/>
          <w:sz w:val="24"/>
          <w:szCs w:val="24"/>
          <w:lang w:val="en-US" w:eastAsia="zh-CN" w:bidi="ar"/>
        </w:rPr>
        <w:t>16</w:t>
      </w:r>
      <w:r>
        <w:rPr>
          <w:rFonts w:hint="default" w:ascii="Times New Roman" w:hAnsi="Times New Roman" w:eastAsia="宋体" w:cs="Times New Roman"/>
          <w:color w:val="auto"/>
          <w:kern w:val="2"/>
          <w:sz w:val="24"/>
          <w:szCs w:val="24"/>
          <w:lang w:val="en-US" w:eastAsia="zh-CN" w:bidi="ar"/>
        </w:rPr>
        <w:t>日，赤峰市自然资源局松山区分局组织有关专家组成核查组对《赤峰矿业（集团）有限责任公司</w:t>
      </w:r>
      <w:r>
        <w:rPr>
          <w:rFonts w:hint="eastAsia" w:ascii="Times New Roman" w:hAnsi="Times New Roman" w:eastAsia="宋体" w:cs="Times New Roman"/>
          <w:color w:val="auto"/>
          <w:kern w:val="2"/>
          <w:sz w:val="24"/>
          <w:szCs w:val="24"/>
          <w:lang w:val="en-US" w:eastAsia="zh-CN" w:bidi="ar"/>
        </w:rPr>
        <w:t>赤峰市松山区徐家窝铺冰洲石矿</w:t>
      </w:r>
      <w:r>
        <w:rPr>
          <w:rFonts w:hint="default" w:ascii="Times New Roman" w:hAnsi="Times New Roman" w:eastAsia="宋体" w:cs="Times New Roman"/>
          <w:color w:val="auto"/>
          <w:kern w:val="2"/>
          <w:sz w:val="24"/>
          <w:szCs w:val="24"/>
          <w:lang w:val="en-US" w:eastAsia="zh-CN" w:bidi="ar"/>
        </w:rPr>
        <w:t>2023年度矿山地质环境治理计划书》执行情况进行</w:t>
      </w:r>
      <w:r>
        <w:rPr>
          <w:rFonts w:hint="eastAsia" w:cs="Times New Roman"/>
          <w:color w:val="auto"/>
          <w:kern w:val="2"/>
          <w:sz w:val="24"/>
          <w:szCs w:val="24"/>
          <w:lang w:val="en-US" w:eastAsia="zh-CN" w:bidi="ar"/>
        </w:rPr>
        <w:t>了</w:t>
      </w:r>
      <w:r>
        <w:rPr>
          <w:rFonts w:hint="default" w:ascii="Times New Roman" w:hAnsi="Times New Roman" w:eastAsia="宋体" w:cs="Times New Roman"/>
          <w:color w:val="auto"/>
          <w:kern w:val="2"/>
          <w:sz w:val="24"/>
          <w:szCs w:val="24"/>
          <w:lang w:val="en-US" w:eastAsia="zh-CN" w:bidi="ar"/>
        </w:rPr>
        <w:t>现场核查</w:t>
      </w:r>
      <w:r>
        <w:rPr>
          <w:rFonts w:hint="eastAsia" w:cs="Times New Roman"/>
          <w:color w:val="auto"/>
          <w:kern w:val="2"/>
          <w:sz w:val="24"/>
          <w:szCs w:val="24"/>
          <w:lang w:val="en-US" w:eastAsia="zh-CN" w:bidi="ar"/>
        </w:rPr>
        <w:t>。</w:t>
      </w:r>
    </w:p>
    <w:p w14:paraId="0BB3DA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eastAsia" w:cs="Times New Roman"/>
          <w:color w:val="auto"/>
          <w:kern w:val="2"/>
          <w:sz w:val="24"/>
          <w:szCs w:val="24"/>
          <w:lang w:val="en-US" w:eastAsia="zh-CN" w:bidi="ar"/>
        </w:rPr>
        <w:t>经</w:t>
      </w:r>
      <w:r>
        <w:rPr>
          <w:rFonts w:hint="default" w:ascii="Times New Roman" w:hAnsi="Times New Roman" w:eastAsia="宋体" w:cs="Times New Roman"/>
          <w:color w:val="auto"/>
          <w:kern w:val="2"/>
          <w:sz w:val="24"/>
          <w:szCs w:val="24"/>
          <w:lang w:val="en-US" w:eastAsia="zh-CN" w:bidi="ar"/>
        </w:rPr>
        <w:t>现场核查，矿山完成了钻机平台PT1与PT2</w:t>
      </w:r>
      <w:r>
        <w:rPr>
          <w:rFonts w:hint="eastAsia" w:ascii="Times New Roman" w:hAnsi="Times New Roman" w:eastAsia="宋体" w:cs="Times New Roman"/>
          <w:color w:val="auto"/>
          <w:kern w:val="2"/>
          <w:sz w:val="24"/>
          <w:szCs w:val="24"/>
          <w:lang w:val="en-US" w:eastAsia="zh-CN" w:bidi="ar"/>
        </w:rPr>
        <w:t>的</w:t>
      </w:r>
      <w:r>
        <w:rPr>
          <w:rFonts w:hint="default" w:ascii="Times New Roman" w:hAnsi="Times New Roman" w:eastAsia="宋体" w:cs="Times New Roman"/>
          <w:color w:val="auto"/>
          <w:kern w:val="2"/>
          <w:sz w:val="24"/>
          <w:szCs w:val="24"/>
          <w:lang w:val="en-US" w:eastAsia="zh-CN" w:bidi="ar"/>
        </w:rPr>
        <w:t>回填、整平、覆土</w:t>
      </w:r>
      <w:r>
        <w:rPr>
          <w:rFonts w:hint="eastAsia" w:ascii="Times New Roman" w:hAnsi="Times New Roman" w:eastAsia="宋体" w:cs="Times New Roman"/>
          <w:color w:val="auto"/>
          <w:kern w:val="2"/>
          <w:sz w:val="24"/>
          <w:szCs w:val="24"/>
          <w:lang w:val="en-US" w:eastAsia="zh-CN" w:bidi="ar"/>
        </w:rPr>
        <w:t>，治理单元地貌景观与周边地形协调。</w:t>
      </w:r>
      <w:r>
        <w:rPr>
          <w:rFonts w:hint="default" w:ascii="Times New Roman" w:hAnsi="Times New Roman" w:eastAsia="宋体" w:cs="Times New Roman"/>
          <w:color w:val="auto"/>
          <w:kern w:val="2"/>
          <w:sz w:val="24"/>
          <w:szCs w:val="24"/>
          <w:lang w:val="en-US" w:eastAsia="zh-CN" w:bidi="ar"/>
        </w:rPr>
        <w:t>治理计划书</w:t>
      </w:r>
      <w:r>
        <w:rPr>
          <w:rFonts w:hint="eastAsia" w:ascii="Times New Roman" w:hAnsi="Times New Roman" w:eastAsia="宋体" w:cs="Times New Roman"/>
          <w:color w:val="auto"/>
          <w:kern w:val="2"/>
          <w:sz w:val="24"/>
          <w:szCs w:val="24"/>
          <w:lang w:val="en-US" w:eastAsia="zh-CN" w:bidi="ar"/>
        </w:rPr>
        <w:t>之外，完成了矿区道路的回填整形与覆土；完成了对位于河道中的探坑的回填。</w:t>
      </w:r>
      <w:r>
        <w:rPr>
          <w:rFonts w:hint="default" w:ascii="Times New Roman" w:hAnsi="Times New Roman" w:eastAsia="宋体" w:cs="Times New Roman"/>
          <w:color w:val="auto"/>
          <w:kern w:val="2"/>
          <w:sz w:val="24"/>
          <w:szCs w:val="24"/>
          <w:lang w:val="en-US" w:eastAsia="zh-CN" w:bidi="ar"/>
        </w:rPr>
        <w:t>赤峰市松山区徐家窝铺冰洲石矿</w:t>
      </w:r>
      <w:r>
        <w:rPr>
          <w:rFonts w:hint="eastAsia" w:ascii="Times New Roman" w:hAnsi="Times New Roman" w:eastAsia="宋体" w:cs="Times New Roman"/>
          <w:color w:val="auto"/>
          <w:kern w:val="2"/>
          <w:sz w:val="24"/>
          <w:szCs w:val="24"/>
          <w:lang w:val="en-US" w:eastAsia="zh-CN" w:bidi="ar"/>
        </w:rPr>
        <w:t>2023</w:t>
      </w:r>
      <w:r>
        <w:rPr>
          <w:rFonts w:hint="default" w:ascii="Times New Roman" w:hAnsi="Times New Roman" w:eastAsia="宋体" w:cs="Times New Roman"/>
          <w:color w:val="auto"/>
          <w:kern w:val="2"/>
          <w:sz w:val="24"/>
          <w:szCs w:val="24"/>
          <w:lang w:val="en-US" w:eastAsia="zh-CN" w:bidi="ar"/>
        </w:rPr>
        <w:t>年度矿山地质环境治理</w:t>
      </w:r>
      <w:r>
        <w:rPr>
          <w:rFonts w:hint="eastAsia" w:cs="Times New Roman"/>
          <w:color w:val="auto"/>
          <w:kern w:val="2"/>
          <w:sz w:val="24"/>
          <w:szCs w:val="24"/>
          <w:lang w:val="en-US" w:eastAsia="zh-CN" w:bidi="ar"/>
        </w:rPr>
        <w:t>工程通过了专家组的核查</w:t>
      </w:r>
      <w:r>
        <w:rPr>
          <w:rFonts w:hint="default" w:ascii="Times New Roman" w:hAnsi="Times New Roman" w:eastAsia="宋体" w:cs="Times New Roman"/>
          <w:color w:val="auto"/>
          <w:kern w:val="2"/>
          <w:sz w:val="24"/>
          <w:szCs w:val="24"/>
          <w:lang w:val="en-US" w:eastAsia="zh-CN" w:bidi="ar"/>
        </w:rPr>
        <w:t>。</w:t>
      </w:r>
    </w:p>
    <w:p w14:paraId="1BBF72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1"/>
          <w:szCs w:val="24"/>
          <w:lang w:val="en-US" w:eastAsia="zh-CN" w:bidi="ar"/>
        </w:rPr>
        <w:drawing>
          <wp:anchor distT="0" distB="0" distL="114300" distR="114300" simplePos="0" relativeHeight="251665408" behindDoc="0" locked="0" layoutInCell="1" allowOverlap="1">
            <wp:simplePos x="0" y="0"/>
            <wp:positionH relativeFrom="column">
              <wp:posOffset>2811145</wp:posOffset>
            </wp:positionH>
            <wp:positionV relativeFrom="paragraph">
              <wp:posOffset>126365</wp:posOffset>
            </wp:positionV>
            <wp:extent cx="2647950" cy="1986280"/>
            <wp:effectExtent l="9525" t="9525" r="9525" b="23495"/>
            <wp:wrapNone/>
            <wp:docPr id="3" name="图片 856" descr="IMG202212201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56" descr="IMG20221220101155"/>
                    <pic:cNvPicPr>
                      <a:picLocks noChangeAspect="1"/>
                    </pic:cNvPicPr>
                  </pic:nvPicPr>
                  <pic:blipFill>
                    <a:blip r:embed="rId16"/>
                    <a:stretch>
                      <a:fillRect/>
                    </a:stretch>
                  </pic:blipFill>
                  <pic:spPr>
                    <a:xfrm>
                      <a:off x="0" y="0"/>
                      <a:ext cx="2647950" cy="1986280"/>
                    </a:xfrm>
                    <a:prstGeom prst="rect">
                      <a:avLst/>
                    </a:prstGeom>
                    <a:noFill/>
                    <a:ln>
                      <a:solidFill>
                        <a:schemeClr val="tx1"/>
                      </a:solidFill>
                    </a:ln>
                  </pic:spPr>
                </pic:pic>
              </a:graphicData>
            </a:graphic>
          </wp:anchor>
        </w:drawing>
      </w:r>
      <w:r>
        <w:rPr>
          <w:rFonts w:hint="default" w:ascii="Times New Roman" w:hAnsi="Times New Roman" w:eastAsia="宋体" w:cs="Times New Roman"/>
          <w:color w:val="auto"/>
          <w:kern w:val="0"/>
          <w:sz w:val="21"/>
          <w:szCs w:val="21"/>
          <w:lang w:val="en-US" w:eastAsia="zh-CN" w:bidi="ar"/>
        </w:rPr>
        <w:drawing>
          <wp:anchor distT="0" distB="0" distL="114300" distR="114300" simplePos="0" relativeHeight="251664384" behindDoc="0" locked="0" layoutInCell="1" allowOverlap="1">
            <wp:simplePos x="0" y="0"/>
            <wp:positionH relativeFrom="column">
              <wp:posOffset>19050</wp:posOffset>
            </wp:positionH>
            <wp:positionV relativeFrom="paragraph">
              <wp:posOffset>97790</wp:posOffset>
            </wp:positionV>
            <wp:extent cx="2657475" cy="1993265"/>
            <wp:effectExtent l="9525" t="9525" r="19050" b="16510"/>
            <wp:wrapNone/>
            <wp:docPr id="2" name="图片 857" descr="IMG20221220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7" descr="IMG20221220100024"/>
                    <pic:cNvPicPr>
                      <a:picLocks noChangeAspect="1"/>
                    </pic:cNvPicPr>
                  </pic:nvPicPr>
                  <pic:blipFill>
                    <a:blip r:embed="rId17"/>
                    <a:stretch>
                      <a:fillRect/>
                    </a:stretch>
                  </pic:blipFill>
                  <pic:spPr>
                    <a:xfrm>
                      <a:off x="0" y="0"/>
                      <a:ext cx="2657475" cy="1993265"/>
                    </a:xfrm>
                    <a:prstGeom prst="rect">
                      <a:avLst/>
                    </a:prstGeom>
                    <a:noFill/>
                    <a:ln>
                      <a:solidFill>
                        <a:schemeClr val="tx1"/>
                      </a:solidFill>
                    </a:ln>
                  </pic:spPr>
                </pic:pic>
              </a:graphicData>
            </a:graphic>
          </wp:anchor>
        </w:drawing>
      </w:r>
    </w:p>
    <w:p w14:paraId="5CAE741B">
      <w:pPr>
        <w:pStyle w:val="2"/>
        <w:rPr>
          <w:rFonts w:hint="default" w:ascii="Times New Roman" w:hAnsi="Times New Roman" w:eastAsia="宋体" w:cs="Times New Roman"/>
          <w:color w:val="auto"/>
          <w:kern w:val="2"/>
          <w:sz w:val="24"/>
          <w:szCs w:val="24"/>
          <w:lang w:val="en-US" w:eastAsia="zh-CN" w:bidi="ar"/>
        </w:rPr>
      </w:pPr>
    </w:p>
    <w:p w14:paraId="2455090F">
      <w:pPr>
        <w:pStyle w:val="2"/>
        <w:rPr>
          <w:rFonts w:hint="default" w:ascii="Times New Roman" w:hAnsi="Times New Roman" w:eastAsia="宋体" w:cs="Times New Roman"/>
          <w:color w:val="auto"/>
          <w:kern w:val="2"/>
          <w:sz w:val="24"/>
          <w:szCs w:val="24"/>
          <w:lang w:val="en-US" w:eastAsia="zh-CN" w:bidi="ar"/>
        </w:rPr>
      </w:pPr>
    </w:p>
    <w:p w14:paraId="15A813C9">
      <w:pPr>
        <w:pStyle w:val="2"/>
        <w:rPr>
          <w:rFonts w:hint="default" w:ascii="Times New Roman" w:hAnsi="Times New Roman" w:eastAsia="宋体" w:cs="Times New Roman"/>
          <w:color w:val="auto"/>
          <w:kern w:val="2"/>
          <w:sz w:val="24"/>
          <w:szCs w:val="24"/>
          <w:lang w:val="en-US" w:eastAsia="zh-CN" w:bidi="ar"/>
        </w:rPr>
      </w:pPr>
    </w:p>
    <w:p w14:paraId="7C0E520B">
      <w:pPr>
        <w:pStyle w:val="2"/>
        <w:rPr>
          <w:rFonts w:hint="default" w:ascii="Times New Roman" w:hAnsi="Times New Roman" w:eastAsia="宋体" w:cs="Times New Roman"/>
          <w:color w:val="auto"/>
          <w:kern w:val="2"/>
          <w:sz w:val="24"/>
          <w:szCs w:val="24"/>
          <w:lang w:val="en-US" w:eastAsia="zh-CN" w:bidi="ar"/>
        </w:rPr>
      </w:pPr>
    </w:p>
    <w:p w14:paraId="7DF91B4F">
      <w:pPr>
        <w:pStyle w:val="2"/>
        <w:rPr>
          <w:rFonts w:hint="default" w:ascii="Times New Roman" w:hAnsi="Times New Roman" w:eastAsia="宋体" w:cs="Times New Roman"/>
          <w:color w:val="auto"/>
          <w:kern w:val="2"/>
          <w:sz w:val="24"/>
          <w:szCs w:val="24"/>
          <w:lang w:val="en-US" w:eastAsia="zh-CN" w:bidi="ar"/>
        </w:rPr>
      </w:pPr>
    </w:p>
    <w:p w14:paraId="787BE0A4">
      <w:pPr>
        <w:pStyle w:val="2"/>
        <w:rPr>
          <w:rFonts w:hint="default" w:ascii="Times New Roman" w:hAnsi="Times New Roman" w:eastAsia="宋体" w:cs="Times New Roman"/>
          <w:color w:val="auto"/>
          <w:kern w:val="2"/>
          <w:sz w:val="24"/>
          <w:szCs w:val="24"/>
          <w:lang w:val="en-US" w:eastAsia="zh-CN" w:bidi="ar"/>
        </w:rPr>
      </w:pPr>
    </w:p>
    <w:p w14:paraId="67B7E6CA">
      <w:pPr>
        <w:pStyle w:val="2"/>
        <w:rPr>
          <w:rFonts w:hint="default" w:ascii="Times New Roman" w:hAnsi="Times New Roman" w:eastAsia="宋体" w:cs="Times New Roman"/>
          <w:color w:val="auto"/>
          <w:kern w:val="2"/>
          <w:sz w:val="24"/>
          <w:szCs w:val="24"/>
          <w:lang w:val="en-US" w:eastAsia="zh-CN" w:bidi="ar"/>
        </w:rPr>
      </w:pPr>
    </w:p>
    <w:p w14:paraId="057B6B72">
      <w:pPr>
        <w:pStyle w:val="2"/>
        <w:rPr>
          <w:rFonts w:hint="default" w:ascii="Times New Roman" w:hAnsi="Times New Roman" w:eastAsia="宋体" w:cs="Times New Roman"/>
          <w:color w:val="auto"/>
          <w:kern w:val="2"/>
          <w:sz w:val="24"/>
          <w:szCs w:val="24"/>
          <w:lang w:val="en-US" w:eastAsia="zh-CN" w:bidi="ar"/>
        </w:rPr>
      </w:pPr>
    </w:p>
    <w:p w14:paraId="25A91018">
      <w:pPr>
        <w:pStyle w:val="2"/>
        <w:rPr>
          <w:rFonts w:hint="default" w:ascii="Times New Roman" w:hAnsi="Times New Roman" w:eastAsia="宋体" w:cs="Times New Roman"/>
          <w:color w:val="auto"/>
          <w:kern w:val="2"/>
          <w:sz w:val="24"/>
          <w:szCs w:val="24"/>
          <w:lang w:val="en-US" w:eastAsia="zh-CN" w:bidi="ar"/>
        </w:rPr>
      </w:pPr>
    </w:p>
    <w:p w14:paraId="2F622B18">
      <w:pPr>
        <w:pStyle w:val="2"/>
        <w:rPr>
          <w:rFonts w:hint="default" w:ascii="Times New Roman" w:hAnsi="Times New Roman" w:eastAsia="宋体" w:cs="Times New Roman"/>
          <w:color w:val="auto"/>
          <w:kern w:val="2"/>
          <w:sz w:val="24"/>
          <w:szCs w:val="24"/>
          <w:lang w:val="en-US" w:eastAsia="zh-CN" w:bidi="ar"/>
        </w:rPr>
      </w:pPr>
    </w:p>
    <w:p w14:paraId="24D9ABDF">
      <w:pPr>
        <w:pStyle w:val="2"/>
        <w:rPr>
          <w:rFonts w:hint="default" w:ascii="Times New Roman" w:hAnsi="Times New Roman" w:eastAsia="宋体" w:cs="Times New Roman"/>
          <w:color w:val="auto"/>
          <w:kern w:val="2"/>
          <w:sz w:val="24"/>
          <w:szCs w:val="24"/>
          <w:lang w:val="en-US" w:eastAsia="zh-CN" w:bidi="ar"/>
        </w:rPr>
      </w:pPr>
    </w:p>
    <w:p w14:paraId="17758E59">
      <w:pPr>
        <w:pStyle w:val="28"/>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照片</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-1  钻机平台</w:t>
      </w:r>
      <w:r>
        <w:rPr>
          <w:rFonts w:hint="eastAsia" w:cs="Times New Roman"/>
          <w:b/>
          <w:bCs/>
          <w:color w:val="auto"/>
          <w:sz w:val="21"/>
          <w:szCs w:val="21"/>
          <w:lang w:val="en-US" w:eastAsia="zh-CN"/>
        </w:rPr>
        <w:t>PT1与PT2治理之前的</w:t>
      </w:r>
      <w:r>
        <w:rPr>
          <w:rFonts w:hint="default" w:ascii="Times New Roman" w:hAnsi="Times New Roman" w:eastAsia="宋体" w:cs="Times New Roman"/>
          <w:b/>
          <w:bCs/>
          <w:color w:val="auto"/>
          <w:sz w:val="21"/>
          <w:szCs w:val="21"/>
          <w:lang w:val="en-US" w:eastAsia="zh-CN"/>
        </w:rPr>
        <w:t>照片</w:t>
      </w:r>
    </w:p>
    <w:p w14:paraId="177F3F96">
      <w:pPr>
        <w:pStyle w:val="2"/>
        <w:rPr>
          <w:rFonts w:hint="eastAsia" w:ascii="Times New Roman" w:hAnsi="Times New Roman" w:eastAsia="宋体" w:cs="Times New Roman"/>
          <w:color w:val="auto"/>
          <w:kern w:val="2"/>
          <w:sz w:val="24"/>
          <w:szCs w:val="24"/>
          <w:lang w:val="en-US" w:eastAsia="zh-CN" w:bidi="ar"/>
        </w:rPr>
      </w:pPr>
      <w:r>
        <w:rPr>
          <w:rFonts w:hint="eastAsia"/>
          <w:color w:val="auto"/>
          <w:lang w:eastAsia="zh-CN"/>
        </w:rPr>
        <w:t xml:space="preserve">       </w:t>
      </w:r>
    </w:p>
    <w:p w14:paraId="744E294E">
      <w:pPr>
        <w:pStyle w:val="28"/>
        <w:keepNext w:val="0"/>
        <w:keepLines w:val="0"/>
        <w:pageBreakBefore w:val="0"/>
        <w:widowControl w:val="0"/>
        <w:kinsoku/>
        <w:wordWrap w:val="0"/>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p w14:paraId="3F0E9F5C">
      <w:pPr>
        <w:pStyle w:val="28"/>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照片</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钻机平台</w:t>
      </w:r>
      <w:r>
        <w:rPr>
          <w:rFonts w:hint="eastAsia" w:cs="Times New Roman"/>
          <w:b/>
          <w:bCs/>
          <w:color w:val="auto"/>
          <w:sz w:val="21"/>
          <w:szCs w:val="21"/>
          <w:lang w:val="en-US" w:eastAsia="zh-CN"/>
        </w:rPr>
        <w:t>PT1治理后的效果</w:t>
      </w:r>
      <w:r>
        <w:rPr>
          <w:rFonts w:hint="default" w:ascii="Times New Roman" w:hAnsi="Times New Roman" w:eastAsia="宋体" w:cs="Times New Roman"/>
          <w:b/>
          <w:bCs/>
          <w:color w:val="auto"/>
          <w:sz w:val="21"/>
          <w:szCs w:val="21"/>
          <w:lang w:val="en-US" w:eastAsia="zh-CN"/>
        </w:rPr>
        <w:t>照片</w:t>
      </w:r>
    </w:p>
    <w:p w14:paraId="39FA538E">
      <w:pPr>
        <w:pStyle w:val="2"/>
        <w:rPr>
          <w:rFonts w:hint="eastAsia" w:ascii="Times New Roman" w:hAnsi="Times New Roman" w:eastAsia="宋体" w:cs="Times New Roman"/>
          <w:color w:val="auto"/>
          <w:kern w:val="2"/>
          <w:sz w:val="24"/>
          <w:szCs w:val="24"/>
          <w:lang w:val="en-US" w:eastAsia="zh-CN" w:bidi="ar"/>
        </w:rPr>
      </w:pPr>
      <w:r>
        <w:rPr>
          <w:rFonts w:hint="eastAsia"/>
          <w:color w:val="auto"/>
          <w:lang w:eastAsia="zh-CN"/>
        </w:rPr>
        <w:t xml:space="preserve">       </w:t>
      </w:r>
    </w:p>
    <w:p w14:paraId="02A65211">
      <w:pPr>
        <w:pStyle w:val="28"/>
        <w:keepNext w:val="0"/>
        <w:keepLines w:val="0"/>
        <w:pageBreakBefore w:val="0"/>
        <w:widowControl w:val="0"/>
        <w:kinsoku/>
        <w:wordWrap w:val="0"/>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p w14:paraId="7ADF81BF">
      <w:pPr>
        <w:pStyle w:val="28"/>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照片</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钻机平台</w:t>
      </w:r>
      <w:r>
        <w:rPr>
          <w:rFonts w:hint="eastAsia" w:cs="Times New Roman"/>
          <w:b/>
          <w:bCs/>
          <w:color w:val="auto"/>
          <w:sz w:val="21"/>
          <w:szCs w:val="21"/>
          <w:lang w:val="en-US" w:eastAsia="zh-CN"/>
        </w:rPr>
        <w:t>PT2治理后的效果</w:t>
      </w:r>
      <w:r>
        <w:rPr>
          <w:rFonts w:hint="default" w:ascii="Times New Roman" w:hAnsi="Times New Roman" w:eastAsia="宋体" w:cs="Times New Roman"/>
          <w:b/>
          <w:bCs/>
          <w:color w:val="auto"/>
          <w:sz w:val="21"/>
          <w:szCs w:val="21"/>
          <w:lang w:val="en-US" w:eastAsia="zh-CN"/>
        </w:rPr>
        <w:t>照片</w:t>
      </w:r>
    </w:p>
    <w:p w14:paraId="7949E3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赤峰矿业（集团）有限责任公司拟通过编制《</w:t>
      </w:r>
      <w:r>
        <w:rPr>
          <w:rFonts w:hint="default" w:ascii="Times New Roman" w:hAnsi="Times New Roman" w:eastAsia="宋体" w:cs="Times New Roman"/>
          <w:color w:val="auto"/>
          <w:sz w:val="24"/>
          <w:szCs w:val="24"/>
          <w:lang w:val="en-US" w:eastAsia="zh-CN"/>
        </w:rPr>
        <w:t>赤峰矿业（集团）有限责任公司赤峰市松山区徐家窝铺冰洲石矿</w:t>
      </w:r>
      <w:r>
        <w:rPr>
          <w:rFonts w:hint="eastAsia" w:cs="Times New Roman"/>
          <w:color w:val="auto"/>
          <w:kern w:val="2"/>
          <w:sz w:val="24"/>
          <w:szCs w:val="24"/>
          <w:lang w:val="en-US" w:eastAsia="zh-CN" w:bidi="ar"/>
        </w:rPr>
        <w:t>2025</w:t>
      </w:r>
      <w:r>
        <w:rPr>
          <w:rFonts w:hint="default" w:ascii="Times New Roman" w:hAnsi="Times New Roman" w:eastAsia="宋体" w:cs="Times New Roman"/>
          <w:color w:val="auto"/>
          <w:kern w:val="2"/>
          <w:sz w:val="24"/>
          <w:szCs w:val="24"/>
          <w:lang w:val="en-US" w:eastAsia="zh-CN" w:bidi="ar"/>
        </w:rPr>
        <w:t>年度矿山地质环境治理计划书》完成</w:t>
      </w:r>
      <w:r>
        <w:rPr>
          <w:rFonts w:hint="eastAsia" w:cs="Times New Roman"/>
          <w:color w:val="auto"/>
          <w:kern w:val="2"/>
          <w:sz w:val="24"/>
          <w:szCs w:val="24"/>
          <w:lang w:val="en-US" w:eastAsia="zh-CN" w:bidi="ar"/>
        </w:rPr>
        <w:t>并完善</w:t>
      </w:r>
      <w:r>
        <w:rPr>
          <w:rFonts w:hint="default" w:ascii="Times New Roman" w:hAnsi="Times New Roman" w:eastAsia="宋体" w:cs="Times New Roman"/>
          <w:color w:val="auto"/>
          <w:kern w:val="2"/>
          <w:sz w:val="24"/>
          <w:szCs w:val="24"/>
          <w:lang w:val="en-US" w:eastAsia="zh-CN" w:bidi="ar"/>
        </w:rPr>
        <w:t>《方案》规划的近期</w:t>
      </w:r>
      <w:r>
        <w:rPr>
          <w:rFonts w:hint="eastAsia" w:cs="Times New Roman"/>
          <w:color w:val="auto"/>
          <w:kern w:val="2"/>
          <w:sz w:val="24"/>
          <w:szCs w:val="24"/>
          <w:lang w:val="en-US" w:eastAsia="zh-CN" w:bidi="ar"/>
        </w:rPr>
        <w:t>“应治可治”</w:t>
      </w:r>
      <w:r>
        <w:rPr>
          <w:rFonts w:hint="default" w:ascii="Times New Roman" w:hAnsi="Times New Roman" w:eastAsia="宋体" w:cs="Times New Roman"/>
          <w:color w:val="auto"/>
          <w:kern w:val="2"/>
          <w:sz w:val="24"/>
          <w:szCs w:val="24"/>
          <w:lang w:val="en-US" w:eastAsia="zh-CN" w:bidi="ar"/>
        </w:rPr>
        <w:t>治理工程内容。</w:t>
      </w:r>
    </w:p>
    <w:p w14:paraId="5F1352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111125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3D449B2C">
      <w:pPr>
        <w:pStyle w:val="2"/>
        <w:rPr>
          <w:rFonts w:hint="default" w:ascii="Times New Roman" w:hAnsi="Times New Roman" w:eastAsia="宋体" w:cs="Times New Roman"/>
          <w:color w:val="auto"/>
          <w:kern w:val="2"/>
          <w:sz w:val="24"/>
          <w:szCs w:val="24"/>
          <w:lang w:val="en-US" w:eastAsia="zh-CN" w:bidi="ar"/>
        </w:rPr>
      </w:pPr>
    </w:p>
    <w:p w14:paraId="1B4D8801">
      <w:pPr>
        <w:pStyle w:val="2"/>
        <w:rPr>
          <w:rFonts w:hint="default" w:ascii="Times New Roman" w:hAnsi="Times New Roman" w:eastAsia="宋体" w:cs="Times New Roman"/>
          <w:color w:val="auto"/>
          <w:kern w:val="2"/>
          <w:sz w:val="24"/>
          <w:szCs w:val="24"/>
          <w:lang w:val="en-US" w:eastAsia="zh-CN" w:bidi="ar"/>
        </w:rPr>
      </w:pPr>
    </w:p>
    <w:p w14:paraId="0E108F71">
      <w:pPr>
        <w:pStyle w:val="2"/>
        <w:rPr>
          <w:rFonts w:hint="default" w:ascii="Times New Roman" w:hAnsi="Times New Roman" w:eastAsia="宋体" w:cs="Times New Roman"/>
          <w:color w:val="auto"/>
          <w:kern w:val="2"/>
          <w:sz w:val="24"/>
          <w:szCs w:val="24"/>
          <w:lang w:val="en-US" w:eastAsia="zh-CN" w:bidi="ar"/>
        </w:rPr>
      </w:pPr>
    </w:p>
    <w:p w14:paraId="5DA70CDC">
      <w:pPr>
        <w:pStyle w:val="2"/>
        <w:rPr>
          <w:rFonts w:hint="default" w:ascii="Times New Roman" w:hAnsi="Times New Roman" w:eastAsia="宋体" w:cs="Times New Roman"/>
          <w:color w:val="auto"/>
          <w:kern w:val="2"/>
          <w:sz w:val="24"/>
          <w:szCs w:val="24"/>
          <w:lang w:val="en-US" w:eastAsia="zh-CN" w:bidi="ar"/>
        </w:rPr>
      </w:pPr>
    </w:p>
    <w:p w14:paraId="5CE4CEC1">
      <w:pPr>
        <w:pStyle w:val="2"/>
        <w:rPr>
          <w:rFonts w:hint="default" w:ascii="Times New Roman" w:hAnsi="Times New Roman" w:eastAsia="宋体" w:cs="Times New Roman"/>
          <w:color w:val="auto"/>
          <w:kern w:val="2"/>
          <w:sz w:val="24"/>
          <w:szCs w:val="24"/>
          <w:lang w:val="en-US" w:eastAsia="zh-CN" w:bidi="ar"/>
        </w:rPr>
      </w:pPr>
    </w:p>
    <w:p w14:paraId="42051A1A">
      <w:pPr>
        <w:pStyle w:val="2"/>
        <w:rPr>
          <w:rFonts w:hint="default" w:ascii="Times New Roman" w:hAnsi="Times New Roman" w:eastAsia="宋体" w:cs="Times New Roman"/>
          <w:color w:val="auto"/>
          <w:kern w:val="2"/>
          <w:sz w:val="24"/>
          <w:szCs w:val="24"/>
          <w:lang w:val="en-US" w:eastAsia="zh-CN" w:bidi="ar"/>
        </w:rPr>
      </w:pPr>
    </w:p>
    <w:p w14:paraId="67352FAA">
      <w:pPr>
        <w:pStyle w:val="2"/>
        <w:rPr>
          <w:rFonts w:hint="default" w:ascii="Times New Roman" w:hAnsi="Times New Roman" w:eastAsia="宋体" w:cs="Times New Roman"/>
          <w:color w:val="auto"/>
          <w:kern w:val="2"/>
          <w:sz w:val="24"/>
          <w:szCs w:val="24"/>
          <w:lang w:val="en-US" w:eastAsia="zh-CN" w:bidi="ar"/>
        </w:rPr>
      </w:pPr>
    </w:p>
    <w:p w14:paraId="2DD3CF34">
      <w:pPr>
        <w:pStyle w:val="2"/>
        <w:rPr>
          <w:rFonts w:hint="default" w:ascii="Times New Roman" w:hAnsi="Times New Roman" w:eastAsia="宋体" w:cs="Times New Roman"/>
          <w:color w:val="auto"/>
          <w:kern w:val="2"/>
          <w:sz w:val="24"/>
          <w:szCs w:val="24"/>
          <w:lang w:val="en-US" w:eastAsia="zh-CN" w:bidi="ar"/>
        </w:rPr>
      </w:pPr>
    </w:p>
    <w:p w14:paraId="18233484">
      <w:pPr>
        <w:pStyle w:val="2"/>
        <w:rPr>
          <w:rFonts w:hint="default" w:ascii="Times New Roman" w:hAnsi="Times New Roman" w:eastAsia="宋体" w:cs="Times New Roman"/>
          <w:color w:val="auto"/>
          <w:kern w:val="2"/>
          <w:sz w:val="24"/>
          <w:szCs w:val="24"/>
          <w:lang w:val="en-US" w:eastAsia="zh-CN" w:bidi="ar"/>
        </w:rPr>
      </w:pPr>
    </w:p>
    <w:p w14:paraId="582E3991">
      <w:pPr>
        <w:pStyle w:val="2"/>
        <w:rPr>
          <w:rFonts w:hint="default" w:ascii="Times New Roman" w:hAnsi="Times New Roman" w:eastAsia="宋体" w:cs="Times New Roman"/>
          <w:color w:val="auto"/>
          <w:kern w:val="2"/>
          <w:sz w:val="24"/>
          <w:szCs w:val="24"/>
          <w:lang w:val="en-US" w:eastAsia="zh-CN" w:bidi="ar"/>
        </w:rPr>
      </w:pPr>
    </w:p>
    <w:p w14:paraId="6F1A1B4F">
      <w:pPr>
        <w:pStyle w:val="2"/>
        <w:rPr>
          <w:rFonts w:hint="default" w:ascii="Times New Roman" w:hAnsi="Times New Roman" w:eastAsia="宋体" w:cs="Times New Roman"/>
          <w:color w:val="auto"/>
          <w:kern w:val="2"/>
          <w:sz w:val="24"/>
          <w:szCs w:val="24"/>
          <w:lang w:val="en-US" w:eastAsia="zh-CN" w:bidi="ar"/>
        </w:rPr>
      </w:pPr>
    </w:p>
    <w:p w14:paraId="0AB8D657">
      <w:pPr>
        <w:pStyle w:val="2"/>
        <w:rPr>
          <w:rFonts w:hint="default" w:ascii="Times New Roman" w:hAnsi="Times New Roman" w:eastAsia="宋体" w:cs="Times New Roman"/>
          <w:color w:val="auto"/>
          <w:kern w:val="2"/>
          <w:sz w:val="24"/>
          <w:szCs w:val="24"/>
          <w:lang w:val="en-US" w:eastAsia="zh-CN" w:bidi="ar"/>
        </w:rPr>
      </w:pPr>
    </w:p>
    <w:p w14:paraId="0E56F709">
      <w:pPr>
        <w:pStyle w:val="2"/>
        <w:rPr>
          <w:rFonts w:hint="default" w:ascii="Times New Roman" w:hAnsi="Times New Roman" w:eastAsia="宋体" w:cs="Times New Roman"/>
          <w:color w:val="auto"/>
          <w:kern w:val="2"/>
          <w:sz w:val="24"/>
          <w:szCs w:val="24"/>
          <w:lang w:val="en-US" w:eastAsia="zh-CN" w:bidi="ar"/>
        </w:rPr>
      </w:pPr>
    </w:p>
    <w:p w14:paraId="209CFBE3">
      <w:pPr>
        <w:pStyle w:val="2"/>
        <w:rPr>
          <w:rFonts w:hint="default" w:ascii="Times New Roman" w:hAnsi="Times New Roman" w:eastAsia="宋体" w:cs="Times New Roman"/>
          <w:color w:val="auto"/>
          <w:kern w:val="2"/>
          <w:sz w:val="24"/>
          <w:szCs w:val="24"/>
          <w:lang w:val="en-US" w:eastAsia="zh-CN" w:bidi="ar"/>
        </w:rPr>
      </w:pPr>
    </w:p>
    <w:p w14:paraId="5AF7ACFC">
      <w:pPr>
        <w:pStyle w:val="2"/>
        <w:rPr>
          <w:rFonts w:hint="default" w:ascii="Times New Roman" w:hAnsi="Times New Roman" w:eastAsia="宋体" w:cs="Times New Roman"/>
          <w:color w:val="auto"/>
          <w:kern w:val="2"/>
          <w:sz w:val="24"/>
          <w:szCs w:val="24"/>
          <w:lang w:val="en-US" w:eastAsia="zh-CN" w:bidi="ar"/>
        </w:rPr>
      </w:pPr>
    </w:p>
    <w:p w14:paraId="0C454008">
      <w:pPr>
        <w:pStyle w:val="2"/>
        <w:rPr>
          <w:rFonts w:hint="default" w:ascii="Times New Roman" w:hAnsi="Times New Roman" w:eastAsia="宋体" w:cs="Times New Roman"/>
          <w:color w:val="auto"/>
          <w:kern w:val="2"/>
          <w:sz w:val="24"/>
          <w:szCs w:val="24"/>
          <w:lang w:val="en-US" w:eastAsia="zh-CN" w:bidi="ar"/>
        </w:rPr>
      </w:pPr>
    </w:p>
    <w:p w14:paraId="0C850139">
      <w:pPr>
        <w:pStyle w:val="2"/>
        <w:rPr>
          <w:rFonts w:hint="default" w:ascii="Times New Roman" w:hAnsi="Times New Roman" w:eastAsia="宋体" w:cs="Times New Roman"/>
          <w:color w:val="auto"/>
          <w:kern w:val="2"/>
          <w:sz w:val="24"/>
          <w:szCs w:val="24"/>
          <w:lang w:val="en-US" w:eastAsia="zh-CN" w:bidi="ar"/>
        </w:rPr>
      </w:pPr>
    </w:p>
    <w:p w14:paraId="1502578D">
      <w:pPr>
        <w:pStyle w:val="2"/>
        <w:rPr>
          <w:rFonts w:hint="default" w:ascii="Times New Roman" w:hAnsi="Times New Roman" w:eastAsia="宋体" w:cs="Times New Roman"/>
          <w:color w:val="auto"/>
          <w:kern w:val="2"/>
          <w:sz w:val="24"/>
          <w:szCs w:val="24"/>
          <w:lang w:val="en-US" w:eastAsia="zh-CN" w:bidi="ar"/>
        </w:rPr>
      </w:pPr>
    </w:p>
    <w:p w14:paraId="276A7CB2">
      <w:pPr>
        <w:pStyle w:val="2"/>
        <w:rPr>
          <w:rFonts w:hint="default" w:ascii="Times New Roman" w:hAnsi="Times New Roman" w:eastAsia="宋体" w:cs="Times New Roman"/>
          <w:color w:val="auto"/>
          <w:kern w:val="2"/>
          <w:sz w:val="24"/>
          <w:szCs w:val="24"/>
          <w:lang w:val="en-US" w:eastAsia="zh-CN" w:bidi="ar"/>
        </w:rPr>
      </w:pPr>
    </w:p>
    <w:p w14:paraId="7D403CC0">
      <w:pPr>
        <w:pStyle w:val="2"/>
        <w:rPr>
          <w:rFonts w:hint="default" w:ascii="Times New Roman" w:hAnsi="Times New Roman" w:eastAsia="宋体" w:cs="Times New Roman"/>
          <w:color w:val="auto"/>
          <w:kern w:val="2"/>
          <w:sz w:val="24"/>
          <w:szCs w:val="24"/>
          <w:lang w:val="en-US" w:eastAsia="zh-CN" w:bidi="ar"/>
        </w:rPr>
      </w:pPr>
    </w:p>
    <w:p w14:paraId="1A2BAE8F">
      <w:pPr>
        <w:pStyle w:val="2"/>
        <w:rPr>
          <w:rFonts w:hint="default" w:ascii="Times New Roman" w:hAnsi="Times New Roman" w:eastAsia="宋体" w:cs="Times New Roman"/>
          <w:color w:val="auto"/>
          <w:kern w:val="2"/>
          <w:sz w:val="24"/>
          <w:szCs w:val="24"/>
          <w:lang w:val="en-US" w:eastAsia="zh-CN" w:bidi="ar"/>
        </w:rPr>
      </w:pPr>
    </w:p>
    <w:p w14:paraId="2DEB9385">
      <w:pPr>
        <w:pStyle w:val="2"/>
        <w:rPr>
          <w:rFonts w:hint="default" w:ascii="Times New Roman" w:hAnsi="Times New Roman" w:eastAsia="宋体" w:cs="Times New Roman"/>
          <w:color w:val="auto"/>
          <w:kern w:val="2"/>
          <w:sz w:val="24"/>
          <w:szCs w:val="24"/>
          <w:lang w:val="en-US" w:eastAsia="zh-CN" w:bidi="ar"/>
        </w:rPr>
      </w:pPr>
    </w:p>
    <w:p w14:paraId="7DAECAA2">
      <w:pPr>
        <w:pStyle w:val="2"/>
        <w:rPr>
          <w:rFonts w:hint="default" w:ascii="Times New Roman" w:hAnsi="Times New Roman" w:eastAsia="宋体" w:cs="Times New Roman"/>
          <w:color w:val="auto"/>
          <w:kern w:val="2"/>
          <w:sz w:val="24"/>
          <w:szCs w:val="24"/>
          <w:lang w:val="en-US" w:eastAsia="zh-CN" w:bidi="ar"/>
        </w:rPr>
      </w:pPr>
    </w:p>
    <w:p w14:paraId="244B302C">
      <w:pPr>
        <w:pStyle w:val="2"/>
        <w:rPr>
          <w:rFonts w:hint="default" w:ascii="Times New Roman" w:hAnsi="Times New Roman" w:eastAsia="宋体" w:cs="Times New Roman"/>
          <w:color w:val="auto"/>
          <w:kern w:val="2"/>
          <w:sz w:val="24"/>
          <w:szCs w:val="24"/>
          <w:lang w:val="en-US" w:eastAsia="zh-CN" w:bidi="ar"/>
        </w:rPr>
      </w:pPr>
    </w:p>
    <w:p w14:paraId="19595EAE">
      <w:pPr>
        <w:pStyle w:val="2"/>
        <w:rPr>
          <w:rFonts w:hint="default" w:ascii="Times New Roman" w:hAnsi="Times New Roman" w:eastAsia="宋体" w:cs="Times New Roman"/>
          <w:color w:val="auto"/>
          <w:kern w:val="2"/>
          <w:sz w:val="24"/>
          <w:szCs w:val="24"/>
          <w:lang w:val="en-US" w:eastAsia="zh-CN" w:bidi="ar"/>
        </w:rPr>
      </w:pPr>
    </w:p>
    <w:p w14:paraId="7A2B3F6A">
      <w:pPr>
        <w:pStyle w:val="2"/>
        <w:rPr>
          <w:rFonts w:hint="default" w:ascii="Times New Roman" w:hAnsi="Times New Roman" w:eastAsia="宋体" w:cs="Times New Roman"/>
          <w:color w:val="auto"/>
          <w:kern w:val="2"/>
          <w:sz w:val="24"/>
          <w:szCs w:val="24"/>
          <w:lang w:val="en-US" w:eastAsia="zh-CN" w:bidi="ar"/>
        </w:rPr>
      </w:pPr>
    </w:p>
    <w:p w14:paraId="07DF8C01">
      <w:pPr>
        <w:pStyle w:val="2"/>
        <w:rPr>
          <w:rFonts w:hint="default" w:ascii="Times New Roman" w:hAnsi="Times New Roman" w:eastAsia="宋体" w:cs="Times New Roman"/>
          <w:color w:val="auto"/>
          <w:kern w:val="2"/>
          <w:sz w:val="24"/>
          <w:szCs w:val="24"/>
          <w:lang w:val="en-US" w:eastAsia="zh-CN" w:bidi="ar"/>
        </w:rPr>
      </w:pPr>
    </w:p>
    <w:p w14:paraId="0C98C314">
      <w:pPr>
        <w:pStyle w:val="2"/>
        <w:rPr>
          <w:rFonts w:hint="default" w:ascii="Times New Roman" w:hAnsi="Times New Roman" w:eastAsia="宋体" w:cs="Times New Roman"/>
          <w:color w:val="auto"/>
          <w:kern w:val="2"/>
          <w:sz w:val="24"/>
          <w:szCs w:val="24"/>
          <w:lang w:val="en-US" w:eastAsia="zh-CN" w:bidi="ar"/>
        </w:rPr>
      </w:pPr>
    </w:p>
    <w:p w14:paraId="01E07317">
      <w:pPr>
        <w:pStyle w:val="2"/>
        <w:rPr>
          <w:rFonts w:hint="default" w:ascii="Times New Roman" w:hAnsi="Times New Roman" w:eastAsia="宋体" w:cs="Times New Roman"/>
          <w:color w:val="auto"/>
          <w:kern w:val="2"/>
          <w:sz w:val="24"/>
          <w:szCs w:val="24"/>
          <w:lang w:val="en-US" w:eastAsia="zh-CN" w:bidi="ar"/>
        </w:rPr>
      </w:pPr>
    </w:p>
    <w:p w14:paraId="3761DBB9">
      <w:pPr>
        <w:pStyle w:val="2"/>
        <w:rPr>
          <w:rFonts w:hint="default" w:ascii="Times New Roman" w:hAnsi="Times New Roman" w:eastAsia="宋体" w:cs="Times New Roman"/>
          <w:color w:val="auto"/>
          <w:kern w:val="2"/>
          <w:sz w:val="24"/>
          <w:szCs w:val="24"/>
          <w:lang w:val="en-US" w:eastAsia="zh-CN" w:bidi="ar"/>
        </w:rPr>
      </w:pPr>
    </w:p>
    <w:p w14:paraId="4C3A30A0">
      <w:pPr>
        <w:pStyle w:val="2"/>
        <w:rPr>
          <w:rFonts w:hint="default" w:ascii="Times New Roman" w:hAnsi="Times New Roman" w:eastAsia="宋体" w:cs="Times New Roman"/>
          <w:color w:val="auto"/>
          <w:kern w:val="2"/>
          <w:sz w:val="24"/>
          <w:szCs w:val="24"/>
          <w:lang w:val="en-US" w:eastAsia="zh-CN" w:bidi="ar"/>
        </w:rPr>
      </w:pPr>
    </w:p>
    <w:p w14:paraId="7E499B7F">
      <w:pPr>
        <w:pStyle w:val="2"/>
        <w:rPr>
          <w:rFonts w:hint="default" w:ascii="Times New Roman" w:hAnsi="Times New Roman" w:eastAsia="宋体" w:cs="Times New Roman"/>
          <w:color w:val="auto"/>
          <w:kern w:val="2"/>
          <w:sz w:val="24"/>
          <w:szCs w:val="24"/>
          <w:lang w:val="en-US" w:eastAsia="zh-CN" w:bidi="ar"/>
        </w:rPr>
      </w:pPr>
    </w:p>
    <w:p w14:paraId="0862F7A1">
      <w:pPr>
        <w:pStyle w:val="2"/>
        <w:rPr>
          <w:rFonts w:hint="default" w:ascii="Times New Roman" w:hAnsi="Times New Roman" w:eastAsia="宋体" w:cs="Times New Roman"/>
          <w:color w:val="auto"/>
          <w:kern w:val="2"/>
          <w:sz w:val="24"/>
          <w:szCs w:val="24"/>
          <w:lang w:val="en-US" w:eastAsia="zh-CN" w:bidi="ar"/>
        </w:rPr>
      </w:pPr>
    </w:p>
    <w:p w14:paraId="4BCC3C81">
      <w:pPr>
        <w:pStyle w:val="2"/>
        <w:rPr>
          <w:rFonts w:hint="default" w:ascii="Times New Roman" w:hAnsi="Times New Roman" w:eastAsia="宋体" w:cs="Times New Roman"/>
          <w:color w:val="auto"/>
          <w:kern w:val="2"/>
          <w:sz w:val="24"/>
          <w:szCs w:val="24"/>
          <w:lang w:val="en-US" w:eastAsia="zh-CN" w:bidi="ar"/>
        </w:rPr>
      </w:pPr>
    </w:p>
    <w:p w14:paraId="34923816">
      <w:pPr>
        <w:pStyle w:val="2"/>
        <w:rPr>
          <w:rFonts w:hint="default" w:ascii="Times New Roman" w:hAnsi="Times New Roman" w:eastAsia="宋体" w:cs="Times New Roman"/>
          <w:color w:val="auto"/>
          <w:kern w:val="2"/>
          <w:sz w:val="24"/>
          <w:szCs w:val="24"/>
          <w:lang w:val="en-US" w:eastAsia="zh-CN" w:bidi="ar"/>
        </w:rPr>
      </w:pPr>
    </w:p>
    <w:p w14:paraId="6EA3FF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0CB47E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4D2977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58E4FA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2F5EB0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0199D26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center"/>
        <w:textAlignment w:val="auto"/>
        <w:outlineLvl w:val="0"/>
        <w:rPr>
          <w:rFonts w:hint="default" w:ascii="Times New Roman" w:hAnsi="Times New Roman" w:eastAsia="宋体" w:cs="Times New Roman"/>
          <w:b/>
          <w:bCs/>
          <w:color w:val="auto"/>
          <w:sz w:val="36"/>
          <w:szCs w:val="36"/>
          <w:lang w:val="en-US" w:eastAsia="zh-CN"/>
        </w:rPr>
      </w:pPr>
      <w:bookmarkStart w:id="26" w:name="_Toc27316"/>
      <w:bookmarkStart w:id="27" w:name="_Toc31275"/>
      <w:bookmarkStart w:id="28" w:name="_Toc29894"/>
      <w:bookmarkStart w:id="29" w:name="_Toc17435"/>
      <w:bookmarkStart w:id="30" w:name="_Toc14886"/>
      <w:r>
        <w:rPr>
          <w:rFonts w:hint="default" w:ascii="Times New Roman" w:hAnsi="Times New Roman" w:eastAsia="宋体" w:cs="Times New Roman"/>
          <w:b/>
          <w:bCs/>
          <w:color w:val="auto"/>
          <w:sz w:val="32"/>
          <w:szCs w:val="32"/>
          <w:lang w:val="en-US" w:eastAsia="zh-CN"/>
        </w:rPr>
        <w:t>三、本年度矿山生产计划</w:t>
      </w:r>
      <w:bookmarkEnd w:id="26"/>
      <w:bookmarkEnd w:id="27"/>
      <w:bookmarkEnd w:id="28"/>
      <w:bookmarkEnd w:id="29"/>
      <w:bookmarkEnd w:id="30"/>
    </w:p>
    <w:p w14:paraId="0443A3EE">
      <w:pPr>
        <w:keepNext w:val="0"/>
        <w:keepLines w:val="0"/>
        <w:pageBreakBefore w:val="0"/>
        <w:numPr>
          <w:ilvl w:val="0"/>
          <w:numId w:val="0"/>
        </w:numPr>
        <w:kinsoku/>
        <w:overflowPunct/>
        <w:topLinePunct w:val="0"/>
        <w:autoSpaceDE/>
        <w:autoSpaceDN/>
        <w:bidi w:val="0"/>
        <w:spacing w:line="360" w:lineRule="auto"/>
        <w:jc w:val="both"/>
        <w:textAlignment w:val="auto"/>
        <w:outlineLvl w:val="1"/>
        <w:rPr>
          <w:rFonts w:hint="default" w:ascii="Times New Roman" w:hAnsi="Times New Roman" w:eastAsia="宋体" w:cs="Times New Roman"/>
          <w:b/>
          <w:bCs/>
          <w:color w:val="auto"/>
          <w:sz w:val="28"/>
          <w:szCs w:val="28"/>
          <w:lang w:val="en-US" w:eastAsia="zh-CN"/>
        </w:rPr>
      </w:pPr>
      <w:bookmarkStart w:id="31" w:name="_Toc28046"/>
      <w:bookmarkStart w:id="32" w:name="_Toc28757"/>
      <w:bookmarkStart w:id="33" w:name="_Toc8282"/>
      <w:bookmarkStart w:id="34" w:name="_Toc17686"/>
      <w:bookmarkStart w:id="35" w:name="_Toc7893"/>
      <w:r>
        <w:rPr>
          <w:rFonts w:hint="default" w:ascii="Times New Roman" w:hAnsi="Times New Roman" w:eastAsia="宋体" w:cs="Times New Roman"/>
          <w:b/>
          <w:bCs/>
          <w:color w:val="auto"/>
          <w:sz w:val="28"/>
          <w:szCs w:val="28"/>
          <w:lang w:val="en-US" w:eastAsia="zh-CN"/>
        </w:rPr>
        <w:t>（一）本年度的主要生产指标计划</w:t>
      </w:r>
      <w:bookmarkEnd w:id="31"/>
      <w:bookmarkEnd w:id="32"/>
      <w:bookmarkEnd w:id="33"/>
      <w:bookmarkEnd w:id="34"/>
      <w:bookmarkEnd w:id="35"/>
    </w:p>
    <w:p w14:paraId="47525958">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bookmarkStart w:id="36" w:name="_Toc8512"/>
      <w:r>
        <w:rPr>
          <w:rFonts w:hint="default" w:ascii="Times New Roman" w:hAnsi="Times New Roman" w:eastAsia="宋体" w:cs="Times New Roman"/>
          <w:color w:val="auto"/>
          <w:sz w:val="24"/>
          <w:szCs w:val="24"/>
          <w:lang w:val="en-US" w:eastAsia="zh-CN"/>
        </w:rPr>
        <w:t>赤峰市松山区徐家窝铺冰洲石矿</w:t>
      </w:r>
      <w:r>
        <w:rPr>
          <w:rFonts w:hint="eastAsia" w:cs="Times New Roman"/>
          <w:color w:val="auto"/>
          <w:sz w:val="24"/>
          <w:szCs w:val="24"/>
          <w:lang w:val="en-US" w:eastAsia="zh-CN"/>
        </w:rPr>
        <w:t>矿权设置于2015年。</w:t>
      </w:r>
    </w:p>
    <w:p w14:paraId="5E691A8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2015年4月29日，原内蒙古自治区国土资源厅以内国土资字[2015]194号文《关于赤峰市非金属矿业权设置方案（局部调整）矿业权设置方案备案的批复》，同意按照《赤峰市非金属矿业权设置方案（局部调整）》设置“松山区徐家窝铺冰洲石矿”矿业权，设置类型为“空白区新设”。</w:t>
      </w:r>
    </w:p>
    <w:p w14:paraId="15FCDD45">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赤峰市矿业权储备交易中心以招标、拍卖、挂牌的方式获得该矿业权，采矿许可证号（配号）为C1504002015066130138765，发证机关为赤峰市国土资源局。</w:t>
      </w:r>
    </w:p>
    <w:p w14:paraId="1E30239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2016年6月29日，赤峰市国土资源局向赤峰市政府递交《赤峰市国土资源局关于已收储矿业权股权无偿划转的请示》（赤国土资发[2016]366号），将矿业权储备交易中心名下“松山区徐家窝铺冰洲石矿”无偿转让到赤峰矿业有限责任公司名下。2016年6月29日，赤峰市政府同意将此矿权转让至赤峰矿业有限责任公司。2017年4月28日，赤峰矿业有限责任公司变更为赤峰矿业（集团）有限责任公司。</w:t>
      </w:r>
    </w:p>
    <w:p w14:paraId="012924B5">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现状条件下，</w:t>
      </w:r>
      <w:r>
        <w:rPr>
          <w:rFonts w:hint="default" w:ascii="Times New Roman" w:hAnsi="Times New Roman" w:eastAsia="宋体" w:cs="Times New Roman"/>
          <w:color w:val="auto"/>
          <w:sz w:val="24"/>
          <w:szCs w:val="24"/>
          <w:lang w:val="en-US" w:eastAsia="zh-CN"/>
        </w:rPr>
        <w:t>赤峰市松山区徐家窝铺冰洲石矿</w:t>
      </w:r>
      <w:r>
        <w:rPr>
          <w:rFonts w:hint="eastAsia" w:cs="Times New Roman"/>
          <w:color w:val="auto"/>
          <w:sz w:val="24"/>
          <w:szCs w:val="24"/>
          <w:lang w:val="en-US" w:eastAsia="zh-CN"/>
        </w:rPr>
        <w:t>仅实施过探矿工程。自矿权设置以来，未实施过矿山基础建设工程，亦未进行过采矿活动。</w:t>
      </w:r>
    </w:p>
    <w:p w14:paraId="62FEAE21">
      <w:pPr>
        <w:spacing w:line="360" w:lineRule="auto"/>
        <w:ind w:firstLine="480" w:firstLineChars="200"/>
        <w:jc w:val="left"/>
        <w:rPr>
          <w:rFonts w:hint="eastAsia" w:cs="Times New Roman"/>
          <w:color w:val="auto"/>
          <w:sz w:val="24"/>
          <w:szCs w:val="24"/>
          <w:lang w:val="en-US" w:eastAsia="zh-CN"/>
        </w:rPr>
      </w:pPr>
      <w:r>
        <w:rPr>
          <w:rFonts w:hint="eastAsia" w:ascii="Times New Roman" w:hAnsi="Times New Roman" w:cs="Times New Roman"/>
          <w:color w:val="auto"/>
          <w:sz w:val="24"/>
          <w:lang w:val="en-US" w:eastAsia="zh-CN"/>
        </w:rPr>
        <w:t>根据</w:t>
      </w:r>
      <w:r>
        <w:rPr>
          <w:rFonts w:hint="default" w:ascii="Times New Roman" w:hAnsi="Times New Roman" w:eastAsia="宋体" w:cs="Times New Roman"/>
          <w:color w:val="auto"/>
          <w:sz w:val="24"/>
          <w:lang w:eastAsia="zh-CN"/>
        </w:rPr>
        <w:t>赤峰矿业（集团）有限责任公司</w:t>
      </w:r>
      <w:r>
        <w:rPr>
          <w:rFonts w:hint="eastAsia" w:ascii="Times New Roman" w:hAnsi="Times New Roman" w:cs="Times New Roman"/>
          <w:color w:val="auto"/>
          <w:sz w:val="24"/>
          <w:lang w:val="en-US" w:eastAsia="zh-CN"/>
        </w:rPr>
        <w:t>工作计划，</w:t>
      </w:r>
      <w:r>
        <w:rPr>
          <w:rFonts w:hint="default" w:ascii="Times New Roman" w:hAnsi="Times New Roman" w:eastAsia="宋体" w:cs="Times New Roman"/>
          <w:color w:val="auto"/>
          <w:sz w:val="24"/>
          <w:lang w:eastAsia="zh-CN"/>
        </w:rPr>
        <w:t>赤峰市松山区徐家窝铺冰洲石矿</w:t>
      </w: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年度</w:t>
      </w:r>
      <w:r>
        <w:rPr>
          <w:rFonts w:hint="eastAsia" w:cs="Times New Roman"/>
          <w:color w:val="auto"/>
          <w:sz w:val="24"/>
          <w:szCs w:val="24"/>
          <w:lang w:val="en-US" w:eastAsia="zh-CN"/>
        </w:rPr>
        <w:t>的工作内容为：</w:t>
      </w:r>
    </w:p>
    <w:p w14:paraId="31059B47">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由于前期地质勘查工作程度低，导致现状已有的开发利用方案难以实施，拟重新投入地质详查工作以准确查明资源量</w:t>
      </w:r>
      <w:r>
        <w:rPr>
          <w:rFonts w:hint="eastAsia" w:ascii="Times New Roman" w:hAnsi="Times New Roman" w:eastAsia="宋体" w:cs="Times New Roman"/>
          <w:color w:val="auto"/>
          <w:sz w:val="24"/>
          <w:szCs w:val="24"/>
          <w:lang w:val="en-US" w:eastAsia="zh-CN"/>
        </w:rPr>
        <w:t>。</w:t>
      </w:r>
    </w:p>
    <w:p w14:paraId="64BC75EC">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计划增加开采矿种（玄武岩</w:t>
      </w:r>
      <w:r>
        <w:rPr>
          <w:rFonts w:hint="eastAsia" w:ascii="Times New Roman" w:hAnsi="Times New Roman" w:eastAsia="宋体" w:cs="Times New Roman"/>
          <w:color w:val="auto"/>
          <w:sz w:val="24"/>
          <w:szCs w:val="24"/>
          <w:lang w:val="en-US" w:eastAsia="zh-CN"/>
        </w:rPr>
        <w:t>饰面石材</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p>
    <w:p w14:paraId="5DDD4CED">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目前</w:t>
      </w:r>
      <w:r>
        <w:rPr>
          <w:rFonts w:hint="default" w:ascii="Times New Roman" w:hAnsi="Times New Roman" w:eastAsia="宋体" w:cs="Times New Roman"/>
          <w:color w:val="auto"/>
          <w:sz w:val="24"/>
          <w:szCs w:val="24"/>
          <w:lang w:val="en-US" w:eastAsia="zh-CN"/>
        </w:rPr>
        <w:t>相关手续正在办理过程中。</w:t>
      </w:r>
    </w:p>
    <w:p w14:paraId="768CD1A7">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因此</w:t>
      </w:r>
      <w:r>
        <w:rPr>
          <w:rFonts w:hint="default" w:ascii="Times New Roman" w:hAnsi="Times New Roman" w:eastAsia="宋体" w:cs="Times New Roman"/>
          <w:color w:val="auto"/>
          <w:sz w:val="24"/>
          <w:lang w:eastAsia="zh-CN"/>
        </w:rPr>
        <w:t>，赤峰市松山区徐家窝铺冰洲石矿</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年度</w:t>
      </w:r>
      <w:r>
        <w:rPr>
          <w:rFonts w:hint="eastAsia" w:cs="Times New Roman"/>
          <w:color w:val="auto"/>
          <w:sz w:val="24"/>
          <w:szCs w:val="24"/>
          <w:lang w:val="en-US" w:eastAsia="zh-CN"/>
        </w:rPr>
        <w:t>无生产与矿山基础设施建设计划。</w:t>
      </w:r>
    </w:p>
    <w:p w14:paraId="19B61C67">
      <w:pPr>
        <w:numPr>
          <w:ilvl w:val="0"/>
          <w:numId w:val="0"/>
        </w:numPr>
        <w:spacing w:line="360" w:lineRule="auto"/>
        <w:ind w:leftChars="0"/>
        <w:jc w:val="both"/>
        <w:outlineLvl w:val="1"/>
        <w:rPr>
          <w:rFonts w:hint="default" w:ascii="Times New Roman" w:hAnsi="Times New Roman" w:eastAsia="宋体" w:cs="Times New Roman"/>
          <w:b/>
          <w:bCs/>
          <w:color w:val="auto"/>
          <w:sz w:val="28"/>
          <w:szCs w:val="28"/>
          <w:lang w:val="en-US" w:eastAsia="zh-CN"/>
        </w:rPr>
      </w:pPr>
      <w:bookmarkStart w:id="37" w:name="_Toc18505"/>
      <w:bookmarkStart w:id="38" w:name="_Toc18165"/>
      <w:bookmarkStart w:id="39" w:name="_Toc24748"/>
      <w:bookmarkStart w:id="40" w:name="_Toc7751"/>
      <w:r>
        <w:rPr>
          <w:rFonts w:hint="default" w:ascii="Times New Roman" w:hAnsi="Times New Roman" w:eastAsia="宋体" w:cs="Times New Roman"/>
          <w:b/>
          <w:bCs/>
          <w:color w:val="auto"/>
          <w:sz w:val="28"/>
          <w:szCs w:val="28"/>
          <w:lang w:val="en-US" w:eastAsia="zh-CN"/>
        </w:rPr>
        <w:t>（二）开采范围</w:t>
      </w:r>
      <w:bookmarkEnd w:id="36"/>
      <w:bookmarkEnd w:id="37"/>
      <w:bookmarkEnd w:id="38"/>
      <w:bookmarkEnd w:id="39"/>
      <w:bookmarkEnd w:id="40"/>
    </w:p>
    <w:p w14:paraId="5DFAB613">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鉴于</w:t>
      </w:r>
      <w:r>
        <w:rPr>
          <w:rFonts w:hint="default" w:ascii="Times New Roman" w:hAnsi="Times New Roman" w:eastAsia="宋体" w:cs="Times New Roman"/>
          <w:color w:val="auto"/>
          <w:sz w:val="24"/>
          <w:lang w:eastAsia="zh-CN"/>
        </w:rPr>
        <w:t>赤峰市松山区徐家窝铺冰洲石矿</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年度</w:t>
      </w:r>
      <w:r>
        <w:rPr>
          <w:rFonts w:hint="eastAsia" w:cs="Times New Roman"/>
          <w:color w:val="auto"/>
          <w:sz w:val="24"/>
          <w:szCs w:val="24"/>
          <w:lang w:val="en-US" w:eastAsia="zh-CN"/>
        </w:rPr>
        <w:t>无生产与矿山基础设施建设计划，相关内容略。</w:t>
      </w:r>
    </w:p>
    <w:p w14:paraId="3280FA2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center"/>
        <w:textAlignment w:val="auto"/>
        <w:outlineLvl w:val="0"/>
        <w:rPr>
          <w:rFonts w:hint="default" w:ascii="Times New Roman" w:hAnsi="Times New Roman" w:eastAsia="宋体" w:cs="Times New Roman"/>
          <w:b/>
          <w:bCs/>
          <w:color w:val="auto"/>
          <w:sz w:val="32"/>
          <w:szCs w:val="32"/>
          <w:lang w:val="en-US" w:eastAsia="zh-CN"/>
        </w:rPr>
      </w:pPr>
      <w:bookmarkStart w:id="41" w:name="_Toc2840"/>
      <w:bookmarkStart w:id="42" w:name="_Toc30181"/>
      <w:bookmarkStart w:id="43" w:name="_Toc20307"/>
      <w:bookmarkStart w:id="44" w:name="_Toc27649"/>
      <w:bookmarkStart w:id="45" w:name="_Toc14531"/>
      <w:r>
        <w:rPr>
          <w:rFonts w:hint="default" w:ascii="Times New Roman" w:hAnsi="Times New Roman" w:eastAsia="宋体" w:cs="Times New Roman"/>
          <w:b/>
          <w:bCs/>
          <w:color w:val="auto"/>
          <w:sz w:val="32"/>
          <w:szCs w:val="32"/>
          <w:lang w:val="en-US" w:eastAsia="zh-CN"/>
        </w:rPr>
        <w:t>四、矿山地质环境问题</w:t>
      </w:r>
      <w:bookmarkEnd w:id="41"/>
      <w:bookmarkEnd w:id="42"/>
      <w:bookmarkEnd w:id="43"/>
      <w:bookmarkEnd w:id="44"/>
      <w:bookmarkEnd w:id="45"/>
    </w:p>
    <w:p w14:paraId="174BB935">
      <w:pPr>
        <w:numPr>
          <w:ilvl w:val="0"/>
          <w:numId w:val="0"/>
        </w:numPr>
        <w:spacing w:line="360" w:lineRule="auto"/>
        <w:ind w:leftChars="0"/>
        <w:jc w:val="both"/>
        <w:outlineLvl w:val="1"/>
        <w:rPr>
          <w:rFonts w:hint="default" w:ascii="Times New Roman" w:hAnsi="Times New Roman" w:eastAsia="宋体" w:cs="Times New Roman"/>
          <w:b/>
          <w:bCs/>
          <w:color w:val="auto"/>
          <w:sz w:val="28"/>
          <w:szCs w:val="28"/>
          <w:lang w:val="en-US" w:eastAsia="zh-CN"/>
        </w:rPr>
      </w:pPr>
      <w:bookmarkStart w:id="46" w:name="_Toc18240"/>
      <w:bookmarkStart w:id="47" w:name="_Toc30491"/>
      <w:bookmarkStart w:id="48" w:name="_Toc1466"/>
      <w:bookmarkStart w:id="49" w:name="_Toc12987"/>
      <w:bookmarkStart w:id="50" w:name="_Toc4048"/>
      <w:r>
        <w:rPr>
          <w:rFonts w:hint="default" w:ascii="Times New Roman" w:hAnsi="Times New Roman" w:eastAsia="宋体" w:cs="Times New Roman"/>
          <w:b/>
          <w:bCs/>
          <w:color w:val="auto"/>
          <w:sz w:val="28"/>
          <w:szCs w:val="28"/>
          <w:lang w:val="en-US" w:eastAsia="zh-CN"/>
        </w:rPr>
        <w:t>（一）矿山地质环境问题现状</w:t>
      </w:r>
      <w:bookmarkEnd w:id="46"/>
      <w:bookmarkEnd w:id="47"/>
      <w:bookmarkEnd w:id="48"/>
      <w:bookmarkEnd w:id="49"/>
      <w:bookmarkEnd w:id="50"/>
    </w:p>
    <w:p w14:paraId="07C458B4">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赤峰矿业（集团）有限责任公司内蒙古自治区赤峰市松山区徐家窝铺冰洲石矿属于新建矿山（现状尚未基建），无生产历史，矿区仅实施过探矿工程。根据现场调查，矿山前期探矿工程形成影响矿山地质环境的区域包括民采坑、钻机平台和矿区道路</w:t>
      </w:r>
      <w:r>
        <w:rPr>
          <w:rFonts w:hint="eastAsia" w:ascii="Times New Roman" w:hAnsi="Times New Roman" w:eastAsia="宋体" w:cs="Times New Roman"/>
          <w:color w:val="auto"/>
          <w:kern w:val="2"/>
          <w:sz w:val="24"/>
          <w:szCs w:val="24"/>
          <w:lang w:val="en-US" w:eastAsia="zh-CN" w:bidi="ar"/>
        </w:rPr>
        <w:t>（见卫片</w:t>
      </w:r>
      <w:r>
        <w:rPr>
          <w:rFonts w:hint="eastAsia" w:cs="Times New Roman"/>
          <w:color w:val="auto"/>
          <w:kern w:val="2"/>
          <w:sz w:val="24"/>
          <w:szCs w:val="24"/>
          <w:lang w:val="en-US" w:eastAsia="zh-CN" w:bidi="ar"/>
        </w:rPr>
        <w:t>4</w:t>
      </w:r>
      <w:r>
        <w:rPr>
          <w:rFonts w:hint="default"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 xml:space="preserve">  </w:t>
      </w:r>
      <w:r>
        <w:rPr>
          <w:rFonts w:hint="eastAsia" w:ascii="Times New Roman" w:hAnsi="Times New Roman" w:eastAsia="宋体" w:cs="Times New Roman"/>
          <w:color w:val="auto"/>
          <w:kern w:val="2"/>
          <w:sz w:val="24"/>
          <w:szCs w:val="24"/>
          <w:lang w:val="en-US" w:eastAsia="zh-CN" w:bidi="ar"/>
        </w:rPr>
        <w:t>矿区航卫片影像图（局部放大））</w:t>
      </w:r>
      <w:r>
        <w:rPr>
          <w:rFonts w:hint="default" w:ascii="Times New Roman" w:hAnsi="Times New Roman" w:eastAsia="宋体" w:cs="Times New Roman"/>
          <w:color w:val="auto"/>
          <w:kern w:val="2"/>
          <w:sz w:val="24"/>
          <w:szCs w:val="24"/>
          <w:lang w:val="en-US" w:eastAsia="zh-CN" w:bidi="ar"/>
        </w:rPr>
        <w:t>。</w:t>
      </w:r>
    </w:p>
    <w:p w14:paraId="521CFFE0">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经现场调查，全部的探坑和部分钻孔位于沟谷中（非“三区两线”可视范围），对外影响小。由于沟谷地表水径流及自然恢复，部分探坑和部分钻机平台已基本自然恢复。现状</w:t>
      </w:r>
      <w:r>
        <w:rPr>
          <w:rFonts w:hint="eastAsia" w:cs="Times New Roman"/>
          <w:color w:val="auto"/>
          <w:kern w:val="2"/>
          <w:sz w:val="24"/>
          <w:szCs w:val="24"/>
          <w:lang w:val="en-US" w:eastAsia="zh-CN" w:bidi="ar"/>
        </w:rPr>
        <w:t>存在的</w:t>
      </w:r>
      <w:r>
        <w:rPr>
          <w:rFonts w:hint="eastAsia" w:ascii="Times New Roman" w:hAnsi="Times New Roman" w:eastAsia="宋体" w:cs="Times New Roman"/>
          <w:color w:val="auto"/>
          <w:kern w:val="2"/>
          <w:sz w:val="24"/>
          <w:szCs w:val="24"/>
          <w:lang w:val="en-US" w:eastAsia="zh-CN" w:bidi="ar"/>
        </w:rPr>
        <w:t>钻机平台</w:t>
      </w:r>
      <w:r>
        <w:rPr>
          <w:rFonts w:hint="eastAsia" w:cs="Times New Roman"/>
          <w:color w:val="auto"/>
          <w:kern w:val="2"/>
          <w:sz w:val="24"/>
          <w:szCs w:val="24"/>
          <w:lang w:val="en-US" w:eastAsia="zh-CN" w:bidi="ar"/>
        </w:rPr>
        <w:t>PT1与PT2已在2023年的完成治理。</w:t>
      </w:r>
    </w:p>
    <w:p w14:paraId="3A564A20">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
        </w:rPr>
        <w:t>依据《矿山地质环境保护与恢复治理方案编制规范》（DZ/T0223-2011）附录E矿山地</w:t>
      </w:r>
      <w:r>
        <w:rPr>
          <w:rFonts w:hint="default" w:ascii="Times New Roman" w:hAnsi="Times New Roman" w:eastAsia="宋体" w:cs="Times New Roman"/>
          <w:color w:val="auto"/>
          <w:sz w:val="24"/>
          <w:szCs w:val="24"/>
          <w:lang w:val="en-US" w:eastAsia="zh-CN"/>
        </w:rPr>
        <w:t>质环境影响程度分级表，从地质灾害影响、含水层影响和破坏、地形地貌景观影响和破坏、土地损毁等四个方面对矿山地质环境</w:t>
      </w:r>
      <w:r>
        <w:rPr>
          <w:rFonts w:hint="default" w:ascii="Times New Roman" w:hAnsi="Times New Roman" w:cs="Times New Roman"/>
          <w:color w:val="auto"/>
          <w:sz w:val="24"/>
          <w:szCs w:val="24"/>
          <w:lang w:val="en-US" w:eastAsia="zh-CN"/>
        </w:rPr>
        <w:t>问题及</w:t>
      </w:r>
      <w:r>
        <w:rPr>
          <w:rFonts w:hint="default" w:ascii="Times New Roman" w:hAnsi="Times New Roman" w:eastAsia="宋体" w:cs="Times New Roman"/>
          <w:color w:val="auto"/>
          <w:sz w:val="24"/>
          <w:szCs w:val="24"/>
          <w:lang w:val="en-US" w:eastAsia="zh-CN"/>
        </w:rPr>
        <w:t>影响进行现状评</w:t>
      </w:r>
      <w:r>
        <w:rPr>
          <w:rFonts w:hint="default" w:ascii="Times New Roman" w:hAnsi="Times New Roman" w:eastAsia="宋体" w:cs="Times New Roman"/>
          <w:color w:val="auto"/>
          <w:sz w:val="24"/>
          <w:szCs w:val="24"/>
        </w:rPr>
        <w:t>述：</w:t>
      </w:r>
    </w:p>
    <w:p w14:paraId="219F242A">
      <w:pPr>
        <w:pStyle w:val="28"/>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cs="Times New Roman"/>
          <w:b/>
          <w:bCs/>
          <w:color w:val="auto"/>
          <w:kern w:val="2"/>
          <w:sz w:val="24"/>
          <w:szCs w:val="24"/>
          <w:lang w:val="en-US" w:eastAsia="zh-CN" w:bidi="ar"/>
        </w:rPr>
        <w:t>1、</w:t>
      </w:r>
      <w:r>
        <w:rPr>
          <w:rFonts w:hint="default" w:ascii="Times New Roman" w:hAnsi="Times New Roman" w:eastAsia="宋体" w:cs="Times New Roman"/>
          <w:b/>
          <w:bCs/>
          <w:color w:val="auto"/>
          <w:kern w:val="2"/>
          <w:sz w:val="24"/>
          <w:szCs w:val="24"/>
          <w:lang w:val="en-US" w:eastAsia="zh-CN" w:bidi="ar"/>
        </w:rPr>
        <w:t>地质灾害现状</w:t>
      </w:r>
    </w:p>
    <w:p w14:paraId="4B54F74C">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泥石流</w:t>
      </w:r>
    </w:p>
    <w:p w14:paraId="7B00A2DA">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根据现状调查，</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内气候类型属半干旱大陆性季风气候，暴雨历时短，降雨量小。矿区地貌类型为中山地貌，区内发育有3条较大沟谷，地形坡度5°～35°；区内地表植被不发育，沟谷泄洪通道内排水通畅，废石等堆积量很小，形成泥石流的物源有限，雨季降水顺山坡径流排出</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，现状</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泥石流灾害不发育。</w:t>
      </w:r>
    </w:p>
    <w:p w14:paraId="193C0E96">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（2）</w:t>
      </w:r>
      <w:r>
        <w:rPr>
          <w:rFonts w:hint="default" w:ascii="Times New Roman" w:hAnsi="Times New Roman" w:eastAsia="宋体" w:cs="Times New Roman"/>
          <w:color w:val="auto"/>
          <w:kern w:val="2"/>
          <w:sz w:val="24"/>
          <w:szCs w:val="24"/>
          <w:lang w:val="en-US" w:eastAsia="zh-CN" w:bidi="ar"/>
        </w:rPr>
        <w:t>崩塌</w:t>
      </w:r>
    </w:p>
    <w:p w14:paraId="6A601ECE">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根据现场调查，</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内山体稳定，地形起伏变化小，无大规模陡立临空面，崩塌地质灾害不发育；矿山现状已形成各场地均未形成较大的临空面，边坡高度较小；现状条件下边坡岩体完整性较好，崩塌灾害不发育。</w:t>
      </w:r>
    </w:p>
    <w:p w14:paraId="508C4A9B">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（3）</w:t>
      </w:r>
      <w:r>
        <w:rPr>
          <w:rFonts w:hint="default" w:ascii="Times New Roman" w:hAnsi="Times New Roman" w:eastAsia="宋体" w:cs="Times New Roman"/>
          <w:color w:val="auto"/>
          <w:kern w:val="2"/>
          <w:sz w:val="24"/>
          <w:szCs w:val="24"/>
          <w:lang w:val="en-US" w:eastAsia="zh-CN" w:bidi="ar"/>
        </w:rPr>
        <w:t>滑坡</w:t>
      </w:r>
    </w:p>
    <w:p w14:paraId="5E550B56">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矿山前期探矿形成的废石集中堆放于民采坑及钻机平台周边，堆方量较小，物源以碎石为主，</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内无其他集中堆放的物源。经现场调查，现状条件下滑坡灾害不发育。</w:t>
      </w:r>
    </w:p>
    <w:p w14:paraId="17482E0E">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（4）</w:t>
      </w:r>
      <w:r>
        <w:rPr>
          <w:rFonts w:hint="default" w:ascii="Times New Roman" w:hAnsi="Times New Roman" w:eastAsia="宋体" w:cs="Times New Roman"/>
          <w:color w:val="auto"/>
          <w:kern w:val="2"/>
          <w:sz w:val="24"/>
          <w:szCs w:val="24"/>
          <w:lang w:val="en-US" w:eastAsia="zh-CN" w:bidi="ar"/>
        </w:rPr>
        <w:t>地面沉降</w:t>
      </w:r>
    </w:p>
    <w:p w14:paraId="021617AA">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根据现场调查，</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无大的集中供水水源地，地面沉降灾害不发育。</w:t>
      </w:r>
    </w:p>
    <w:p w14:paraId="07204835">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sectPr>
          <w:footerReference r:id="rId8" w:type="default"/>
          <w:pgSz w:w="11911" w:h="16838"/>
          <w:pgMar w:top="1440" w:right="1797" w:bottom="1440" w:left="1797" w:header="851" w:footer="992" w:gutter="0"/>
          <w:pgNumType w:fmt="decimal" w:start="1"/>
          <w:cols w:space="720" w:num="1"/>
          <w:docGrid w:linePitch="312" w:charSpace="0"/>
        </w:sectPr>
      </w:pPr>
    </w:p>
    <w:p w14:paraId="593BE3E4">
      <w:pPr>
        <w:pStyle w:val="28"/>
        <w:keepNext w:val="0"/>
        <w:keepLines w:val="0"/>
        <w:pageBreakBefore w:val="0"/>
        <w:widowControl w:val="0"/>
        <w:kinsoku/>
        <w:wordWrap w:val="0"/>
        <w:overflowPunct/>
        <w:topLinePunct w:val="0"/>
        <w:autoSpaceDE/>
        <w:autoSpaceDN/>
        <w:bidi w:val="0"/>
        <w:adjustRightInd/>
        <w:snapToGrid/>
        <w:spacing w:line="360" w:lineRule="auto"/>
        <w:ind w:firstLine="400" w:firstLineChars="200"/>
        <w:textAlignment w:val="auto"/>
        <w:rPr>
          <w:rFonts w:hint="default" w:ascii="Times New Roman" w:hAnsi="Times New Roman" w:eastAsia="宋体" w:cs="Times New Roman"/>
          <w:color w:val="auto"/>
          <w:kern w:val="2"/>
          <w:sz w:val="24"/>
          <w:szCs w:val="24"/>
          <w:lang w:val="en-US" w:eastAsia="zh-CN" w:bidi="ar"/>
        </w:rPr>
      </w:pPr>
      <w:r>
        <w:rPr>
          <w:color w:val="auto"/>
        </w:rPr>
        <w:drawing>
          <wp:anchor distT="0" distB="0" distL="114300" distR="114300" simplePos="0" relativeHeight="251661312" behindDoc="0" locked="0" layoutInCell="1" allowOverlap="1">
            <wp:simplePos x="0" y="0"/>
            <wp:positionH relativeFrom="column">
              <wp:posOffset>1082675</wp:posOffset>
            </wp:positionH>
            <wp:positionV relativeFrom="paragraph">
              <wp:posOffset>-276225</wp:posOffset>
            </wp:positionV>
            <wp:extent cx="6815455" cy="5175250"/>
            <wp:effectExtent l="0" t="0" r="4445" b="6350"/>
            <wp:wrapNone/>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8"/>
                    <a:stretch>
                      <a:fillRect/>
                    </a:stretch>
                  </pic:blipFill>
                  <pic:spPr>
                    <a:xfrm>
                      <a:off x="0" y="0"/>
                      <a:ext cx="6815455" cy="5175250"/>
                    </a:xfrm>
                    <a:prstGeom prst="rect">
                      <a:avLst/>
                    </a:prstGeom>
                    <a:noFill/>
                    <a:ln>
                      <a:noFill/>
                    </a:ln>
                  </pic:spPr>
                </pic:pic>
              </a:graphicData>
            </a:graphic>
          </wp:anchor>
        </w:drawing>
      </w:r>
    </w:p>
    <w:p w14:paraId="33046C33">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0AB7EA8F">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0452F70A">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011B7D95">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30CA4178">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46228C5E">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488A0415">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5E083871">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332898DB">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4B973D33">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74FCBF40">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52B6878E">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42467271">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0F77FCCF">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3ED2AFBE">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46E8FD96">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705E2D5C">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7AB739C2">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p>
    <w:p w14:paraId="697DB34B">
      <w:pPr>
        <w:pStyle w:val="28"/>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卫片4</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矿区航卫片影像图（局部放大）</w:t>
      </w:r>
    </w:p>
    <w:p w14:paraId="5969A6AF">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4"/>
          <w:szCs w:val="24"/>
          <w:lang w:val="en-US" w:eastAsia="zh-CN" w:bidi="ar"/>
        </w:rPr>
        <w:sectPr>
          <w:pgSz w:w="16838" w:h="11911" w:orient="landscape"/>
          <w:pgMar w:top="1701" w:right="1701" w:bottom="1701" w:left="1701" w:header="851" w:footer="992" w:gutter="0"/>
          <w:pgNumType w:fmt="decimal"/>
          <w:cols w:space="0" w:num="1"/>
          <w:rtlGutter w:val="0"/>
          <w:docGrid w:linePitch="312" w:charSpace="0"/>
        </w:sectPr>
      </w:pPr>
    </w:p>
    <w:p w14:paraId="79C91FC7">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（5）</w:t>
      </w:r>
      <w:r>
        <w:rPr>
          <w:rFonts w:hint="default" w:ascii="Times New Roman" w:hAnsi="Times New Roman" w:eastAsia="宋体" w:cs="Times New Roman"/>
          <w:color w:val="auto"/>
          <w:kern w:val="2"/>
          <w:sz w:val="24"/>
          <w:szCs w:val="24"/>
          <w:lang w:val="en-US" w:eastAsia="zh-CN" w:bidi="ar"/>
        </w:rPr>
        <w:t>地面塌陷</w:t>
      </w:r>
    </w:p>
    <w:p w14:paraId="517E970A">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根据现场调查，</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范围及周边无地下采矿工程，现状地面塌陷灾害不发育。</w:t>
      </w:r>
    </w:p>
    <w:p w14:paraId="0B52C1B3">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（6）</w:t>
      </w:r>
      <w:r>
        <w:rPr>
          <w:rFonts w:hint="default" w:ascii="Times New Roman" w:hAnsi="Times New Roman" w:eastAsia="宋体" w:cs="Times New Roman"/>
          <w:color w:val="auto"/>
          <w:kern w:val="2"/>
          <w:sz w:val="24"/>
          <w:szCs w:val="24"/>
          <w:lang w:val="en-US" w:eastAsia="zh-CN" w:bidi="ar"/>
        </w:rPr>
        <w:t>风蚀沙埋</w:t>
      </w:r>
    </w:p>
    <w:p w14:paraId="69BCA6C7">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本区最高风速27.3m/s，地表植被较发育，矿区及周边不存在沙源，现状风蚀沙埋灾害不发育。</w:t>
      </w:r>
    </w:p>
    <w:p w14:paraId="18DA7122">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（7）</w:t>
      </w:r>
      <w:r>
        <w:rPr>
          <w:rFonts w:hint="default" w:ascii="Times New Roman" w:hAnsi="Times New Roman" w:eastAsia="宋体" w:cs="Times New Roman"/>
          <w:color w:val="auto"/>
          <w:kern w:val="2"/>
          <w:sz w:val="24"/>
          <w:szCs w:val="24"/>
          <w:lang w:val="en-US" w:eastAsia="zh-CN" w:bidi="ar"/>
        </w:rPr>
        <w:t>冻胀融陷</w:t>
      </w:r>
    </w:p>
    <w:p w14:paraId="2B3100BA">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本区内最低气温-32℃，最大冻土深度2.9m，现状冻胀融陷灾害不发育。</w:t>
      </w:r>
    </w:p>
    <w:p w14:paraId="2B4C2932">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综上所述，现状条件下</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内地质灾害不发育。</w:t>
      </w:r>
    </w:p>
    <w:p w14:paraId="1166C92D">
      <w:pPr>
        <w:pStyle w:val="28"/>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cs="Times New Roman"/>
          <w:b/>
          <w:bCs/>
          <w:color w:val="auto"/>
          <w:kern w:val="2"/>
          <w:sz w:val="24"/>
          <w:szCs w:val="24"/>
          <w:lang w:val="en-US" w:eastAsia="zh-CN" w:bidi="ar"/>
        </w:rPr>
        <w:t>2、</w:t>
      </w:r>
      <w:r>
        <w:rPr>
          <w:rFonts w:hint="default" w:ascii="Times New Roman" w:hAnsi="Times New Roman" w:eastAsia="宋体" w:cs="Times New Roman"/>
          <w:b/>
          <w:bCs/>
          <w:color w:val="auto"/>
          <w:kern w:val="2"/>
          <w:sz w:val="24"/>
          <w:szCs w:val="24"/>
          <w:lang w:val="en-US" w:eastAsia="zh-CN" w:bidi="ar"/>
        </w:rPr>
        <w:t>含水层的影响与破坏现状</w:t>
      </w:r>
    </w:p>
    <w:p w14:paraId="4AB64D54">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含水层结构破坏</w:t>
      </w:r>
    </w:p>
    <w:p w14:paraId="6745276B">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矿山前期仅进行了少量的探矿工程，探矿工程均未揭露含水层，现状未破坏含水层结构。</w:t>
      </w:r>
    </w:p>
    <w:p w14:paraId="70A19E23">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（2）</w:t>
      </w:r>
      <w:r>
        <w:rPr>
          <w:rFonts w:hint="default" w:ascii="Times New Roman" w:hAnsi="Times New Roman" w:eastAsia="宋体" w:cs="Times New Roman"/>
          <w:color w:val="auto"/>
          <w:kern w:val="2"/>
          <w:sz w:val="24"/>
          <w:szCs w:val="24"/>
          <w:lang w:val="en-US" w:eastAsia="zh-CN" w:bidi="ar"/>
        </w:rPr>
        <w:t>疏干对含水层的影响</w:t>
      </w:r>
    </w:p>
    <w:p w14:paraId="1CE64176">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现状已形成单元未揭露地下含水层，无疏干排水。</w:t>
      </w:r>
    </w:p>
    <w:p w14:paraId="20B51F23">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（3）</w:t>
      </w:r>
      <w:r>
        <w:rPr>
          <w:rFonts w:hint="default" w:ascii="Times New Roman" w:hAnsi="Times New Roman" w:eastAsia="宋体" w:cs="Times New Roman"/>
          <w:color w:val="auto"/>
          <w:kern w:val="2"/>
          <w:sz w:val="24"/>
          <w:szCs w:val="24"/>
          <w:lang w:val="en-US" w:eastAsia="zh-CN" w:bidi="ar"/>
        </w:rPr>
        <w:t>对矿区及附近水源的影响</w:t>
      </w:r>
    </w:p>
    <w:p w14:paraId="46EDA7B7">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现状已形成单元未揭露地下含水层，探矿活动亦无废水排放，矿业活动对矿区及附近水源无影响。</w:t>
      </w:r>
    </w:p>
    <w:p w14:paraId="72B8959B">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（4）</w:t>
      </w:r>
      <w:r>
        <w:rPr>
          <w:rFonts w:hint="default" w:ascii="Times New Roman" w:hAnsi="Times New Roman" w:eastAsia="宋体" w:cs="Times New Roman"/>
          <w:color w:val="auto"/>
          <w:kern w:val="2"/>
          <w:sz w:val="24"/>
          <w:szCs w:val="24"/>
          <w:lang w:val="en-US" w:eastAsia="zh-CN" w:bidi="ar"/>
        </w:rPr>
        <w:t>对地下水水质影响</w:t>
      </w:r>
    </w:p>
    <w:p w14:paraId="27A25A2A">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矿山探矿活动无废水排放，矿山开采对地下水水质的影响较轻。</w:t>
      </w:r>
    </w:p>
    <w:p w14:paraId="15C33DE8">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综上所述，现状条件下矿业活动对含水层的影响较轻。</w:t>
      </w:r>
    </w:p>
    <w:p w14:paraId="0E5EBE85">
      <w:pPr>
        <w:pStyle w:val="28"/>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cs="Times New Roman"/>
          <w:b/>
          <w:bCs/>
          <w:color w:val="auto"/>
          <w:kern w:val="2"/>
          <w:sz w:val="24"/>
          <w:szCs w:val="24"/>
          <w:lang w:val="en-US" w:eastAsia="zh-CN" w:bidi="ar"/>
        </w:rPr>
        <w:t>3、</w:t>
      </w:r>
      <w:r>
        <w:rPr>
          <w:rFonts w:hint="default" w:ascii="Times New Roman" w:hAnsi="Times New Roman" w:eastAsia="宋体" w:cs="Times New Roman"/>
          <w:b/>
          <w:bCs/>
          <w:color w:val="auto"/>
          <w:kern w:val="2"/>
          <w:sz w:val="24"/>
          <w:szCs w:val="24"/>
          <w:lang w:val="en-US" w:eastAsia="zh-CN" w:bidi="ar"/>
        </w:rPr>
        <w:t>地形地貌景观影响现状</w:t>
      </w:r>
    </w:p>
    <w:p w14:paraId="31A40FBC">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区地貌类型为中山，矿区附近无各类地质遗迹、自然保护区、人文景观、风景旅游区，矿山不在“三区两线”可视范围内。矿业活动（探矿活动）影响了原有地形地貌景观，现状对地形地貌景观影响的单元为民采坑、钻机平台和矿区道路。现状对地形地貌景观影响和破坏评述如下：</w:t>
      </w:r>
    </w:p>
    <w:p w14:paraId="5FBFEAA8">
      <w:pPr>
        <w:pStyle w:val="2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民采坑</w:t>
      </w:r>
    </w:p>
    <w:p w14:paraId="3220FD62">
      <w:pPr>
        <w:keepNext w:val="0"/>
        <w:keepLines w:val="0"/>
        <w:widowControl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民采坑（CK1-CK2）分布于矿区中部，总面积1527m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，形状不规则，深度0.8-2.5m；废土石就近堆放，废土石高度0.5-1.0m。堆积物为表土和废石。边坡坡度25-35°</w:t>
      </w:r>
      <w:r>
        <w:rPr>
          <w:rFonts w:hint="default" w:ascii="Times New Roman" w:hAnsi="Times New Roman" w:eastAsia="宋体" w:cs="Times New Roman"/>
          <w:bCs/>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场地的建设破坏了原生地形地貌景观，与原有自然景观不协调。见照片4-1。</w:t>
      </w:r>
    </w:p>
    <w:tbl>
      <w:tblPr>
        <w:tblStyle w:val="13"/>
        <w:tblW w:w="51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95"/>
        <w:gridCol w:w="4384"/>
      </w:tblGrid>
      <w:tr w14:paraId="1C34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81" w:hRule="atLeast"/>
        </w:trPr>
        <w:tc>
          <w:tcPr>
            <w:tcW w:w="2503" w:type="pct"/>
            <w:tcBorders>
              <w:top w:val="single" w:color="auto" w:sz="4" w:space="0"/>
              <w:left w:val="single" w:color="auto" w:sz="4" w:space="0"/>
              <w:bottom w:val="single" w:color="auto" w:sz="4" w:space="0"/>
              <w:right w:val="single" w:color="auto" w:sz="4" w:space="0"/>
            </w:tcBorders>
            <w:shd w:val="clear" w:color="auto" w:fill="auto"/>
            <w:vAlign w:val="top"/>
          </w:tcPr>
          <w:p w14:paraId="60F20EB6">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color w:val="auto"/>
                <w:kern w:val="0"/>
                <w:szCs w:val="21"/>
                <w:lang w:val="en-US" w:bidi="ar"/>
              </w:rPr>
            </w:pPr>
            <w:r>
              <w:rPr>
                <w:rFonts w:hint="default" w:ascii="Times New Roman" w:hAnsi="Times New Roman" w:eastAsia="宋体" w:cs="Times New Roman"/>
                <w:color w:val="auto"/>
                <w:kern w:val="0"/>
                <w:sz w:val="21"/>
                <w:szCs w:val="21"/>
                <w:lang w:val="en-US" w:eastAsia="zh-CN" w:bidi="ar"/>
              </w:rPr>
              <w:drawing>
                <wp:anchor distT="0" distB="0" distL="114300" distR="114300" simplePos="0" relativeHeight="251662336" behindDoc="0" locked="0" layoutInCell="1" allowOverlap="1">
                  <wp:simplePos x="0" y="0"/>
                  <wp:positionH relativeFrom="column">
                    <wp:posOffset>-66675</wp:posOffset>
                  </wp:positionH>
                  <wp:positionV relativeFrom="paragraph">
                    <wp:posOffset>47625</wp:posOffset>
                  </wp:positionV>
                  <wp:extent cx="2774950" cy="1941830"/>
                  <wp:effectExtent l="0" t="0" r="6350" b="1270"/>
                  <wp:wrapNone/>
                  <wp:docPr id="39" name="图片 968" descr="微信图片_2023042215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68" descr="微信图片_20230422155623"/>
                          <pic:cNvPicPr>
                            <a:picLocks noChangeAspect="1"/>
                          </pic:cNvPicPr>
                        </pic:nvPicPr>
                        <pic:blipFill>
                          <a:blip r:embed="rId19"/>
                          <a:srcRect l="12195" t="18315"/>
                          <a:stretch>
                            <a:fillRect/>
                          </a:stretch>
                        </pic:blipFill>
                        <pic:spPr>
                          <a:xfrm>
                            <a:off x="0" y="0"/>
                            <a:ext cx="2774950" cy="1941830"/>
                          </a:xfrm>
                          <a:prstGeom prst="rect">
                            <a:avLst/>
                          </a:prstGeom>
                          <a:noFill/>
                          <a:ln>
                            <a:noFill/>
                          </a:ln>
                        </pic:spPr>
                      </pic:pic>
                    </a:graphicData>
                  </a:graphic>
                </wp:anchor>
              </w:drawing>
            </w:r>
          </w:p>
          <w:p w14:paraId="2172A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183538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5257A0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0C275C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39567DA8">
            <w:pPr>
              <w:pStyle w:val="2"/>
              <w:keepNext w:val="0"/>
              <w:keepLines w:val="0"/>
              <w:suppressLineNumbers w:val="0"/>
              <w:spacing w:before="0" w:beforeAutospacing="0" w:after="0" w:afterAutospacing="0"/>
              <w:ind w:left="0" w:right="0"/>
              <w:jc w:val="both"/>
              <w:rPr>
                <w:rFonts w:hint="default" w:ascii="Times New Roman" w:hAnsi="Times New Roman" w:eastAsia="宋体" w:cs="Times New Roman"/>
                <w:b/>
                <w:bCs w:val="0"/>
                <w:color w:val="auto"/>
                <w:kern w:val="2"/>
                <w:sz w:val="24"/>
                <w:szCs w:val="24"/>
                <w:lang w:val="en-US" w:eastAsia="zh-CN" w:bidi="ar"/>
              </w:rPr>
            </w:pPr>
          </w:p>
          <w:p w14:paraId="5AEF2C28">
            <w:pPr>
              <w:pStyle w:val="2"/>
              <w:keepNext w:val="0"/>
              <w:keepLines w:val="0"/>
              <w:suppressLineNumbers w:val="0"/>
              <w:spacing w:before="0" w:beforeAutospacing="0" w:after="0" w:afterAutospacing="0"/>
              <w:ind w:left="0" w:right="0"/>
              <w:jc w:val="both"/>
              <w:rPr>
                <w:rFonts w:hint="default" w:ascii="Times New Roman" w:hAnsi="Times New Roman" w:eastAsia="宋体" w:cs="Times New Roman"/>
                <w:b/>
                <w:bCs w:val="0"/>
                <w:color w:val="auto"/>
                <w:kern w:val="2"/>
                <w:sz w:val="24"/>
                <w:szCs w:val="24"/>
                <w:lang w:val="en-US" w:eastAsia="zh-CN" w:bidi="ar"/>
              </w:rPr>
            </w:pPr>
          </w:p>
          <w:p w14:paraId="43312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33D48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5A892D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6280F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color w:val="auto"/>
                <w:kern w:val="2"/>
                <w:sz w:val="24"/>
                <w:szCs w:val="24"/>
                <w:lang w:val="en-US" w:eastAsia="zh-CN" w:bidi="ar"/>
              </w:rPr>
            </w:pPr>
          </w:p>
          <w:p w14:paraId="394E6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Cs w:val="21"/>
                <w:lang w:val="en-US" w:bidi="ar"/>
              </w:rPr>
            </w:pPr>
            <w:r>
              <w:rPr>
                <w:rFonts w:hint="default" w:ascii="Times New Roman" w:hAnsi="Times New Roman" w:eastAsia="宋体" w:cs="Times New Roman"/>
                <w:b/>
                <w:bCs w:val="0"/>
                <w:color w:val="auto"/>
                <w:kern w:val="2"/>
                <w:sz w:val="24"/>
                <w:szCs w:val="24"/>
                <w:lang w:val="en-US" w:eastAsia="zh-CN" w:bidi="ar"/>
              </w:rPr>
              <w:t>CK1</w:t>
            </w:r>
          </w:p>
        </w:tc>
        <w:tc>
          <w:tcPr>
            <w:tcW w:w="2496" w:type="pct"/>
            <w:tcBorders>
              <w:top w:val="single" w:color="auto" w:sz="4" w:space="0"/>
              <w:left w:val="single" w:color="auto" w:sz="4" w:space="0"/>
              <w:bottom w:val="single" w:color="auto" w:sz="4" w:space="0"/>
              <w:right w:val="single" w:color="auto" w:sz="4" w:space="0"/>
            </w:tcBorders>
            <w:shd w:val="clear" w:color="auto" w:fill="auto"/>
            <w:vAlign w:val="top"/>
          </w:tcPr>
          <w:p w14:paraId="5A84D5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b/>
                <w:bCs w:val="0"/>
                <w:color w:val="auto"/>
                <w:kern w:val="2"/>
                <w:sz w:val="24"/>
                <w:szCs w:val="24"/>
                <w:lang w:val="en-US" w:eastAsia="zh-CN" w:bidi="ar"/>
              </w:rPr>
              <w:drawing>
                <wp:anchor distT="0" distB="0" distL="114300" distR="114300" simplePos="0" relativeHeight="251663360" behindDoc="0" locked="0" layoutInCell="1" allowOverlap="1">
                  <wp:simplePos x="0" y="0"/>
                  <wp:positionH relativeFrom="column">
                    <wp:posOffset>-38100</wp:posOffset>
                  </wp:positionH>
                  <wp:positionV relativeFrom="paragraph">
                    <wp:posOffset>28575</wp:posOffset>
                  </wp:positionV>
                  <wp:extent cx="2733675" cy="1964690"/>
                  <wp:effectExtent l="0" t="0" r="9525" b="16510"/>
                  <wp:wrapNone/>
                  <wp:docPr id="40" name="图片 969" descr="微信图片_20230422155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69" descr="微信图片_202304221558591"/>
                          <pic:cNvPicPr>
                            <a:picLocks noChangeAspect="1"/>
                          </pic:cNvPicPr>
                        </pic:nvPicPr>
                        <pic:blipFill>
                          <a:blip r:embed="rId20"/>
                          <a:srcRect t="20372" r="20757" b="3796"/>
                          <a:stretch>
                            <a:fillRect/>
                          </a:stretch>
                        </pic:blipFill>
                        <pic:spPr>
                          <a:xfrm>
                            <a:off x="0" y="0"/>
                            <a:ext cx="2733675" cy="1964690"/>
                          </a:xfrm>
                          <a:prstGeom prst="rect">
                            <a:avLst/>
                          </a:prstGeom>
                          <a:noFill/>
                          <a:ln>
                            <a:noFill/>
                          </a:ln>
                        </pic:spPr>
                      </pic:pic>
                    </a:graphicData>
                  </a:graphic>
                </wp:anchor>
              </w:drawing>
            </w:r>
          </w:p>
          <w:p w14:paraId="3563A9AD">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b/>
                <w:bCs w:val="0"/>
                <w:color w:val="auto"/>
                <w:sz w:val="24"/>
                <w:szCs w:val="24"/>
                <w:lang w:val="en-US"/>
              </w:rPr>
            </w:pPr>
          </w:p>
          <w:p w14:paraId="4993D480">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b/>
                <w:bCs w:val="0"/>
                <w:color w:val="auto"/>
                <w:sz w:val="24"/>
                <w:szCs w:val="24"/>
                <w:lang w:val="en-US"/>
              </w:rPr>
            </w:pPr>
          </w:p>
          <w:p w14:paraId="16D5929D">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b/>
                <w:bCs w:val="0"/>
                <w:color w:val="auto"/>
                <w:sz w:val="24"/>
                <w:szCs w:val="24"/>
                <w:lang w:val="en-US"/>
              </w:rPr>
            </w:pPr>
          </w:p>
          <w:p w14:paraId="089B40E0">
            <w:pPr>
              <w:keepNext w:val="0"/>
              <w:keepLines w:val="0"/>
              <w:suppressLineNumbers w:val="0"/>
              <w:spacing w:before="0" w:beforeAutospacing="0" w:after="0" w:afterAutospacing="0"/>
              <w:ind w:left="0" w:right="0"/>
              <w:rPr>
                <w:rFonts w:hint="default" w:ascii="Times New Roman" w:hAnsi="Times New Roman" w:cs="Times New Roman"/>
                <w:b/>
                <w:bCs w:val="0"/>
                <w:color w:val="auto"/>
                <w:sz w:val="24"/>
                <w:szCs w:val="24"/>
                <w:lang w:val="en-US"/>
              </w:rPr>
            </w:pPr>
          </w:p>
          <w:p w14:paraId="7770E62C">
            <w:pPr>
              <w:pStyle w:val="2"/>
              <w:keepNext w:val="0"/>
              <w:keepLines w:val="0"/>
              <w:suppressLineNumbers w:val="0"/>
              <w:spacing w:before="0" w:beforeAutospacing="0" w:after="0" w:afterAutospacing="0"/>
              <w:ind w:left="0" w:right="0"/>
              <w:jc w:val="both"/>
              <w:rPr>
                <w:rFonts w:hint="default" w:ascii="Times New Roman" w:hAnsi="Times New Roman" w:cs="Times New Roman"/>
                <w:b/>
                <w:bCs w:val="0"/>
                <w:color w:val="auto"/>
                <w:kern w:val="2"/>
                <w:sz w:val="24"/>
                <w:szCs w:val="24"/>
                <w:lang w:val="en-US"/>
              </w:rPr>
            </w:pPr>
          </w:p>
          <w:p w14:paraId="47C19638">
            <w:pPr>
              <w:pStyle w:val="2"/>
              <w:keepNext w:val="0"/>
              <w:keepLines w:val="0"/>
              <w:suppressLineNumbers w:val="0"/>
              <w:spacing w:before="0" w:beforeAutospacing="0" w:after="0" w:afterAutospacing="0"/>
              <w:ind w:left="0" w:right="0"/>
              <w:jc w:val="both"/>
              <w:rPr>
                <w:rFonts w:hint="default" w:ascii="Times New Roman" w:hAnsi="Times New Roman" w:cs="Times New Roman"/>
                <w:b/>
                <w:bCs w:val="0"/>
                <w:color w:val="auto"/>
                <w:kern w:val="2"/>
                <w:sz w:val="24"/>
                <w:szCs w:val="24"/>
                <w:lang w:val="en-US"/>
              </w:rPr>
            </w:pPr>
          </w:p>
          <w:p w14:paraId="44B8E80A">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b/>
                <w:bCs w:val="0"/>
                <w:color w:val="auto"/>
                <w:sz w:val="24"/>
                <w:szCs w:val="24"/>
                <w:lang w:val="en-US"/>
              </w:rPr>
            </w:pPr>
          </w:p>
          <w:p w14:paraId="1A969FD5">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b/>
                <w:bCs w:val="0"/>
                <w:color w:val="auto"/>
                <w:sz w:val="24"/>
                <w:szCs w:val="24"/>
                <w:lang w:val="en-US"/>
              </w:rPr>
            </w:pPr>
          </w:p>
          <w:p w14:paraId="552C939F">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b/>
                <w:bCs w:val="0"/>
                <w:color w:val="auto"/>
                <w:sz w:val="24"/>
                <w:szCs w:val="24"/>
                <w:lang w:val="en-US"/>
              </w:rPr>
            </w:pPr>
          </w:p>
          <w:p w14:paraId="7600D1A2">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b/>
                <w:bCs w:val="0"/>
                <w:color w:val="auto"/>
                <w:sz w:val="24"/>
                <w:szCs w:val="24"/>
                <w:lang w:val="en-US"/>
              </w:rPr>
            </w:pPr>
          </w:p>
          <w:p w14:paraId="5E3236F3">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cs="Times New Roman"/>
                <w:color w:val="auto"/>
                <w:lang w:val="en-US"/>
              </w:rPr>
            </w:pPr>
            <w:r>
              <w:rPr>
                <w:rFonts w:hint="default" w:ascii="Times New Roman" w:hAnsi="Times New Roman" w:cs="Times New Roman"/>
                <w:b/>
                <w:bCs w:val="0"/>
                <w:color w:val="auto"/>
                <w:sz w:val="24"/>
                <w:szCs w:val="24"/>
                <w:lang w:val="en-US"/>
              </w:rPr>
              <w:t>CK2</w:t>
            </w:r>
          </w:p>
        </w:tc>
      </w:tr>
    </w:tbl>
    <w:p w14:paraId="53E00A87">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120" w:lineRule="exact"/>
        <w:ind w:left="0" w:right="0" w:firstLine="0" w:firstLineChars="0"/>
        <w:jc w:val="center"/>
        <w:textAlignment w:val="auto"/>
        <w:rPr>
          <w:rFonts w:hint="default" w:ascii="Times New Roman" w:hAnsi="Times New Roman" w:eastAsia="宋体" w:cs="Times New Roman"/>
          <w:b/>
          <w:bCs w:val="0"/>
          <w:color w:val="auto"/>
          <w:kern w:val="2"/>
          <w:sz w:val="24"/>
          <w:szCs w:val="24"/>
          <w:lang w:val="en-US" w:eastAsia="zh-CN" w:bidi="ar"/>
        </w:rPr>
      </w:pPr>
    </w:p>
    <w:p w14:paraId="36C75DB2">
      <w:pPr>
        <w:pStyle w:val="28"/>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照片4-1  民采坑照片</w:t>
      </w:r>
    </w:p>
    <w:p w14:paraId="15E49854">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val="0"/>
          <w:color w:val="auto"/>
          <w:sz w:val="24"/>
          <w:szCs w:val="24"/>
          <w:lang w:val="en-US"/>
        </w:rPr>
      </w:pPr>
      <w:r>
        <w:rPr>
          <w:rFonts w:hint="default" w:ascii="Times New Roman" w:hAnsi="Times New Roman" w:eastAsia="宋体" w:cs="Times New Roman"/>
          <w:b/>
          <w:bCs/>
          <w:color w:val="auto"/>
          <w:sz w:val="21"/>
          <w:szCs w:val="21"/>
          <w:lang w:val="en-US" w:eastAsia="zh-CN"/>
        </w:rPr>
        <w:t>表4-1  民采坑特征表</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51"/>
        <w:gridCol w:w="1648"/>
        <w:gridCol w:w="1293"/>
        <w:gridCol w:w="1293"/>
        <w:gridCol w:w="1293"/>
        <w:gridCol w:w="1650"/>
      </w:tblGrid>
      <w:tr w14:paraId="421CD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F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单元名称</w:t>
            </w: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F73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面积（m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A9F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长（m）</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A3B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宽（m）</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0B5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深（m）</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79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挖方（m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w:t>
            </w:r>
          </w:p>
        </w:tc>
      </w:tr>
      <w:tr w14:paraId="33F37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09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CK1</w:t>
            </w: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8AF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1388</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571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55</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4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17</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82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2.5</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E0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 xml:space="preserve">1753 </w:t>
            </w:r>
          </w:p>
        </w:tc>
      </w:tr>
      <w:tr w14:paraId="66D53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125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CK2</w:t>
            </w: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993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139</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C3F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15</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E11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9</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821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A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 xml:space="preserve">101 </w:t>
            </w:r>
          </w:p>
        </w:tc>
      </w:tr>
      <w:tr w14:paraId="65CE0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5E9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Cs w:val="21"/>
                <w:lang w:val="en-US" w:bidi="ar"/>
              </w:rPr>
            </w:pPr>
            <w:r>
              <w:rPr>
                <w:rFonts w:hint="default" w:ascii="Times New Roman" w:hAnsi="Times New Roman" w:eastAsia="宋体" w:cs="Times New Roman"/>
                <w:color w:val="auto"/>
                <w:kern w:val="0"/>
                <w:sz w:val="21"/>
                <w:szCs w:val="21"/>
                <w:lang w:val="en-US" w:eastAsia="zh-CN" w:bidi="ar"/>
              </w:rPr>
              <w:t>合计</w:t>
            </w:r>
          </w:p>
        </w:tc>
        <w:tc>
          <w:tcPr>
            <w:tcW w:w="9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4F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Cs w:val="21"/>
                <w:lang w:val="en-US" w:bidi="ar"/>
              </w:rPr>
            </w:pPr>
            <w:r>
              <w:rPr>
                <w:rFonts w:hint="default" w:ascii="Times New Roman" w:hAnsi="Times New Roman" w:eastAsia="宋体" w:cs="Times New Roman"/>
                <w:color w:val="auto"/>
                <w:kern w:val="0"/>
                <w:sz w:val="21"/>
                <w:szCs w:val="21"/>
                <w:lang w:val="en-US" w:eastAsia="zh-CN" w:bidi="ar"/>
              </w:rPr>
              <w:t xml:space="preserve">1527 </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EFF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bidi="ar"/>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F7F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bidi="ar"/>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84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bidi="ar"/>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9F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Cs w:val="21"/>
                <w:lang w:val="en-US" w:bidi="ar"/>
              </w:rPr>
            </w:pPr>
            <w:r>
              <w:rPr>
                <w:rFonts w:hint="default" w:ascii="Times New Roman" w:hAnsi="Times New Roman" w:eastAsia="宋体" w:cs="Times New Roman"/>
                <w:color w:val="auto"/>
                <w:kern w:val="0"/>
                <w:sz w:val="21"/>
                <w:szCs w:val="21"/>
                <w:lang w:val="en-US" w:eastAsia="zh-CN" w:bidi="ar"/>
              </w:rPr>
              <w:t xml:space="preserve">1854 </w:t>
            </w:r>
          </w:p>
        </w:tc>
      </w:tr>
    </w:tbl>
    <w:p w14:paraId="4D7357DE">
      <w:pPr>
        <w:keepNext w:val="0"/>
        <w:keepLines w:val="0"/>
        <w:pageBreakBefore w:val="0"/>
        <w:widowControl w:val="0"/>
        <w:suppressLineNumbers w:val="0"/>
        <w:tabs>
          <w:tab w:val="left" w:pos="1300"/>
        </w:tabs>
        <w:kinsoku/>
        <w:wordWrap/>
        <w:overflowPunct/>
        <w:topLinePunct w:val="0"/>
        <w:autoSpaceDE/>
        <w:autoSpaceDN/>
        <w:bidi w:val="0"/>
        <w:adjustRightInd w:val="0"/>
        <w:snapToGrid w:val="0"/>
        <w:spacing w:before="0" w:beforeAutospacing="0" w:after="0" w:afterAutospacing="0" w:line="240" w:lineRule="exac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1CE4AE49">
      <w:pPr>
        <w:keepNext w:val="0"/>
        <w:keepLines w:val="0"/>
        <w:widowControl w:val="0"/>
        <w:suppressLineNumbers w:val="0"/>
        <w:tabs>
          <w:tab w:val="left" w:pos="130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（2）钻机平台</w:t>
      </w:r>
    </w:p>
    <w:p w14:paraId="34118BA7">
      <w:pPr>
        <w:keepNext w:val="0"/>
        <w:keepLines w:val="0"/>
        <w:widowControl w:val="0"/>
        <w:suppressLineNumbers w:val="0"/>
        <w:tabs>
          <w:tab w:val="left" w:pos="130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钻机平台（PT1-PT2）分布于矿区中部，总面积100m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，形状不规则，场地的建设破坏了原生地形地貌景观，与原有自然景观</w:t>
      </w:r>
      <w:r>
        <w:rPr>
          <w:rFonts w:hint="eastAsia" w:cs="Times New Roman"/>
          <w:color w:val="auto"/>
          <w:kern w:val="2"/>
          <w:sz w:val="24"/>
          <w:szCs w:val="24"/>
          <w:lang w:val="en-US" w:eastAsia="zh-CN" w:bidi="ar"/>
        </w:rPr>
        <w:t>存在</w:t>
      </w:r>
      <w:r>
        <w:rPr>
          <w:rFonts w:hint="default" w:ascii="Times New Roman" w:hAnsi="Times New Roman" w:eastAsia="宋体" w:cs="Times New Roman"/>
          <w:color w:val="auto"/>
          <w:kern w:val="2"/>
          <w:sz w:val="24"/>
          <w:szCs w:val="24"/>
          <w:lang w:val="en-US" w:eastAsia="zh-CN" w:bidi="ar"/>
        </w:rPr>
        <w:t>不协调。</w:t>
      </w:r>
    </w:p>
    <w:p w14:paraId="2D98B82E">
      <w:pPr>
        <w:keepNext w:val="0"/>
        <w:keepLines w:val="0"/>
        <w:widowControl w:val="0"/>
        <w:suppressLineNumbers w:val="0"/>
        <w:tabs>
          <w:tab w:val="left" w:pos="130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eastAsia" w:cs="Times New Roman"/>
          <w:color w:val="auto"/>
          <w:kern w:val="2"/>
          <w:sz w:val="24"/>
          <w:szCs w:val="24"/>
          <w:lang w:val="en-US" w:eastAsia="zh-CN" w:bidi="ar"/>
        </w:rPr>
        <w:t>需要说明的是，</w:t>
      </w:r>
      <w:r>
        <w:rPr>
          <w:rFonts w:hint="default" w:ascii="Times New Roman" w:hAnsi="Times New Roman" w:eastAsia="宋体" w:cs="Times New Roman"/>
          <w:color w:val="auto"/>
          <w:kern w:val="2"/>
          <w:sz w:val="24"/>
          <w:szCs w:val="24"/>
          <w:lang w:val="en-US" w:eastAsia="zh-CN" w:bidi="ar"/>
        </w:rPr>
        <w:t>钻机平台（PT1-PT2）</w:t>
      </w:r>
      <w:r>
        <w:rPr>
          <w:rFonts w:hint="eastAsia" w:cs="Times New Roman"/>
          <w:color w:val="auto"/>
          <w:kern w:val="2"/>
          <w:sz w:val="24"/>
          <w:szCs w:val="24"/>
          <w:lang w:val="en-US" w:eastAsia="zh-CN" w:bidi="ar"/>
        </w:rPr>
        <w:t>已在2023年度完成治理，总体地貌景观协调，植被恢复效果待完善。</w:t>
      </w:r>
      <w:r>
        <w:rPr>
          <w:rFonts w:hint="default" w:ascii="Times New Roman" w:hAnsi="Times New Roman" w:eastAsia="宋体" w:cs="Times New Roman"/>
          <w:color w:val="auto"/>
          <w:kern w:val="2"/>
          <w:sz w:val="24"/>
          <w:szCs w:val="24"/>
          <w:lang w:val="en-US" w:eastAsia="zh-CN" w:bidi="ar"/>
        </w:rPr>
        <w:t>见照片4-2。</w:t>
      </w:r>
    </w:p>
    <w:p w14:paraId="33DC4D3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lang w:eastAsia="zh-CN"/>
        </w:rPr>
        <w:drawing>
          <wp:anchor distT="0" distB="0" distL="114300" distR="114300" simplePos="0" relativeHeight="251666432" behindDoc="0" locked="0" layoutInCell="1" allowOverlap="1">
            <wp:simplePos x="0" y="0"/>
            <wp:positionH relativeFrom="column">
              <wp:posOffset>920750</wp:posOffset>
            </wp:positionH>
            <wp:positionV relativeFrom="paragraph">
              <wp:posOffset>5080</wp:posOffset>
            </wp:positionV>
            <wp:extent cx="3362325" cy="2524125"/>
            <wp:effectExtent l="9525" t="9525" r="19050" b="19050"/>
            <wp:wrapNone/>
            <wp:docPr id="13" name="图片 9" descr="C:\Users\nmcfj\Desktop\20230718（松山）\治理效果照片（20230718）\IMG_20230718_125544.jpgIMG_20230718_12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C:\Users\nmcfj\Desktop\20230718（松山）\治理效果照片（20230718）\IMG_20230718_125544.jpgIMG_20230718_125544"/>
                    <pic:cNvPicPr>
                      <a:picLocks noChangeAspect="1"/>
                    </pic:cNvPicPr>
                  </pic:nvPicPr>
                  <pic:blipFill>
                    <a:blip r:embed="rId21"/>
                    <a:srcRect l="35" r="35"/>
                    <a:stretch>
                      <a:fillRect/>
                    </a:stretch>
                  </pic:blipFill>
                  <pic:spPr>
                    <a:xfrm>
                      <a:off x="0" y="0"/>
                      <a:ext cx="3362325" cy="252412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74D28900">
      <w:pPr>
        <w:pStyle w:val="2"/>
        <w:rPr>
          <w:rFonts w:hint="eastAsia" w:ascii="Times New Roman" w:hAnsi="Times New Roman" w:eastAsia="黑体" w:cs="Times New Roman"/>
          <w:color w:val="auto"/>
          <w:sz w:val="24"/>
          <w:szCs w:val="24"/>
          <w:lang w:eastAsia="zh-CN"/>
        </w:rPr>
      </w:pPr>
    </w:p>
    <w:p w14:paraId="58B5C5C1">
      <w:pPr>
        <w:pStyle w:val="2"/>
        <w:rPr>
          <w:rFonts w:hint="eastAsia" w:ascii="Times New Roman" w:hAnsi="Times New Roman" w:eastAsia="黑体" w:cs="Times New Roman"/>
          <w:color w:val="auto"/>
          <w:sz w:val="24"/>
          <w:szCs w:val="24"/>
        </w:rPr>
      </w:pPr>
    </w:p>
    <w:p w14:paraId="342B75A3">
      <w:pPr>
        <w:pStyle w:val="2"/>
        <w:rPr>
          <w:rFonts w:hint="eastAsia" w:ascii="Times New Roman" w:hAnsi="Times New Roman" w:eastAsia="黑体" w:cs="Times New Roman"/>
          <w:color w:val="auto"/>
          <w:sz w:val="24"/>
          <w:szCs w:val="24"/>
        </w:rPr>
      </w:pPr>
    </w:p>
    <w:p w14:paraId="5A1463B4">
      <w:pPr>
        <w:pStyle w:val="2"/>
        <w:rPr>
          <w:rFonts w:hint="eastAsia" w:ascii="Times New Roman" w:hAnsi="Times New Roman" w:eastAsia="黑体" w:cs="Times New Roman"/>
          <w:color w:val="auto"/>
          <w:sz w:val="24"/>
          <w:szCs w:val="24"/>
        </w:rPr>
      </w:pPr>
    </w:p>
    <w:p w14:paraId="4A72BB8A">
      <w:pPr>
        <w:pStyle w:val="2"/>
        <w:rPr>
          <w:rFonts w:hint="eastAsia" w:ascii="Times New Roman" w:hAnsi="Times New Roman" w:eastAsia="黑体" w:cs="Times New Roman"/>
          <w:color w:val="auto"/>
          <w:sz w:val="24"/>
          <w:szCs w:val="24"/>
          <w:lang w:eastAsia="zh-CN"/>
        </w:rPr>
      </w:pPr>
    </w:p>
    <w:p w14:paraId="43D53387">
      <w:pPr>
        <w:pStyle w:val="2"/>
        <w:rPr>
          <w:rFonts w:hint="eastAsia" w:ascii="Times New Roman" w:hAnsi="Times New Roman" w:eastAsia="黑体" w:cs="Times New Roman"/>
          <w:color w:val="auto"/>
          <w:sz w:val="24"/>
          <w:szCs w:val="24"/>
        </w:rPr>
      </w:pPr>
    </w:p>
    <w:p w14:paraId="1CE23107">
      <w:pPr>
        <w:pStyle w:val="2"/>
        <w:rPr>
          <w:rFonts w:hint="eastAsia" w:ascii="Times New Roman" w:hAnsi="Times New Roman" w:eastAsia="黑体" w:cs="Times New Roman"/>
          <w:color w:val="auto"/>
          <w:sz w:val="24"/>
          <w:szCs w:val="24"/>
        </w:rPr>
      </w:pPr>
    </w:p>
    <w:p w14:paraId="6806D40F">
      <w:pPr>
        <w:pStyle w:val="2"/>
        <w:rPr>
          <w:rFonts w:hint="eastAsia" w:ascii="Times New Roman" w:hAnsi="Times New Roman" w:eastAsia="黑体" w:cs="Times New Roman"/>
          <w:color w:val="auto"/>
          <w:sz w:val="24"/>
          <w:szCs w:val="24"/>
        </w:rPr>
      </w:pPr>
    </w:p>
    <w:p w14:paraId="04B2FFAC">
      <w:pPr>
        <w:pStyle w:val="2"/>
        <w:rPr>
          <w:rFonts w:hint="eastAsia" w:ascii="Times New Roman" w:hAnsi="Times New Roman" w:eastAsia="黑体" w:cs="Times New Roman"/>
          <w:color w:val="auto"/>
          <w:sz w:val="24"/>
          <w:szCs w:val="24"/>
        </w:rPr>
      </w:pPr>
    </w:p>
    <w:p w14:paraId="60D1D2D6">
      <w:pPr>
        <w:pStyle w:val="2"/>
        <w:rPr>
          <w:rFonts w:hint="eastAsia" w:ascii="Times New Roman" w:hAnsi="Times New Roman" w:eastAsia="黑体" w:cs="Times New Roman"/>
          <w:color w:val="auto"/>
          <w:sz w:val="24"/>
          <w:szCs w:val="24"/>
        </w:rPr>
      </w:pPr>
    </w:p>
    <w:p w14:paraId="23EF258F">
      <w:pPr>
        <w:pStyle w:val="2"/>
        <w:rPr>
          <w:rFonts w:hint="eastAsia" w:ascii="Times New Roman" w:hAnsi="Times New Roman" w:eastAsia="黑体" w:cs="Times New Roman"/>
          <w:color w:val="auto"/>
          <w:sz w:val="24"/>
          <w:szCs w:val="24"/>
        </w:rPr>
      </w:pPr>
    </w:p>
    <w:p w14:paraId="09467522">
      <w:pPr>
        <w:pStyle w:val="2"/>
        <w:rPr>
          <w:rFonts w:hint="eastAsia" w:ascii="Times New Roman" w:hAnsi="Times New Roman" w:eastAsia="黑体" w:cs="Times New Roman"/>
          <w:color w:val="auto"/>
          <w:sz w:val="24"/>
          <w:szCs w:val="24"/>
        </w:rPr>
      </w:pPr>
    </w:p>
    <w:p w14:paraId="410FB64D">
      <w:pPr>
        <w:pStyle w:val="2"/>
        <w:rPr>
          <w:rFonts w:hint="eastAsia" w:ascii="Times New Roman" w:hAnsi="Times New Roman" w:eastAsia="黑体" w:cs="Times New Roman"/>
          <w:color w:val="auto"/>
          <w:sz w:val="24"/>
          <w:szCs w:val="24"/>
        </w:rPr>
      </w:pPr>
    </w:p>
    <w:p w14:paraId="6F6313F6">
      <w:pPr>
        <w:pStyle w:val="2"/>
        <w:rPr>
          <w:rFonts w:hint="eastAsia" w:ascii="Times New Roman" w:hAnsi="Times New Roman" w:eastAsia="黑体" w:cs="Times New Roman"/>
          <w:color w:val="auto"/>
          <w:sz w:val="24"/>
          <w:szCs w:val="24"/>
        </w:rPr>
      </w:pPr>
    </w:p>
    <w:p w14:paraId="7F9178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黑体" w:cs="Times New Roman"/>
          <w:color w:val="auto"/>
          <w:sz w:val="24"/>
          <w:szCs w:val="24"/>
        </w:rPr>
      </w:pPr>
      <w:r>
        <w:rPr>
          <w:rFonts w:hint="default" w:ascii="Times New Roman" w:hAnsi="Times New Roman" w:eastAsia="宋体" w:cs="Times New Roman"/>
          <w:b/>
          <w:bCs/>
          <w:color w:val="auto"/>
          <w:sz w:val="21"/>
          <w:szCs w:val="21"/>
          <w:lang w:val="en-US" w:eastAsia="zh-CN"/>
        </w:rPr>
        <w:t xml:space="preserve">照片4-2  </w:t>
      </w:r>
      <w:r>
        <w:rPr>
          <w:rFonts w:hint="eastAsia" w:ascii="Times New Roman" w:hAnsi="Times New Roman" w:eastAsia="黑体" w:cs="Times New Roman"/>
          <w:color w:val="auto"/>
          <w:sz w:val="24"/>
          <w:szCs w:val="24"/>
          <w:lang w:val="en-US" w:eastAsia="zh-CN"/>
        </w:rPr>
        <w:t>徐家窝铺冰洲石矿钻机平台PT1</w:t>
      </w:r>
      <w:r>
        <w:rPr>
          <w:rFonts w:hint="eastAsia" w:eastAsia="黑体" w:cs="Times New Roman"/>
          <w:color w:val="auto"/>
          <w:sz w:val="24"/>
          <w:szCs w:val="24"/>
          <w:lang w:val="en-US" w:eastAsia="zh-CN"/>
        </w:rPr>
        <w:t>回填、整平、覆土后的</w:t>
      </w:r>
      <w:r>
        <w:rPr>
          <w:rFonts w:hint="eastAsia" w:ascii="Times New Roman" w:hAnsi="Times New Roman" w:eastAsia="黑体" w:cs="Times New Roman"/>
          <w:color w:val="auto"/>
          <w:sz w:val="24"/>
          <w:szCs w:val="24"/>
          <w:lang w:val="en-US" w:eastAsia="zh-CN"/>
        </w:rPr>
        <w:t>效果照片</w:t>
      </w:r>
    </w:p>
    <w:p w14:paraId="05B8BB1C">
      <w:pPr>
        <w:rPr>
          <w:rFonts w:hint="eastAsia"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lang w:eastAsia="zh-CN"/>
        </w:rPr>
        <w:drawing>
          <wp:anchor distT="0" distB="0" distL="114300" distR="114300" simplePos="0" relativeHeight="251667456" behindDoc="0" locked="0" layoutInCell="1" allowOverlap="1">
            <wp:simplePos x="0" y="0"/>
            <wp:positionH relativeFrom="column">
              <wp:posOffset>1028700</wp:posOffset>
            </wp:positionH>
            <wp:positionV relativeFrom="paragraph">
              <wp:posOffset>93345</wp:posOffset>
            </wp:positionV>
            <wp:extent cx="3307715" cy="2482215"/>
            <wp:effectExtent l="9525" t="9525" r="16510" b="22860"/>
            <wp:wrapNone/>
            <wp:docPr id="14" name="图片 10" descr="C:\Users\nmcfj\Desktop\20230718（松山）\治理效果照片（20230718）\IMG_20230718_125826.jpgIMG_20230718_12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Users\nmcfj\Desktop\20230718（松山）\治理效果照片（20230718）\IMG_20230718_125826.jpgIMG_20230718_125826"/>
                    <pic:cNvPicPr>
                      <a:picLocks noChangeAspect="1"/>
                    </pic:cNvPicPr>
                  </pic:nvPicPr>
                  <pic:blipFill>
                    <a:blip r:embed="rId22"/>
                    <a:srcRect l="35" r="35"/>
                    <a:stretch>
                      <a:fillRect/>
                    </a:stretch>
                  </pic:blipFill>
                  <pic:spPr>
                    <a:xfrm>
                      <a:off x="0" y="0"/>
                      <a:ext cx="3307715" cy="248221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59545608">
      <w:pPr>
        <w:rPr>
          <w:rFonts w:hint="eastAsia" w:ascii="Times New Roman" w:hAnsi="Times New Roman" w:eastAsia="黑体" w:cs="Times New Roman"/>
          <w:color w:val="auto"/>
          <w:sz w:val="24"/>
          <w:szCs w:val="24"/>
        </w:rPr>
      </w:pPr>
    </w:p>
    <w:p w14:paraId="510D8DB6">
      <w:pPr>
        <w:rPr>
          <w:rFonts w:hint="eastAsia" w:ascii="Times New Roman" w:hAnsi="Times New Roman" w:eastAsia="黑体" w:cs="Times New Roman"/>
          <w:color w:val="auto"/>
          <w:sz w:val="24"/>
          <w:szCs w:val="24"/>
        </w:rPr>
      </w:pPr>
    </w:p>
    <w:p w14:paraId="6F2AB203">
      <w:pPr>
        <w:rPr>
          <w:rFonts w:hint="eastAsia" w:ascii="Times New Roman" w:hAnsi="Times New Roman" w:eastAsia="黑体" w:cs="Times New Roman"/>
          <w:color w:val="auto"/>
          <w:sz w:val="24"/>
          <w:szCs w:val="24"/>
        </w:rPr>
      </w:pPr>
    </w:p>
    <w:p w14:paraId="43E0AE0F">
      <w:pPr>
        <w:rPr>
          <w:rFonts w:hint="eastAsia" w:ascii="Times New Roman" w:hAnsi="Times New Roman" w:eastAsia="黑体" w:cs="Times New Roman"/>
          <w:color w:val="auto"/>
          <w:sz w:val="24"/>
          <w:szCs w:val="24"/>
          <w:lang w:eastAsia="zh-CN"/>
        </w:rPr>
      </w:pPr>
    </w:p>
    <w:p w14:paraId="018EA707">
      <w:pPr>
        <w:pStyle w:val="2"/>
        <w:rPr>
          <w:rFonts w:hint="eastAsia" w:ascii="Times New Roman" w:hAnsi="Times New Roman" w:eastAsia="黑体" w:cs="Times New Roman"/>
          <w:color w:val="auto"/>
          <w:sz w:val="24"/>
          <w:szCs w:val="24"/>
        </w:rPr>
      </w:pPr>
    </w:p>
    <w:p w14:paraId="7DA9BBC1">
      <w:pPr>
        <w:pStyle w:val="2"/>
        <w:rPr>
          <w:rFonts w:hint="eastAsia" w:ascii="Times New Roman" w:hAnsi="Times New Roman" w:eastAsia="黑体" w:cs="Times New Roman"/>
          <w:color w:val="auto"/>
          <w:sz w:val="24"/>
          <w:szCs w:val="24"/>
        </w:rPr>
      </w:pPr>
    </w:p>
    <w:p w14:paraId="3C43D2BF">
      <w:pPr>
        <w:pStyle w:val="2"/>
        <w:rPr>
          <w:rFonts w:hint="eastAsia" w:ascii="Times New Roman" w:hAnsi="Times New Roman" w:eastAsia="黑体" w:cs="Times New Roman"/>
          <w:color w:val="auto"/>
          <w:sz w:val="24"/>
          <w:szCs w:val="24"/>
        </w:rPr>
      </w:pPr>
    </w:p>
    <w:p w14:paraId="4218CA11">
      <w:pPr>
        <w:pStyle w:val="2"/>
        <w:rPr>
          <w:rFonts w:hint="eastAsia" w:ascii="Times New Roman" w:hAnsi="Times New Roman" w:eastAsia="黑体" w:cs="Times New Roman"/>
          <w:color w:val="auto"/>
          <w:sz w:val="24"/>
          <w:szCs w:val="24"/>
        </w:rPr>
      </w:pPr>
    </w:p>
    <w:p w14:paraId="7246B85D">
      <w:pPr>
        <w:pStyle w:val="2"/>
        <w:rPr>
          <w:rFonts w:hint="eastAsia" w:ascii="Times New Roman" w:hAnsi="Times New Roman" w:eastAsia="黑体" w:cs="Times New Roman"/>
          <w:color w:val="auto"/>
          <w:sz w:val="24"/>
          <w:szCs w:val="24"/>
        </w:rPr>
      </w:pPr>
    </w:p>
    <w:p w14:paraId="6622F812">
      <w:pPr>
        <w:pStyle w:val="2"/>
        <w:rPr>
          <w:rFonts w:hint="eastAsia" w:ascii="Times New Roman" w:hAnsi="Times New Roman" w:eastAsia="黑体" w:cs="Times New Roman"/>
          <w:color w:val="auto"/>
          <w:sz w:val="24"/>
          <w:szCs w:val="24"/>
        </w:rPr>
      </w:pPr>
    </w:p>
    <w:p w14:paraId="649A3599">
      <w:pPr>
        <w:pStyle w:val="2"/>
        <w:rPr>
          <w:rFonts w:hint="eastAsia" w:ascii="Times New Roman" w:hAnsi="Times New Roman" w:eastAsia="黑体" w:cs="Times New Roman"/>
          <w:color w:val="auto"/>
          <w:sz w:val="24"/>
          <w:szCs w:val="24"/>
        </w:rPr>
      </w:pPr>
    </w:p>
    <w:p w14:paraId="496F8DD3">
      <w:pPr>
        <w:pStyle w:val="2"/>
        <w:rPr>
          <w:rFonts w:hint="eastAsia" w:ascii="Times New Roman" w:hAnsi="Times New Roman" w:eastAsia="黑体" w:cs="Times New Roman"/>
          <w:color w:val="auto"/>
          <w:sz w:val="24"/>
          <w:szCs w:val="24"/>
        </w:rPr>
      </w:pPr>
    </w:p>
    <w:p w14:paraId="7F6418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黑体" w:cs="Times New Roman"/>
          <w:color w:val="auto"/>
          <w:sz w:val="24"/>
          <w:szCs w:val="24"/>
        </w:rPr>
      </w:pPr>
      <w:r>
        <w:rPr>
          <w:rFonts w:hint="default" w:ascii="Times New Roman" w:hAnsi="Times New Roman" w:eastAsia="宋体" w:cs="Times New Roman"/>
          <w:b/>
          <w:bCs/>
          <w:color w:val="auto"/>
          <w:sz w:val="21"/>
          <w:szCs w:val="21"/>
          <w:lang w:val="en-US" w:eastAsia="zh-CN"/>
        </w:rPr>
        <w:t xml:space="preserve">照片4-2  </w:t>
      </w:r>
      <w:r>
        <w:rPr>
          <w:rFonts w:hint="eastAsia" w:ascii="Times New Roman" w:hAnsi="Times New Roman" w:eastAsia="黑体" w:cs="Times New Roman"/>
          <w:color w:val="auto"/>
          <w:sz w:val="24"/>
          <w:szCs w:val="24"/>
          <w:lang w:val="en-US" w:eastAsia="zh-CN"/>
        </w:rPr>
        <w:t>徐家窝铺冰洲石矿钻机平台PT2</w:t>
      </w:r>
      <w:r>
        <w:rPr>
          <w:rFonts w:hint="eastAsia" w:eastAsia="黑体" w:cs="Times New Roman"/>
          <w:color w:val="auto"/>
          <w:sz w:val="24"/>
          <w:szCs w:val="24"/>
          <w:lang w:val="en-US" w:eastAsia="zh-CN"/>
        </w:rPr>
        <w:t>回填、整平、覆土后的</w:t>
      </w:r>
      <w:r>
        <w:rPr>
          <w:rFonts w:hint="eastAsia" w:ascii="Times New Roman" w:hAnsi="Times New Roman" w:eastAsia="黑体" w:cs="Times New Roman"/>
          <w:color w:val="auto"/>
          <w:sz w:val="24"/>
          <w:szCs w:val="24"/>
          <w:lang w:val="en-US" w:eastAsia="zh-CN"/>
        </w:rPr>
        <w:t>效果</w:t>
      </w:r>
      <w:r>
        <w:rPr>
          <w:rFonts w:hint="eastAsia" w:ascii="Times New Roman" w:hAnsi="Times New Roman" w:eastAsia="黑体" w:cs="Times New Roman"/>
          <w:color w:val="auto"/>
          <w:sz w:val="24"/>
          <w:szCs w:val="24"/>
        </w:rPr>
        <w:t>照片</w:t>
      </w:r>
    </w:p>
    <w:p w14:paraId="49D72389">
      <w:pPr>
        <w:keepNext w:val="0"/>
        <w:keepLines w:val="0"/>
        <w:widowControl w:val="0"/>
        <w:suppressLineNumbers w:val="0"/>
        <w:tabs>
          <w:tab w:val="left" w:pos="130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（3）矿区道路</w:t>
      </w:r>
    </w:p>
    <w:p w14:paraId="4BD99CA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现状已开拓道路总长2012m，路面宽4m，占地面积为8048m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，均为探矿时期形成的简易道路，道路大部分沿河道分布，矿区道路局部存在切坡，切坡长度242m，切坡高度1.5m。矿区道路与乡村道路相连通，建设及运输碾压地表，破坏植被，见照片4-3。</w:t>
      </w:r>
    </w:p>
    <w:p w14:paraId="015E9A30">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eastAsia" w:cs="Times New Roman"/>
          <w:color w:val="auto"/>
          <w:kern w:val="2"/>
          <w:sz w:val="21"/>
          <w:szCs w:val="24"/>
          <w:lang w:val="en-US" w:eastAsia="zh-CN" w:bidi="ar"/>
        </w:rPr>
        <w:t xml:space="preserve">       </w:t>
      </w:r>
      <w:r>
        <w:rPr>
          <w:rFonts w:hint="default" w:ascii="Times New Roman" w:hAnsi="Times New Roman" w:eastAsia="宋体" w:cs="Times New Roman"/>
          <w:color w:val="auto"/>
          <w:kern w:val="2"/>
          <w:sz w:val="21"/>
          <w:szCs w:val="24"/>
          <w:lang w:val="en-US" w:eastAsia="zh-CN" w:bidi="ar"/>
        </w:rPr>
        <w:t xml:space="preserve">  </w:t>
      </w:r>
      <w:r>
        <w:rPr>
          <w:rFonts w:hint="eastAsia" w:cs="Times New Roman"/>
          <w:color w:val="auto"/>
          <w:kern w:val="2"/>
          <w:sz w:val="21"/>
          <w:szCs w:val="24"/>
          <w:lang w:val="en-US" w:eastAsia="zh-CN" w:bidi="ar"/>
        </w:rPr>
        <w:t xml:space="preserve">       </w:t>
      </w:r>
    </w:p>
    <w:p w14:paraId="31AFA0AC">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照片4-3  矿区道路</w:t>
      </w:r>
    </w:p>
    <w:p w14:paraId="7C44852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（4）</w:t>
      </w:r>
      <w:r>
        <w:rPr>
          <w:rFonts w:hint="eastAsia" w:ascii="Times New Roman" w:hAnsi="Times New Roman" w:cs="Times New Roman"/>
          <w:color w:val="auto"/>
          <w:kern w:val="2"/>
          <w:sz w:val="24"/>
          <w:szCs w:val="24"/>
          <w:lang w:val="en-US" w:eastAsia="zh-CN" w:bidi="ar"/>
        </w:rPr>
        <w:t>矿区其它</w:t>
      </w:r>
      <w:r>
        <w:rPr>
          <w:rFonts w:hint="default" w:ascii="Times New Roman" w:hAnsi="Times New Roman" w:eastAsia="宋体" w:cs="Times New Roman"/>
          <w:color w:val="auto"/>
          <w:kern w:val="2"/>
          <w:sz w:val="24"/>
          <w:szCs w:val="24"/>
          <w:lang w:val="en-US" w:eastAsia="zh-CN" w:bidi="ar"/>
        </w:rPr>
        <w:t>区域</w:t>
      </w:r>
    </w:p>
    <w:p w14:paraId="0EAEE6A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矿区其它区域矿山活动极少，基本保持了原生的地形地貌状态。</w:t>
      </w:r>
    </w:p>
    <w:p w14:paraId="40E77641">
      <w:pPr>
        <w:pStyle w:val="2"/>
        <w:rPr>
          <w:rFonts w:hint="default" w:ascii="Times New Roman" w:hAnsi="Times New Roman" w:eastAsia="宋体" w:cs="Times New Roman"/>
          <w:color w:val="auto"/>
          <w:kern w:val="2"/>
          <w:sz w:val="24"/>
          <w:szCs w:val="24"/>
          <w:lang w:val="en-US" w:eastAsia="zh-CN" w:bidi="ar"/>
        </w:rPr>
      </w:pPr>
    </w:p>
    <w:p w14:paraId="7BC2C056">
      <w:pPr>
        <w:pStyle w:val="2"/>
        <w:rPr>
          <w:rFonts w:hint="default" w:ascii="Times New Roman" w:hAnsi="Times New Roman" w:eastAsia="宋体" w:cs="Times New Roman"/>
          <w:color w:val="auto"/>
          <w:kern w:val="2"/>
          <w:sz w:val="24"/>
          <w:szCs w:val="24"/>
          <w:lang w:val="en-US" w:eastAsia="zh-CN" w:bidi="ar"/>
        </w:rPr>
      </w:pPr>
    </w:p>
    <w:p w14:paraId="3F79AB93">
      <w:pPr>
        <w:pStyle w:val="2"/>
        <w:rPr>
          <w:rFonts w:hint="default" w:ascii="Times New Roman" w:hAnsi="Times New Roman" w:eastAsia="宋体" w:cs="Times New Roman"/>
          <w:color w:val="auto"/>
          <w:kern w:val="2"/>
          <w:sz w:val="24"/>
          <w:szCs w:val="24"/>
          <w:lang w:val="en-US" w:eastAsia="zh-CN" w:bidi="ar"/>
        </w:rPr>
      </w:pPr>
    </w:p>
    <w:p w14:paraId="024B8D25">
      <w:pPr>
        <w:pStyle w:val="2"/>
        <w:rPr>
          <w:rFonts w:hint="default" w:ascii="Times New Roman" w:hAnsi="Times New Roman" w:eastAsia="宋体" w:cs="Times New Roman"/>
          <w:color w:val="auto"/>
          <w:kern w:val="2"/>
          <w:sz w:val="24"/>
          <w:szCs w:val="24"/>
          <w:lang w:val="en-US" w:eastAsia="zh-CN" w:bidi="ar"/>
        </w:rPr>
      </w:pPr>
    </w:p>
    <w:p w14:paraId="3B559B8F">
      <w:pPr>
        <w:pStyle w:val="2"/>
        <w:rPr>
          <w:rFonts w:hint="default" w:ascii="Times New Roman" w:hAnsi="Times New Roman" w:eastAsia="宋体" w:cs="Times New Roman"/>
          <w:color w:val="auto"/>
          <w:kern w:val="2"/>
          <w:sz w:val="24"/>
          <w:szCs w:val="24"/>
          <w:lang w:val="en-US" w:eastAsia="zh-CN" w:bidi="ar"/>
        </w:rPr>
      </w:pPr>
    </w:p>
    <w:p w14:paraId="66E3CBBB">
      <w:pPr>
        <w:pStyle w:val="2"/>
        <w:rPr>
          <w:rFonts w:hint="default" w:ascii="Times New Roman" w:hAnsi="Times New Roman" w:eastAsia="宋体" w:cs="Times New Roman"/>
          <w:color w:val="auto"/>
          <w:kern w:val="2"/>
          <w:sz w:val="24"/>
          <w:szCs w:val="24"/>
          <w:lang w:val="en-US" w:eastAsia="zh-CN" w:bidi="ar"/>
        </w:rPr>
      </w:pPr>
    </w:p>
    <w:p w14:paraId="45B297AB">
      <w:pPr>
        <w:pStyle w:val="2"/>
        <w:rPr>
          <w:rFonts w:hint="default" w:ascii="Times New Roman" w:hAnsi="Times New Roman" w:eastAsia="宋体" w:cs="Times New Roman"/>
          <w:color w:val="auto"/>
          <w:kern w:val="2"/>
          <w:sz w:val="24"/>
          <w:szCs w:val="24"/>
          <w:lang w:val="en-US" w:eastAsia="zh-CN" w:bidi="ar"/>
        </w:rPr>
      </w:pPr>
    </w:p>
    <w:p w14:paraId="1AE3921F">
      <w:pPr>
        <w:pStyle w:val="2"/>
        <w:rPr>
          <w:rFonts w:hint="default" w:ascii="Times New Roman" w:hAnsi="Times New Roman" w:eastAsia="宋体" w:cs="Times New Roman"/>
          <w:color w:val="auto"/>
          <w:kern w:val="2"/>
          <w:sz w:val="24"/>
          <w:szCs w:val="24"/>
          <w:lang w:val="en-US" w:eastAsia="zh-CN" w:bidi="ar"/>
        </w:rPr>
      </w:pPr>
    </w:p>
    <w:p w14:paraId="69445C47">
      <w:pPr>
        <w:keepNext w:val="0"/>
        <w:keepLines w:val="0"/>
        <w:pageBreakBefore w:val="0"/>
        <w:widowControl w:val="0"/>
        <w:suppressLineNumbers w:val="0"/>
        <w:kinsoku/>
        <w:wordWrap/>
        <w:overflowPunct/>
        <w:topLinePunct w:val="0"/>
        <w:autoSpaceDE/>
        <w:autoSpaceDN/>
        <w:bidi w:val="0"/>
        <w:adjustRightInd w:val="0"/>
        <w:snapToGrid w:val="0"/>
        <w:spacing w:before="120" w:beforeLines="50" w:beforeAutospacing="0" w:after="0" w:afterAutospacing="0" w:line="360" w:lineRule="auto"/>
        <w:ind w:left="0" w:right="0" w:firstLine="0" w:firstLineChars="0"/>
        <w:jc w:val="center"/>
        <w:textAlignment w:val="auto"/>
        <w:rPr>
          <w:rFonts w:hint="default" w:ascii="Times New Roman" w:hAnsi="Times New Roman" w:cs="Times New Roman"/>
          <w:b/>
          <w:bCs w:val="0"/>
          <w:color w:val="auto"/>
          <w:sz w:val="24"/>
          <w:szCs w:val="24"/>
          <w:lang w:val="en-US"/>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地形地貌景观影响现状评估表</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05"/>
        <w:gridCol w:w="1340"/>
        <w:gridCol w:w="4783"/>
        <w:gridCol w:w="914"/>
      </w:tblGrid>
      <w:tr w14:paraId="3ACD9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trPr>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AE9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分区</w:t>
            </w:r>
          </w:p>
        </w:tc>
        <w:tc>
          <w:tcPr>
            <w:tcW w:w="8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349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面积（m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w:t>
            </w:r>
          </w:p>
        </w:tc>
        <w:tc>
          <w:tcPr>
            <w:tcW w:w="2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B60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特征</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BFC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影响程度</w:t>
            </w:r>
          </w:p>
        </w:tc>
      </w:tr>
      <w:tr w14:paraId="4E5A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440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民采坑</w:t>
            </w:r>
          </w:p>
        </w:tc>
        <w:tc>
          <w:tcPr>
            <w:tcW w:w="8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EBA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1527</w:t>
            </w:r>
          </w:p>
        </w:tc>
        <w:tc>
          <w:tcPr>
            <w:tcW w:w="2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B0B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形状不规则，深度0.8-2.5m；废土石就近堆放，废土石高度0.5-1.0m</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F32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较严重</w:t>
            </w:r>
          </w:p>
        </w:tc>
      </w:tr>
      <w:tr w14:paraId="0A7DC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E5E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钻机平台</w:t>
            </w:r>
          </w:p>
        </w:tc>
        <w:tc>
          <w:tcPr>
            <w:tcW w:w="8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429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100</w:t>
            </w:r>
          </w:p>
        </w:tc>
        <w:tc>
          <w:tcPr>
            <w:tcW w:w="2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712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center"/>
              <w:rPr>
                <w:rFonts w:hint="default" w:ascii="Times New Roman" w:hAnsi="Times New Roman" w:cs="Times New Roman"/>
                <w:color w:val="auto"/>
                <w:szCs w:val="21"/>
                <w:lang w:val="en-US"/>
              </w:rPr>
            </w:pPr>
            <w:r>
              <w:rPr>
                <w:rFonts w:hint="eastAsia" w:cs="Times New Roman"/>
                <w:color w:val="auto"/>
                <w:kern w:val="2"/>
                <w:sz w:val="21"/>
                <w:szCs w:val="21"/>
                <w:lang w:val="en-US" w:eastAsia="zh-CN" w:bidi="ar"/>
              </w:rPr>
              <w:t>已完成治理</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B72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较</w:t>
            </w:r>
            <w:r>
              <w:rPr>
                <w:rFonts w:hint="eastAsia" w:cs="Times New Roman"/>
                <w:color w:val="auto"/>
                <w:kern w:val="0"/>
                <w:sz w:val="21"/>
                <w:szCs w:val="21"/>
                <w:lang w:val="en-US" w:eastAsia="zh-CN" w:bidi="ar"/>
              </w:rPr>
              <w:t>轻</w:t>
            </w:r>
          </w:p>
        </w:tc>
      </w:tr>
      <w:tr w14:paraId="4D283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C97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矿区道路</w:t>
            </w:r>
          </w:p>
        </w:tc>
        <w:tc>
          <w:tcPr>
            <w:tcW w:w="8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7E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8048</w:t>
            </w:r>
          </w:p>
        </w:tc>
        <w:tc>
          <w:tcPr>
            <w:tcW w:w="2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B8E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center"/>
              <w:rPr>
                <w:rFonts w:hint="default" w:ascii="Times New Roman" w:hAnsi="Times New Roman" w:cs="Times New Roman"/>
                <w:color w:val="auto"/>
                <w:szCs w:val="21"/>
                <w:lang w:val="en-US"/>
              </w:rPr>
            </w:pPr>
            <w:r>
              <w:rPr>
                <w:rFonts w:hint="eastAsia" w:cs="Times New Roman"/>
                <w:color w:val="auto"/>
                <w:kern w:val="2"/>
                <w:sz w:val="21"/>
                <w:szCs w:val="21"/>
                <w:lang w:val="en-US" w:eastAsia="zh-CN" w:bidi="ar"/>
              </w:rPr>
              <w:t>已完成治理</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13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较</w:t>
            </w:r>
            <w:r>
              <w:rPr>
                <w:rFonts w:hint="eastAsia" w:cs="Times New Roman"/>
                <w:color w:val="auto"/>
                <w:kern w:val="0"/>
                <w:sz w:val="21"/>
                <w:szCs w:val="21"/>
                <w:lang w:val="en-US" w:eastAsia="zh-CN" w:bidi="ar"/>
              </w:rPr>
              <w:t>轻</w:t>
            </w:r>
          </w:p>
        </w:tc>
      </w:tr>
      <w:tr w14:paraId="51682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A8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其他区域</w:t>
            </w:r>
          </w:p>
        </w:tc>
        <w:tc>
          <w:tcPr>
            <w:tcW w:w="8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4DD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3938875</w:t>
            </w:r>
          </w:p>
        </w:tc>
        <w:tc>
          <w:tcPr>
            <w:tcW w:w="2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7CF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矿业活动极少，该区其它地方基本保持了原生的地形地貌状态。</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90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较轻</w:t>
            </w:r>
          </w:p>
        </w:tc>
      </w:tr>
      <w:tr w14:paraId="68F26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7E6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eastAsia" w:ascii="Times New Roman" w:hAnsi="Times New Roman" w:cs="Times New Roman"/>
                <w:color w:val="auto"/>
                <w:kern w:val="0"/>
                <w:sz w:val="21"/>
                <w:szCs w:val="21"/>
                <w:lang w:val="en-US" w:eastAsia="zh-CN" w:bidi="ar"/>
              </w:rPr>
              <w:t>矿区</w:t>
            </w:r>
          </w:p>
        </w:tc>
        <w:tc>
          <w:tcPr>
            <w:tcW w:w="8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CF9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3948550</w:t>
            </w:r>
          </w:p>
        </w:tc>
        <w:tc>
          <w:tcPr>
            <w:tcW w:w="2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DB6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Cs w:val="21"/>
                <w:lang w:val="en-US"/>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7F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Cs w:val="21"/>
                <w:lang w:val="en-US"/>
              </w:rPr>
            </w:pPr>
          </w:p>
        </w:tc>
      </w:tr>
    </w:tbl>
    <w:p w14:paraId="462FC7D8">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exac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0C4697D7">
      <w:pPr>
        <w:pStyle w:val="11"/>
        <w:keepNext w:val="0"/>
        <w:keepLines w:val="0"/>
        <w:widowControl w:val="0"/>
        <w:suppressLineNumbers w:val="0"/>
        <w:tabs>
          <w:tab w:val="left" w:pos="6120"/>
        </w:tabs>
        <w:spacing w:before="0" w:beforeAutospacing="0" w:after="0" w:afterAutospacing="0" w:line="360" w:lineRule="auto"/>
        <w:ind w:left="0" w:right="0" w:firstLine="480" w:firstLineChars="200"/>
        <w:jc w:val="both"/>
        <w:rPr>
          <w:rFonts w:hint="default" w:ascii="Times New Roman" w:hAnsi="Times New Roman" w:eastAsia="宋体" w:cs="Times New Roman"/>
          <w:b/>
          <w:bCs w:val="0"/>
          <w:color w:val="auto"/>
          <w:sz w:val="24"/>
          <w:szCs w:val="24"/>
          <w:lang w:val="en-US"/>
        </w:rPr>
      </w:pPr>
      <w:r>
        <w:rPr>
          <w:rFonts w:hint="default" w:ascii="Times New Roman" w:hAnsi="Times New Roman" w:eastAsia="宋体" w:cs="Times New Roman"/>
          <w:color w:val="auto"/>
          <w:kern w:val="2"/>
          <w:sz w:val="24"/>
          <w:szCs w:val="24"/>
          <w:lang w:val="en-US" w:eastAsia="zh-CN" w:bidi="ar"/>
        </w:rPr>
        <w:t>综上</w:t>
      </w:r>
      <w:r>
        <w:rPr>
          <w:rFonts w:hint="eastAsia" w:cs="Times New Roman"/>
          <w:color w:val="auto"/>
          <w:kern w:val="2"/>
          <w:sz w:val="24"/>
          <w:szCs w:val="24"/>
          <w:lang w:val="en-US" w:eastAsia="zh-CN" w:bidi="ar"/>
        </w:rPr>
        <w:t>所述</w:t>
      </w:r>
      <w:r>
        <w:rPr>
          <w:rFonts w:hint="default"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现状对矿区</w:t>
      </w:r>
      <w:r>
        <w:rPr>
          <w:rFonts w:hint="default" w:ascii="Times New Roman" w:hAnsi="Times New Roman" w:eastAsia="宋体" w:cs="Times New Roman"/>
          <w:color w:val="auto"/>
          <w:kern w:val="2"/>
          <w:sz w:val="24"/>
          <w:szCs w:val="24"/>
          <w:lang w:val="en-US" w:eastAsia="zh-CN" w:bidi="ar"/>
        </w:rPr>
        <w:t>地形地貌景观影响程度较严重</w:t>
      </w:r>
      <w:r>
        <w:rPr>
          <w:rFonts w:hint="eastAsia" w:cs="Times New Roman"/>
          <w:color w:val="auto"/>
          <w:kern w:val="2"/>
          <w:sz w:val="24"/>
          <w:szCs w:val="24"/>
          <w:lang w:val="en-US" w:eastAsia="zh-CN" w:bidi="ar"/>
        </w:rPr>
        <w:t>的单元仅为</w:t>
      </w:r>
      <w:r>
        <w:rPr>
          <w:rFonts w:hint="default" w:ascii="Times New Roman" w:hAnsi="Times New Roman" w:eastAsia="宋体" w:cs="Times New Roman"/>
          <w:color w:val="auto"/>
          <w:kern w:val="2"/>
          <w:sz w:val="24"/>
          <w:szCs w:val="24"/>
          <w:lang w:val="en-US" w:eastAsia="zh-CN" w:bidi="ar"/>
        </w:rPr>
        <w:t>民采坑、钻机平台和矿区道路</w:t>
      </w:r>
      <w:r>
        <w:rPr>
          <w:rFonts w:hint="eastAsia" w:cs="Times New Roman"/>
          <w:color w:val="auto"/>
          <w:kern w:val="2"/>
          <w:sz w:val="24"/>
          <w:szCs w:val="24"/>
          <w:lang w:val="en-US" w:eastAsia="zh-CN" w:bidi="ar"/>
        </w:rPr>
        <w:t>已完成治理，</w:t>
      </w:r>
      <w:r>
        <w:rPr>
          <w:rFonts w:hint="default" w:ascii="Times New Roman" w:hAnsi="Times New Roman" w:eastAsia="宋体" w:cs="Times New Roman"/>
          <w:color w:val="auto"/>
          <w:kern w:val="2"/>
          <w:sz w:val="24"/>
          <w:szCs w:val="24"/>
          <w:lang w:val="en-US" w:eastAsia="zh-CN" w:bidi="ar"/>
        </w:rPr>
        <w:t>对地形地貌景观影响程度为较</w:t>
      </w:r>
      <w:r>
        <w:rPr>
          <w:rFonts w:hint="eastAsia" w:cs="Times New Roman"/>
          <w:color w:val="auto"/>
          <w:kern w:val="2"/>
          <w:sz w:val="24"/>
          <w:szCs w:val="24"/>
          <w:lang w:val="en-US" w:eastAsia="zh-CN" w:bidi="ar"/>
        </w:rPr>
        <w:t>轻</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cs="Times New Roman"/>
          <w:color w:val="auto"/>
          <w:kern w:val="2"/>
          <w:sz w:val="24"/>
          <w:szCs w:val="24"/>
          <w:lang w:val="en-US" w:eastAsia="zh-CN" w:bidi="ar"/>
        </w:rPr>
        <w:t>矿区</w:t>
      </w:r>
      <w:r>
        <w:rPr>
          <w:rFonts w:hint="eastAsia" w:cs="Times New Roman"/>
          <w:color w:val="auto"/>
          <w:kern w:val="2"/>
          <w:sz w:val="24"/>
          <w:szCs w:val="24"/>
          <w:lang w:val="en-US" w:eastAsia="zh-CN" w:bidi="ar"/>
        </w:rPr>
        <w:t>其它</w:t>
      </w:r>
      <w:r>
        <w:rPr>
          <w:rFonts w:hint="default" w:ascii="Times New Roman" w:hAnsi="Times New Roman" w:eastAsia="宋体" w:cs="Times New Roman"/>
          <w:color w:val="auto"/>
          <w:kern w:val="2"/>
          <w:sz w:val="24"/>
          <w:szCs w:val="24"/>
          <w:lang w:val="en-US" w:eastAsia="zh-CN" w:bidi="ar"/>
        </w:rPr>
        <w:t>区域</w:t>
      </w:r>
      <w:r>
        <w:rPr>
          <w:rFonts w:hint="eastAsia" w:cs="Times New Roman"/>
          <w:color w:val="auto"/>
          <w:kern w:val="2"/>
          <w:sz w:val="24"/>
          <w:szCs w:val="24"/>
          <w:lang w:val="en-US" w:eastAsia="zh-CN" w:bidi="ar"/>
        </w:rPr>
        <w:t>基本属于原始状态，矿业活动</w:t>
      </w:r>
      <w:r>
        <w:rPr>
          <w:rFonts w:hint="default" w:ascii="Times New Roman" w:hAnsi="Times New Roman" w:eastAsia="宋体" w:cs="Times New Roman"/>
          <w:color w:val="auto"/>
          <w:kern w:val="2"/>
          <w:sz w:val="24"/>
          <w:szCs w:val="24"/>
          <w:lang w:val="en-US" w:eastAsia="zh-CN" w:bidi="ar"/>
        </w:rPr>
        <w:t>对地形地貌景观影响程度为较轻。</w:t>
      </w:r>
    </w:p>
    <w:p w14:paraId="2D14F78C">
      <w:pPr>
        <w:pStyle w:val="28"/>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cs="Times New Roman"/>
          <w:b/>
          <w:bCs/>
          <w:color w:val="auto"/>
          <w:kern w:val="2"/>
          <w:sz w:val="24"/>
          <w:szCs w:val="24"/>
          <w:lang w:val="en-US" w:eastAsia="zh-CN" w:bidi="ar"/>
        </w:rPr>
        <w:t>4、</w:t>
      </w:r>
      <w:r>
        <w:rPr>
          <w:rFonts w:hint="default" w:ascii="Times New Roman" w:hAnsi="Times New Roman" w:eastAsia="宋体" w:cs="Times New Roman"/>
          <w:b/>
          <w:bCs/>
          <w:color w:val="auto"/>
          <w:kern w:val="2"/>
          <w:sz w:val="24"/>
          <w:szCs w:val="24"/>
          <w:lang w:val="en-US" w:eastAsia="zh-CN" w:bidi="ar"/>
        </w:rPr>
        <w:t>土地资源的影响现状</w:t>
      </w:r>
    </w:p>
    <w:p w14:paraId="6485D6EC">
      <w:pPr>
        <w:pStyle w:val="11"/>
        <w:keepNext w:val="0"/>
        <w:keepLines w:val="0"/>
        <w:widowControl w:val="0"/>
        <w:suppressLineNumbers w:val="0"/>
        <w:tabs>
          <w:tab w:val="left" w:pos="612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根据1：1万K50G040068、K50G040069土地利用现状图，现状已损毁破坏的土地资源利用类型为灌木林地、其他草地，总面积9675m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，其中灌木林地面积1592m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、其他草地面积</w:t>
      </w:r>
      <w:r>
        <w:rPr>
          <w:rFonts w:hint="default" w:ascii="Times New Roman" w:hAnsi="Times New Roman" w:eastAsia="宋体" w:cs="Times New Roman"/>
          <w:color w:val="auto"/>
          <w:kern w:val="0"/>
          <w:sz w:val="24"/>
          <w:szCs w:val="24"/>
          <w:lang w:val="en-US" w:eastAsia="zh-CN" w:bidi="ar"/>
        </w:rPr>
        <w:t>8086</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。对照全国第三次土地利用现状调查赤峰市松山区资料，土地权属大庙镇孙营子村所有，界线清晰，无争议。现状条件下，地表各单元对土地损毁情况见表</w:t>
      </w:r>
      <w:r>
        <w:rPr>
          <w:rFonts w:hint="eastAsia" w:cs="Times New Roman"/>
          <w:color w:val="auto"/>
          <w:kern w:val="2"/>
          <w:sz w:val="24"/>
          <w:szCs w:val="24"/>
          <w:lang w:val="en-US" w:eastAsia="zh-CN" w:bidi="ar"/>
        </w:rPr>
        <w:t>4</w:t>
      </w:r>
      <w:r>
        <w:rPr>
          <w:rFonts w:hint="default"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3</w:t>
      </w:r>
      <w:r>
        <w:rPr>
          <w:rFonts w:hint="default" w:ascii="Times New Roman" w:hAnsi="Times New Roman" w:eastAsia="宋体" w:cs="Times New Roman"/>
          <w:color w:val="auto"/>
          <w:kern w:val="2"/>
          <w:sz w:val="24"/>
          <w:szCs w:val="24"/>
          <w:lang w:val="en-US" w:eastAsia="zh-CN" w:bidi="ar"/>
        </w:rPr>
        <w:t>。</w:t>
      </w:r>
    </w:p>
    <w:p w14:paraId="4F6E1EC6">
      <w:pPr>
        <w:keepNext w:val="0"/>
        <w:keepLines w:val="0"/>
        <w:pageBreakBefore w:val="0"/>
        <w:widowControl w:val="0"/>
        <w:suppressLineNumbers w:val="0"/>
        <w:kinsoku/>
        <w:wordWrap/>
        <w:overflowPunct/>
        <w:topLinePunct w:val="0"/>
        <w:autoSpaceDE/>
        <w:autoSpaceDN/>
        <w:bidi w:val="0"/>
        <w:adjustRightInd w:val="0"/>
        <w:snapToGrid w:val="0"/>
        <w:spacing w:before="120" w:beforeLines="5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bookmarkStart w:id="51" w:name="_Hlk528519893"/>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现状损毁土地资源情况表</w:t>
      </w:r>
    </w:p>
    <w:bookmarkEnd w:id="51"/>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81"/>
        <w:gridCol w:w="846"/>
        <w:gridCol w:w="1525"/>
        <w:gridCol w:w="1530"/>
        <w:gridCol w:w="2043"/>
      </w:tblGrid>
      <w:tr w14:paraId="2C76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16E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单元名称</w:t>
            </w:r>
          </w:p>
        </w:tc>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75A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面积</w:t>
            </w:r>
          </w:p>
        </w:tc>
        <w:tc>
          <w:tcPr>
            <w:tcW w:w="1791" w:type="pct"/>
            <w:gridSpan w:val="2"/>
            <w:tcBorders>
              <w:top w:val="single" w:color="000000" w:sz="4" w:space="0"/>
              <w:left w:val="single" w:color="000000" w:sz="4" w:space="0"/>
              <w:bottom w:val="single" w:color="000000" w:sz="4" w:space="0"/>
              <w:right w:val="nil"/>
            </w:tcBorders>
            <w:shd w:val="clear" w:color="auto" w:fill="auto"/>
            <w:noWrap/>
            <w:vAlign w:val="center"/>
          </w:tcPr>
          <w:p w14:paraId="246713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损毁土地类型</w:t>
            </w:r>
          </w:p>
        </w:tc>
        <w:tc>
          <w:tcPr>
            <w:tcW w:w="1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2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土地权属</w:t>
            </w:r>
          </w:p>
        </w:tc>
      </w:tr>
      <w:tr w14:paraId="65A1F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445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44A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894" w:type="pct"/>
            <w:tcBorders>
              <w:top w:val="single" w:color="000000" w:sz="4" w:space="0"/>
              <w:left w:val="single" w:color="000000" w:sz="4" w:space="0"/>
              <w:bottom w:val="single" w:color="000000" w:sz="4" w:space="0"/>
              <w:right w:val="nil"/>
            </w:tcBorders>
            <w:shd w:val="clear" w:color="auto" w:fill="auto"/>
            <w:vAlign w:val="center"/>
          </w:tcPr>
          <w:p w14:paraId="6CEB7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林地03</w:t>
            </w:r>
          </w:p>
        </w:tc>
        <w:tc>
          <w:tcPr>
            <w:tcW w:w="896" w:type="pct"/>
            <w:tcBorders>
              <w:top w:val="single" w:color="000000" w:sz="4" w:space="0"/>
              <w:left w:val="single" w:color="000000" w:sz="4" w:space="0"/>
              <w:bottom w:val="single" w:color="000000" w:sz="4" w:space="0"/>
              <w:right w:val="nil"/>
            </w:tcBorders>
            <w:shd w:val="clear" w:color="auto" w:fill="auto"/>
            <w:noWrap/>
            <w:vAlign w:val="center"/>
          </w:tcPr>
          <w:p w14:paraId="53416D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草地04</w:t>
            </w:r>
          </w:p>
        </w:tc>
        <w:tc>
          <w:tcPr>
            <w:tcW w:w="1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F5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r>
      <w:tr w14:paraId="242D8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F30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C1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EB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灌木林地032</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FB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其他草地043</w:t>
            </w:r>
          </w:p>
        </w:tc>
        <w:tc>
          <w:tcPr>
            <w:tcW w:w="1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AF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r>
      <w:tr w14:paraId="20F07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AC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民采坑</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1F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1527</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A5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564</w:t>
            </w:r>
          </w:p>
        </w:tc>
        <w:tc>
          <w:tcPr>
            <w:tcW w:w="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D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 xml:space="preserve">963 </w:t>
            </w:r>
          </w:p>
        </w:tc>
        <w:tc>
          <w:tcPr>
            <w:tcW w:w="1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1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大庙镇孙营子村</w:t>
            </w:r>
          </w:p>
        </w:tc>
      </w:tr>
      <w:tr w14:paraId="0017A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2B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钻机平台</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9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eastAsia" w:cs="Times New Roman"/>
                <w:color w:val="auto"/>
                <w:kern w:val="0"/>
                <w:sz w:val="21"/>
                <w:szCs w:val="21"/>
                <w:lang w:val="en-US" w:eastAsia="zh-CN" w:bidi="ar"/>
              </w:rPr>
              <w:t>已治理</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49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p>
        </w:tc>
        <w:tc>
          <w:tcPr>
            <w:tcW w:w="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64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Cs w:val="21"/>
                <w:lang w:val="en-US"/>
              </w:rPr>
            </w:pPr>
          </w:p>
        </w:tc>
        <w:tc>
          <w:tcPr>
            <w:tcW w:w="1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9B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r>
      <w:tr w14:paraId="1308D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EF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矿区道路</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F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eastAsia" w:cs="Times New Roman"/>
                <w:color w:val="auto"/>
                <w:kern w:val="0"/>
                <w:sz w:val="21"/>
                <w:szCs w:val="21"/>
                <w:lang w:val="en-US" w:eastAsia="zh-CN" w:bidi="ar"/>
              </w:rPr>
              <w:t>已治理</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7A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p>
        </w:tc>
        <w:tc>
          <w:tcPr>
            <w:tcW w:w="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BC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p>
        </w:tc>
        <w:tc>
          <w:tcPr>
            <w:tcW w:w="1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E4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r>
      <w:tr w14:paraId="4113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D9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合计</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CC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0"/>
                <w:sz w:val="21"/>
                <w:szCs w:val="21"/>
                <w:lang w:val="en-US" w:eastAsia="zh-CN" w:bidi="ar"/>
              </w:rPr>
              <w:t>1527</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9D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0"/>
                <w:sz w:val="21"/>
                <w:szCs w:val="21"/>
                <w:lang w:val="en-US" w:eastAsia="zh-CN" w:bidi="ar"/>
              </w:rPr>
              <w:t>564</w:t>
            </w:r>
          </w:p>
        </w:tc>
        <w:tc>
          <w:tcPr>
            <w:tcW w:w="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349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0"/>
                <w:sz w:val="21"/>
                <w:szCs w:val="21"/>
                <w:lang w:val="en-US" w:eastAsia="zh-CN" w:bidi="ar"/>
              </w:rPr>
              <w:t xml:space="preserve">963 </w:t>
            </w:r>
          </w:p>
        </w:tc>
        <w:tc>
          <w:tcPr>
            <w:tcW w:w="1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5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Cs w:val="21"/>
                <w:lang w:val="en-US"/>
              </w:rPr>
            </w:pPr>
          </w:p>
        </w:tc>
      </w:tr>
    </w:tbl>
    <w:p w14:paraId="6E85DD4E">
      <w:pPr>
        <w:pStyle w:val="30"/>
        <w:keepNext w:val="0"/>
        <w:keepLines w:val="0"/>
        <w:pageBreakBefore w:val="0"/>
        <w:widowControl w:val="0"/>
        <w:kinsoku/>
        <w:wordWrap w:val="0"/>
        <w:overflowPunct/>
        <w:topLinePunct w:val="0"/>
        <w:autoSpaceDE/>
        <w:autoSpaceDN/>
        <w:bidi w:val="0"/>
        <w:adjustRightInd/>
        <w:snapToGrid/>
        <w:spacing w:line="240" w:lineRule="exact"/>
        <w:ind w:firstLine="480" w:firstLineChars="200"/>
        <w:textAlignment w:val="auto"/>
        <w:rPr>
          <w:rStyle w:val="31"/>
          <w:rFonts w:hint="default" w:ascii="Times New Roman" w:hAnsi="Times New Roman" w:eastAsia="宋体" w:cs="Times New Roman"/>
          <w:color w:val="auto"/>
          <w:sz w:val="24"/>
          <w:szCs w:val="24"/>
        </w:rPr>
      </w:pPr>
    </w:p>
    <w:p w14:paraId="6A66FC81">
      <w:pPr>
        <w:pStyle w:val="11"/>
        <w:keepNext w:val="0"/>
        <w:keepLines w:val="0"/>
        <w:widowControl w:val="0"/>
        <w:suppressLineNumbers w:val="0"/>
        <w:tabs>
          <w:tab w:val="left" w:pos="6120"/>
        </w:tabs>
        <w:spacing w:before="0" w:beforeAutospacing="0" w:after="0" w:afterAutospacing="0" w:line="360" w:lineRule="auto"/>
        <w:ind w:left="464" w:right="0" w:firstLine="0" w:firstLineChars="0"/>
        <w:jc w:val="both"/>
        <w:rPr>
          <w:rFonts w:hint="default" w:ascii="Times New Roman" w:hAnsi="Times New Roman" w:eastAsia="宋体" w:cs="Times New Roman"/>
          <w:color w:val="auto"/>
          <w:spacing w:val="-4"/>
          <w:kern w:val="2"/>
          <w:sz w:val="24"/>
          <w:szCs w:val="24"/>
          <w:lang w:val="en-US" w:eastAsia="zh-CN" w:bidi="ar"/>
        </w:rPr>
      </w:pPr>
      <w:r>
        <w:rPr>
          <w:rFonts w:hint="default" w:ascii="Times New Roman" w:hAnsi="Times New Roman" w:eastAsia="宋体" w:cs="Times New Roman"/>
          <w:color w:val="auto"/>
          <w:spacing w:val="-4"/>
          <w:kern w:val="2"/>
          <w:sz w:val="24"/>
          <w:szCs w:val="24"/>
          <w:lang w:val="en-US" w:eastAsia="zh-CN" w:bidi="ar"/>
        </w:rPr>
        <w:t>根据《方案》，现状各单元损毁土地程度评价见表</w:t>
      </w:r>
      <w:r>
        <w:rPr>
          <w:rFonts w:hint="eastAsia" w:ascii="Times New Roman" w:hAnsi="Times New Roman" w:eastAsia="宋体" w:cs="Times New Roman"/>
          <w:color w:val="auto"/>
          <w:spacing w:val="-4"/>
          <w:kern w:val="2"/>
          <w:sz w:val="24"/>
          <w:szCs w:val="24"/>
          <w:lang w:val="en-US" w:eastAsia="zh-CN" w:bidi="ar"/>
        </w:rPr>
        <w:t>4-</w:t>
      </w:r>
      <w:r>
        <w:rPr>
          <w:rFonts w:hint="eastAsia" w:cs="Times New Roman"/>
          <w:color w:val="auto"/>
          <w:spacing w:val="-4"/>
          <w:kern w:val="2"/>
          <w:sz w:val="24"/>
          <w:szCs w:val="24"/>
          <w:lang w:val="en-US" w:eastAsia="zh-CN" w:bidi="ar"/>
        </w:rPr>
        <w:t>4</w:t>
      </w:r>
      <w:r>
        <w:rPr>
          <w:rFonts w:hint="default" w:ascii="Times New Roman" w:hAnsi="Times New Roman" w:eastAsia="宋体" w:cs="Times New Roman"/>
          <w:color w:val="auto"/>
          <w:spacing w:val="-4"/>
          <w:kern w:val="2"/>
          <w:sz w:val="24"/>
          <w:szCs w:val="24"/>
          <w:lang w:val="en-US" w:eastAsia="zh-CN" w:bidi="ar"/>
        </w:rPr>
        <w:t>和表</w:t>
      </w:r>
      <w:r>
        <w:rPr>
          <w:rFonts w:hint="eastAsia" w:ascii="Times New Roman" w:hAnsi="Times New Roman" w:eastAsia="宋体" w:cs="Times New Roman"/>
          <w:color w:val="auto"/>
          <w:spacing w:val="-4"/>
          <w:kern w:val="2"/>
          <w:sz w:val="24"/>
          <w:szCs w:val="24"/>
          <w:lang w:val="en-US" w:eastAsia="zh-CN" w:bidi="ar"/>
        </w:rPr>
        <w:t>4-</w:t>
      </w:r>
      <w:r>
        <w:rPr>
          <w:rFonts w:hint="eastAsia" w:cs="Times New Roman"/>
          <w:color w:val="auto"/>
          <w:spacing w:val="-4"/>
          <w:kern w:val="2"/>
          <w:sz w:val="24"/>
          <w:szCs w:val="24"/>
          <w:lang w:val="en-US" w:eastAsia="zh-CN" w:bidi="ar"/>
        </w:rPr>
        <w:t>5</w:t>
      </w:r>
      <w:r>
        <w:rPr>
          <w:rFonts w:hint="default" w:ascii="Times New Roman" w:hAnsi="Times New Roman" w:eastAsia="宋体" w:cs="Times New Roman"/>
          <w:color w:val="auto"/>
          <w:spacing w:val="-4"/>
          <w:kern w:val="2"/>
          <w:sz w:val="24"/>
          <w:szCs w:val="24"/>
          <w:lang w:val="en-US" w:eastAsia="zh-CN" w:bidi="ar"/>
        </w:rPr>
        <w:t>。</w:t>
      </w:r>
    </w:p>
    <w:p w14:paraId="76AB14C8">
      <w:pPr>
        <w:pStyle w:val="11"/>
        <w:keepNext w:val="0"/>
        <w:keepLines w:val="0"/>
        <w:widowControl w:val="0"/>
        <w:suppressLineNumbers w:val="0"/>
        <w:tabs>
          <w:tab w:val="left" w:pos="6120"/>
        </w:tabs>
        <w:spacing w:before="0" w:beforeAutospacing="0" w:after="0" w:afterAutospacing="0" w:line="360" w:lineRule="auto"/>
        <w:ind w:left="464" w:right="0" w:firstLine="0" w:firstLineChars="0"/>
        <w:jc w:val="both"/>
        <w:rPr>
          <w:rFonts w:hint="default" w:ascii="Times New Roman" w:hAnsi="Times New Roman" w:eastAsia="宋体" w:cs="Times New Roman"/>
          <w:color w:val="auto"/>
          <w:spacing w:val="-4"/>
          <w:kern w:val="2"/>
          <w:sz w:val="24"/>
          <w:szCs w:val="24"/>
          <w:lang w:val="en-US" w:eastAsia="zh-CN" w:bidi="ar"/>
        </w:rPr>
      </w:pPr>
    </w:p>
    <w:p w14:paraId="7ABA483F">
      <w:pPr>
        <w:pStyle w:val="11"/>
        <w:keepNext w:val="0"/>
        <w:keepLines w:val="0"/>
        <w:widowControl w:val="0"/>
        <w:suppressLineNumbers w:val="0"/>
        <w:tabs>
          <w:tab w:val="left" w:pos="6120"/>
        </w:tabs>
        <w:spacing w:before="0" w:beforeAutospacing="0" w:after="0" w:afterAutospacing="0" w:line="360" w:lineRule="auto"/>
        <w:ind w:left="464" w:right="0" w:firstLine="0" w:firstLineChars="0"/>
        <w:jc w:val="both"/>
        <w:rPr>
          <w:rFonts w:hint="default" w:ascii="Times New Roman" w:hAnsi="Times New Roman" w:eastAsia="宋体" w:cs="Times New Roman"/>
          <w:color w:val="auto"/>
          <w:spacing w:val="-4"/>
          <w:kern w:val="2"/>
          <w:sz w:val="24"/>
          <w:szCs w:val="24"/>
          <w:lang w:val="en-US" w:eastAsia="zh-CN" w:bidi="ar"/>
        </w:rPr>
      </w:pPr>
    </w:p>
    <w:p w14:paraId="14A8BAFF">
      <w:pPr>
        <w:pStyle w:val="11"/>
        <w:keepNext w:val="0"/>
        <w:keepLines w:val="0"/>
        <w:widowControl w:val="0"/>
        <w:suppressLineNumbers w:val="0"/>
        <w:tabs>
          <w:tab w:val="left" w:pos="6120"/>
        </w:tabs>
        <w:spacing w:before="0" w:beforeAutospacing="0" w:after="0" w:afterAutospacing="0" w:line="360" w:lineRule="auto"/>
        <w:ind w:left="464" w:right="0" w:firstLine="0" w:firstLineChars="0"/>
        <w:jc w:val="both"/>
        <w:rPr>
          <w:rFonts w:hint="default" w:ascii="Times New Roman" w:hAnsi="Times New Roman" w:eastAsia="宋体" w:cs="Times New Roman"/>
          <w:color w:val="auto"/>
          <w:spacing w:val="-4"/>
          <w:kern w:val="2"/>
          <w:sz w:val="24"/>
          <w:szCs w:val="24"/>
          <w:lang w:val="en-US" w:eastAsia="zh-CN" w:bidi="ar"/>
        </w:rPr>
      </w:pPr>
    </w:p>
    <w:p w14:paraId="160F47DB">
      <w:pPr>
        <w:keepNext w:val="0"/>
        <w:keepLines w:val="0"/>
        <w:pageBreakBefore w:val="0"/>
        <w:widowControl w:val="0"/>
        <w:suppressLineNumbers w:val="0"/>
        <w:kinsoku/>
        <w:wordWrap/>
        <w:overflowPunct/>
        <w:topLinePunct w:val="0"/>
        <w:autoSpaceDE/>
        <w:autoSpaceDN/>
        <w:bidi w:val="0"/>
        <w:adjustRightInd w:val="0"/>
        <w:snapToGrid w:val="0"/>
        <w:spacing w:before="120" w:beforeLines="50" w:beforeAutospacing="0" w:after="120" w:afterLines="50" w:afterAutospacing="0"/>
        <w:ind w:left="0" w:right="0" w:firstLine="0" w:firstLineChars="0"/>
        <w:jc w:val="center"/>
        <w:textAlignment w:val="auto"/>
        <w:rPr>
          <w:rFonts w:hint="default" w:ascii="Times New Roman" w:hAnsi="Times New Roman" w:cs="Times New Roman"/>
          <w:b/>
          <w:bCs w:val="0"/>
          <w:color w:val="auto"/>
          <w:sz w:val="24"/>
          <w:szCs w:val="24"/>
          <w:lang w:val="en-US"/>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挖损损毁土地损毁程度评价表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218"/>
        <w:gridCol w:w="1223"/>
        <w:gridCol w:w="1871"/>
        <w:gridCol w:w="1225"/>
        <w:gridCol w:w="579"/>
        <w:gridCol w:w="1223"/>
      </w:tblGrid>
      <w:tr w14:paraId="604A9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tblHeader/>
        </w:trPr>
        <w:tc>
          <w:tcPr>
            <w:tcW w:w="1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01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评价单元</w:t>
            </w:r>
          </w:p>
        </w:tc>
        <w:tc>
          <w:tcPr>
            <w:tcW w:w="7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32E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损毁类型</w:t>
            </w:r>
          </w:p>
        </w:tc>
        <w:tc>
          <w:tcPr>
            <w:tcW w:w="11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728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评价因子</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EB0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损毁程度</w:t>
            </w: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2D8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得分</w:t>
            </w:r>
          </w:p>
        </w:tc>
        <w:tc>
          <w:tcPr>
            <w:tcW w:w="7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3BC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评价结果</w:t>
            </w:r>
          </w:p>
        </w:tc>
      </w:tr>
      <w:tr w14:paraId="1F039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32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39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民采坑</w:t>
            </w:r>
          </w:p>
        </w:tc>
        <w:tc>
          <w:tcPr>
            <w:tcW w:w="73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E8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挖损</w:t>
            </w:r>
          </w:p>
        </w:tc>
        <w:tc>
          <w:tcPr>
            <w:tcW w:w="11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738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挖损面积</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76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＜0.5hm</w:t>
            </w:r>
            <w:r>
              <w:rPr>
                <w:rFonts w:hint="default" w:ascii="Times New Roman" w:hAnsi="Times New Roman" w:eastAsia="宋体" w:cs="Times New Roman"/>
                <w:color w:val="auto"/>
                <w:kern w:val="0"/>
                <w:sz w:val="21"/>
                <w:szCs w:val="21"/>
                <w:vertAlign w:val="superscript"/>
                <w:lang w:val="en-US" w:eastAsia="zh-CN" w:bidi="ar"/>
              </w:rPr>
              <w:t>2</w:t>
            </w: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AB2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1.3</w:t>
            </w:r>
          </w:p>
        </w:tc>
        <w:tc>
          <w:tcPr>
            <w:tcW w:w="73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E8F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中度损毁</w:t>
            </w:r>
          </w:p>
        </w:tc>
      </w:tr>
      <w:tr w14:paraId="0E0E9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3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43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61A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11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9EB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挖损深度</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A3B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0.5-2.0m</w:t>
            </w: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D9F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6A0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r>
      <w:tr w14:paraId="7A86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3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62D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598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11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BB1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挖损土层厚度</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48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＜20cm</w:t>
            </w: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7C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09B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r>
      <w:tr w14:paraId="79201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3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A3C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FE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11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FA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积水情况</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4B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0"/>
                <w:sz w:val="21"/>
                <w:szCs w:val="21"/>
                <w:lang w:val="en-US" w:eastAsia="zh-CN" w:bidi="ar"/>
              </w:rPr>
              <w:t>无积水</w:t>
            </w: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FD5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AE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2"/>
              </w:rPr>
            </w:pPr>
          </w:p>
        </w:tc>
      </w:tr>
    </w:tbl>
    <w:p w14:paraId="76853BE5">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exac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p>
    <w:p w14:paraId="0E11F8CD">
      <w:pPr>
        <w:pStyle w:val="11"/>
        <w:keepNext w:val="0"/>
        <w:keepLines w:val="0"/>
        <w:widowControl w:val="0"/>
        <w:suppressLineNumbers w:val="0"/>
        <w:tabs>
          <w:tab w:val="left" w:pos="612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综上：依据《方案》</w:t>
      </w:r>
      <w:r>
        <w:rPr>
          <w:rFonts w:hint="eastAsia" w:cs="Times New Roman"/>
          <w:color w:val="auto"/>
          <w:kern w:val="2"/>
          <w:sz w:val="24"/>
          <w:szCs w:val="24"/>
          <w:lang w:val="en-US" w:eastAsia="zh-CN" w:bidi="ar"/>
        </w:rPr>
        <w:t>及已完成的矿山地质环境治理工程</w:t>
      </w:r>
      <w:r>
        <w:rPr>
          <w:rFonts w:hint="default" w:ascii="Times New Roman" w:hAnsi="Times New Roman" w:eastAsia="宋体" w:cs="Times New Roman"/>
          <w:color w:val="auto"/>
          <w:kern w:val="2"/>
          <w:sz w:val="24"/>
          <w:szCs w:val="24"/>
          <w:lang w:val="en-US" w:eastAsia="zh-CN" w:bidi="ar"/>
        </w:rPr>
        <w:t>，民采坑对土地损毁程度为中度损毁；</w:t>
      </w:r>
      <w:r>
        <w:rPr>
          <w:rFonts w:hint="eastAsia" w:ascii="Times New Roman" w:hAnsi="Times New Roman" w:cs="Times New Roman"/>
          <w:color w:val="auto"/>
          <w:kern w:val="2"/>
          <w:sz w:val="24"/>
          <w:szCs w:val="24"/>
          <w:lang w:val="en-US" w:eastAsia="zh-CN" w:bidi="ar"/>
        </w:rPr>
        <w:t>矿区</w:t>
      </w:r>
      <w:r>
        <w:rPr>
          <w:rFonts w:hint="default" w:ascii="Times New Roman" w:hAnsi="Times New Roman" w:eastAsia="宋体" w:cs="Times New Roman"/>
          <w:color w:val="auto"/>
          <w:kern w:val="2"/>
          <w:sz w:val="24"/>
          <w:szCs w:val="24"/>
          <w:lang w:val="en-US" w:eastAsia="zh-CN" w:bidi="ar"/>
        </w:rPr>
        <w:t>其他区域对土地损毁程度为轻度损毁（见表4-</w:t>
      </w:r>
      <w:r>
        <w:rPr>
          <w:rFonts w:hint="eastAsia" w:cs="Times New Roman"/>
          <w:color w:val="auto"/>
          <w:kern w:val="2"/>
          <w:sz w:val="24"/>
          <w:szCs w:val="24"/>
          <w:lang w:val="en-US" w:eastAsia="zh-CN" w:bidi="ar"/>
        </w:rPr>
        <w:t>5</w:t>
      </w:r>
      <w:r>
        <w:rPr>
          <w:rFonts w:hint="default" w:ascii="Times New Roman" w:hAnsi="Times New Roman" w:eastAsia="宋体" w:cs="Times New Roman"/>
          <w:color w:val="auto"/>
          <w:kern w:val="2"/>
          <w:sz w:val="24"/>
          <w:szCs w:val="24"/>
          <w:lang w:val="en-US" w:eastAsia="zh-CN" w:bidi="ar"/>
        </w:rPr>
        <w:t>）。</w:t>
      </w:r>
    </w:p>
    <w:p w14:paraId="4215988C">
      <w:pPr>
        <w:keepNext w:val="0"/>
        <w:keepLines w:val="0"/>
        <w:pageBreakBefore w:val="0"/>
        <w:widowControl w:val="0"/>
        <w:suppressLineNumbers w:val="0"/>
        <w:kinsoku/>
        <w:wordWrap/>
        <w:overflowPunct/>
        <w:topLinePunct w:val="0"/>
        <w:autoSpaceDE/>
        <w:autoSpaceDN/>
        <w:bidi w:val="0"/>
        <w:adjustRightInd w:val="0"/>
        <w:snapToGrid w:val="0"/>
        <w:spacing w:before="120" w:beforeLines="50" w:beforeAutospacing="0" w:after="120" w:afterLines="50" w:afterAutospacing="0"/>
        <w:ind w:left="0" w:right="0" w:firstLine="0" w:firstLineChars="0"/>
        <w:jc w:val="center"/>
        <w:textAlignment w:val="auto"/>
        <w:rPr>
          <w:rFonts w:hint="default" w:ascii="Times New Roman" w:hAnsi="Times New Roman" w:eastAsia="宋体" w:cs="Times New Roman"/>
          <w:b/>
          <w:bCs w:val="0"/>
          <w:color w:val="auto"/>
          <w:kern w:val="2"/>
          <w:sz w:val="24"/>
          <w:szCs w:val="24"/>
          <w:lang w:val="en-US" w:eastAsia="zh-CN" w:bidi="ar"/>
        </w:rPr>
      </w:pPr>
      <w:r>
        <w:rPr>
          <w:rFonts w:hint="default" w:ascii="Times New Roman" w:hAnsi="Times New Roman" w:eastAsia="宋体" w:cs="Times New Roman"/>
          <w:b/>
          <w:bCs/>
          <w:color w:val="auto"/>
          <w:kern w:val="2"/>
          <w:sz w:val="21"/>
          <w:szCs w:val="21"/>
          <w:lang w:val="en-US" w:eastAsia="zh-CN" w:bidi="ar-SA"/>
        </w:rPr>
        <w:t>表 4-</w:t>
      </w:r>
      <w:r>
        <w:rPr>
          <w:rFonts w:hint="eastAsia"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矿山地质环境问题说明表</w:t>
      </w:r>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032"/>
        <w:gridCol w:w="1080"/>
        <w:gridCol w:w="885"/>
        <w:gridCol w:w="3300"/>
        <w:gridCol w:w="1485"/>
      </w:tblGrid>
      <w:tr w14:paraId="5A87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4" w:type="dxa"/>
            <w:vMerge w:val="restart"/>
            <w:vAlign w:val="center"/>
          </w:tcPr>
          <w:p w14:paraId="3A33B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名称</w:t>
            </w:r>
          </w:p>
        </w:tc>
        <w:tc>
          <w:tcPr>
            <w:tcW w:w="1032" w:type="dxa"/>
            <w:vMerge w:val="restart"/>
            <w:vAlign w:val="center"/>
          </w:tcPr>
          <w:p w14:paraId="39B87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面积</w:t>
            </w:r>
          </w:p>
          <w:p w14:paraId="3A173E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2</w:t>
            </w:r>
            <w:r>
              <w:rPr>
                <w:rFonts w:hint="default" w:ascii="Times New Roman" w:hAnsi="Times New Roman" w:eastAsia="宋体" w:cs="Times New Roman"/>
                <w:i w:val="0"/>
                <w:color w:val="auto"/>
                <w:kern w:val="0"/>
                <w:sz w:val="21"/>
                <w:szCs w:val="21"/>
                <w:u w:val="none"/>
                <w:lang w:val="en-US" w:eastAsia="zh-CN" w:bidi="ar"/>
              </w:rPr>
              <w:t>）</w:t>
            </w:r>
          </w:p>
        </w:tc>
        <w:tc>
          <w:tcPr>
            <w:tcW w:w="6750" w:type="dxa"/>
            <w:gridSpan w:val="4"/>
            <w:vAlign w:val="center"/>
          </w:tcPr>
          <w:p w14:paraId="1AB0EF99">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矿山地质环境问题</w:t>
            </w:r>
          </w:p>
        </w:tc>
      </w:tr>
      <w:tr w14:paraId="66F2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4" w:type="dxa"/>
            <w:vMerge w:val="continue"/>
            <w:vAlign w:val="center"/>
          </w:tcPr>
          <w:p w14:paraId="310C6338">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sz w:val="21"/>
                <w:szCs w:val="21"/>
                <w:vertAlign w:val="baseline"/>
                <w:lang w:val="en-US" w:eastAsia="zh-CN"/>
              </w:rPr>
            </w:pPr>
          </w:p>
        </w:tc>
        <w:tc>
          <w:tcPr>
            <w:tcW w:w="1032" w:type="dxa"/>
            <w:vMerge w:val="continue"/>
            <w:vAlign w:val="center"/>
          </w:tcPr>
          <w:p w14:paraId="4B478107">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sz w:val="21"/>
                <w:szCs w:val="21"/>
                <w:vertAlign w:val="baseline"/>
                <w:lang w:val="en-US" w:eastAsia="zh-CN"/>
              </w:rPr>
            </w:pPr>
          </w:p>
        </w:tc>
        <w:tc>
          <w:tcPr>
            <w:tcW w:w="1080" w:type="dxa"/>
            <w:vAlign w:val="center"/>
          </w:tcPr>
          <w:p w14:paraId="5BF4BB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地质灾害</w:t>
            </w:r>
          </w:p>
        </w:tc>
        <w:tc>
          <w:tcPr>
            <w:tcW w:w="885" w:type="dxa"/>
            <w:vAlign w:val="center"/>
          </w:tcPr>
          <w:p w14:paraId="3A222E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含水层</w:t>
            </w:r>
          </w:p>
        </w:tc>
        <w:tc>
          <w:tcPr>
            <w:tcW w:w="3300" w:type="dxa"/>
            <w:vAlign w:val="center"/>
          </w:tcPr>
          <w:p w14:paraId="1247D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地形地貌景观</w:t>
            </w:r>
          </w:p>
        </w:tc>
        <w:tc>
          <w:tcPr>
            <w:tcW w:w="1485" w:type="dxa"/>
            <w:vAlign w:val="center"/>
          </w:tcPr>
          <w:p w14:paraId="4F2CD6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土地资源</w:t>
            </w:r>
          </w:p>
        </w:tc>
      </w:tr>
      <w:tr w14:paraId="76B3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34" w:type="dxa"/>
            <w:vAlign w:val="center"/>
          </w:tcPr>
          <w:p w14:paraId="6E629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民采坑</w:t>
            </w:r>
          </w:p>
        </w:tc>
        <w:tc>
          <w:tcPr>
            <w:tcW w:w="1032" w:type="dxa"/>
            <w:vAlign w:val="center"/>
          </w:tcPr>
          <w:p w14:paraId="52E0EE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1527</w:t>
            </w:r>
          </w:p>
        </w:tc>
        <w:tc>
          <w:tcPr>
            <w:tcW w:w="1080" w:type="dxa"/>
            <w:vAlign w:val="center"/>
          </w:tcPr>
          <w:p w14:paraId="5EF73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不发育</w:t>
            </w:r>
          </w:p>
        </w:tc>
        <w:tc>
          <w:tcPr>
            <w:tcW w:w="885" w:type="dxa"/>
            <w:vAlign w:val="center"/>
          </w:tcPr>
          <w:p w14:paraId="0B9D2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无影响</w:t>
            </w:r>
          </w:p>
        </w:tc>
        <w:tc>
          <w:tcPr>
            <w:tcW w:w="3300" w:type="dxa"/>
            <w:vAlign w:val="center"/>
          </w:tcPr>
          <w:p w14:paraId="294BB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形状不规则，深度0.8-2.5m；废土石就近堆放，废土石高度0.5-1.0m</w:t>
            </w:r>
          </w:p>
        </w:tc>
        <w:tc>
          <w:tcPr>
            <w:tcW w:w="1485" w:type="dxa"/>
            <w:vAlign w:val="center"/>
          </w:tcPr>
          <w:p w14:paraId="478437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损毁灌木林地与其它草地</w:t>
            </w:r>
          </w:p>
        </w:tc>
      </w:tr>
      <w:tr w14:paraId="16F2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4" w:type="dxa"/>
            <w:vAlign w:val="center"/>
          </w:tcPr>
          <w:p w14:paraId="2990E0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其它</w:t>
            </w:r>
          </w:p>
          <w:p w14:paraId="6544FB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区域</w:t>
            </w:r>
          </w:p>
        </w:tc>
        <w:tc>
          <w:tcPr>
            <w:tcW w:w="1032" w:type="dxa"/>
            <w:vAlign w:val="center"/>
          </w:tcPr>
          <w:p w14:paraId="1840B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3938875</w:t>
            </w:r>
          </w:p>
        </w:tc>
        <w:tc>
          <w:tcPr>
            <w:tcW w:w="1080" w:type="dxa"/>
            <w:vAlign w:val="center"/>
          </w:tcPr>
          <w:p w14:paraId="607627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不发育</w:t>
            </w:r>
          </w:p>
        </w:tc>
        <w:tc>
          <w:tcPr>
            <w:tcW w:w="885" w:type="dxa"/>
            <w:vAlign w:val="center"/>
          </w:tcPr>
          <w:p w14:paraId="15039B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无影响</w:t>
            </w:r>
          </w:p>
        </w:tc>
        <w:tc>
          <w:tcPr>
            <w:tcW w:w="3300" w:type="dxa"/>
            <w:vAlign w:val="center"/>
          </w:tcPr>
          <w:p w14:paraId="69E8A0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矿业活动极少，该区其它地方基本保持了原生的地形地貌状态。</w:t>
            </w:r>
          </w:p>
        </w:tc>
        <w:tc>
          <w:tcPr>
            <w:tcW w:w="1485" w:type="dxa"/>
            <w:vAlign w:val="center"/>
          </w:tcPr>
          <w:p w14:paraId="074B0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无影响</w:t>
            </w:r>
          </w:p>
        </w:tc>
      </w:tr>
      <w:tr w14:paraId="3960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4" w:type="dxa"/>
            <w:vAlign w:val="center"/>
          </w:tcPr>
          <w:p w14:paraId="0AAF2B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合计</w:t>
            </w:r>
          </w:p>
        </w:tc>
        <w:tc>
          <w:tcPr>
            <w:tcW w:w="1032" w:type="dxa"/>
            <w:vAlign w:val="center"/>
          </w:tcPr>
          <w:p w14:paraId="21EFE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bidi="ar"/>
              </w:rPr>
              <w:t>3948550</w:t>
            </w:r>
          </w:p>
        </w:tc>
        <w:tc>
          <w:tcPr>
            <w:tcW w:w="1080" w:type="dxa"/>
            <w:vAlign w:val="center"/>
          </w:tcPr>
          <w:p w14:paraId="15433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c>
          <w:tcPr>
            <w:tcW w:w="885" w:type="dxa"/>
            <w:vAlign w:val="center"/>
          </w:tcPr>
          <w:p w14:paraId="727C8E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c>
          <w:tcPr>
            <w:tcW w:w="3300" w:type="dxa"/>
            <w:vAlign w:val="center"/>
          </w:tcPr>
          <w:p w14:paraId="2C486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c>
          <w:tcPr>
            <w:tcW w:w="1485" w:type="dxa"/>
            <w:vAlign w:val="center"/>
          </w:tcPr>
          <w:p w14:paraId="190077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r>
    </w:tbl>
    <w:p w14:paraId="0E909572">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exact"/>
        <w:ind w:left="0" w:right="0" w:firstLine="480" w:firstLineChars="200"/>
        <w:jc w:val="both"/>
        <w:textAlignment w:val="auto"/>
        <w:rPr>
          <w:rFonts w:hint="default" w:ascii="Times New Roman" w:hAnsi="Times New Roman" w:cs="Times New Roman"/>
          <w:color w:val="auto"/>
          <w:lang w:val="en-US" w:eastAsia="zh-CN"/>
        </w:rPr>
      </w:pPr>
    </w:p>
    <w:p w14:paraId="567CD695">
      <w:pPr>
        <w:numPr>
          <w:ilvl w:val="0"/>
          <w:numId w:val="0"/>
        </w:numPr>
        <w:spacing w:line="360" w:lineRule="auto"/>
        <w:ind w:leftChars="0"/>
        <w:jc w:val="both"/>
        <w:outlineLvl w:val="1"/>
        <w:rPr>
          <w:rFonts w:hint="default" w:ascii="Times New Roman" w:hAnsi="Times New Roman" w:eastAsia="宋体" w:cs="Times New Roman"/>
          <w:b/>
          <w:bCs/>
          <w:color w:val="auto"/>
          <w:sz w:val="28"/>
          <w:szCs w:val="28"/>
          <w:lang w:val="en-US" w:eastAsia="zh-CN"/>
        </w:rPr>
      </w:pPr>
      <w:bookmarkStart w:id="52" w:name="_Toc23751"/>
      <w:bookmarkStart w:id="53" w:name="_Toc28798"/>
      <w:bookmarkStart w:id="54" w:name="_Toc18616"/>
      <w:bookmarkStart w:id="55" w:name="_Toc4463"/>
      <w:bookmarkStart w:id="56" w:name="_Toc605"/>
      <w:r>
        <w:rPr>
          <w:rFonts w:hint="default" w:ascii="Times New Roman" w:hAnsi="Times New Roman" w:eastAsia="宋体" w:cs="Times New Roman"/>
          <w:b/>
          <w:bCs/>
          <w:color w:val="auto"/>
          <w:sz w:val="28"/>
          <w:szCs w:val="28"/>
          <w:lang w:val="en-US" w:eastAsia="zh-CN"/>
        </w:rPr>
        <w:t>（二）矿山地质环境问题预测</w:t>
      </w:r>
      <w:bookmarkEnd w:id="52"/>
      <w:bookmarkEnd w:id="53"/>
      <w:bookmarkEnd w:id="54"/>
      <w:bookmarkEnd w:id="55"/>
      <w:bookmarkEnd w:id="56"/>
    </w:p>
    <w:p w14:paraId="7B73B78D">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根据矿山开采计划，本年度</w:t>
      </w:r>
      <w:r>
        <w:rPr>
          <w:rFonts w:hint="default" w:ascii="Times New Roman" w:hAnsi="Times New Roman" w:eastAsia="宋体" w:cs="Times New Roman"/>
          <w:color w:val="auto"/>
          <w:sz w:val="24"/>
          <w:szCs w:val="24"/>
          <w:lang w:val="en-US" w:eastAsia="zh-CN"/>
        </w:rPr>
        <w:t>无开采与基建计划。</w:t>
      </w:r>
      <w:r>
        <w:rPr>
          <w:rFonts w:hint="default" w:ascii="Times New Roman" w:hAnsi="Times New Roman" w:eastAsia="宋体" w:cs="Times New Roman"/>
          <w:color w:val="auto"/>
          <w:sz w:val="24"/>
          <w:szCs w:val="24"/>
          <w:lang w:eastAsia="zh-CN"/>
        </w:rPr>
        <w:t>预测</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eastAsia="zh-CN"/>
        </w:rPr>
        <w:t>年度矿山地质环境问题基本与现状</w:t>
      </w:r>
      <w:r>
        <w:rPr>
          <w:rFonts w:hint="eastAsia" w:ascii="Times New Roman" w:hAnsi="Times New Roman" w:cs="Times New Roman"/>
          <w:color w:val="auto"/>
          <w:sz w:val="24"/>
          <w:szCs w:val="24"/>
          <w:lang w:val="en-US" w:eastAsia="zh-CN"/>
        </w:rPr>
        <w:t>保持</w:t>
      </w:r>
      <w:r>
        <w:rPr>
          <w:rFonts w:hint="default" w:ascii="Times New Roman" w:hAnsi="Times New Roman" w:eastAsia="宋体" w:cs="Times New Roman"/>
          <w:color w:val="auto"/>
          <w:sz w:val="24"/>
          <w:szCs w:val="24"/>
          <w:lang w:eastAsia="zh-CN"/>
        </w:rPr>
        <w:t>一致（</w:t>
      </w:r>
      <w:r>
        <w:rPr>
          <w:rFonts w:hint="default" w:ascii="Times New Roman" w:hAnsi="Times New Roman" w:eastAsia="宋体" w:cs="Times New Roman"/>
          <w:color w:val="auto"/>
          <w:sz w:val="24"/>
          <w:szCs w:val="24"/>
          <w:lang w:val="en-US" w:eastAsia="zh-CN"/>
        </w:rPr>
        <w:t>见表4-</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p>
    <w:p w14:paraId="12E2186C">
      <w:pPr>
        <w:keepNext w:val="0"/>
        <w:keepLines w:val="0"/>
        <w:pageBreakBefore w:val="0"/>
        <w:widowControl w:val="0"/>
        <w:suppressLineNumbers w:val="0"/>
        <w:kinsoku/>
        <w:wordWrap/>
        <w:overflowPunct/>
        <w:topLinePunct w:val="0"/>
        <w:autoSpaceDE/>
        <w:autoSpaceDN/>
        <w:bidi w:val="0"/>
        <w:adjustRightInd w:val="0"/>
        <w:snapToGrid w:val="0"/>
        <w:spacing w:before="120" w:beforeLines="50" w:beforeAutospacing="0" w:after="120" w:afterLines="50" w:afterAutospacing="0"/>
        <w:ind w:left="0" w:right="0" w:firstLine="0" w:firstLineChars="0"/>
        <w:jc w:val="center"/>
        <w:textAlignment w:val="auto"/>
        <w:rPr>
          <w:rFonts w:hint="default" w:ascii="Times New Roman" w:hAnsi="Times New Roman" w:eastAsia="宋体" w:cs="Times New Roman"/>
          <w:b/>
          <w:bCs w:val="0"/>
          <w:color w:val="auto"/>
          <w:kern w:val="2"/>
          <w:sz w:val="24"/>
          <w:szCs w:val="24"/>
          <w:lang w:val="en-US" w:eastAsia="zh-CN" w:bidi="ar"/>
        </w:rPr>
      </w:pPr>
      <w:bookmarkStart w:id="57" w:name="_Toc11419"/>
      <w:r>
        <w:rPr>
          <w:rFonts w:hint="default" w:ascii="Times New Roman" w:hAnsi="Times New Roman" w:eastAsia="宋体" w:cs="Times New Roman"/>
          <w:b/>
          <w:bCs/>
          <w:color w:val="auto"/>
          <w:kern w:val="2"/>
          <w:sz w:val="21"/>
          <w:szCs w:val="21"/>
          <w:lang w:val="en-US" w:eastAsia="zh-CN" w:bidi="ar-SA"/>
        </w:rPr>
        <w:t>表 4-</w:t>
      </w:r>
      <w:r>
        <w:rPr>
          <w:rFonts w:hint="eastAsia"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矿山地质环境问题</w:t>
      </w:r>
      <w:r>
        <w:rPr>
          <w:rFonts w:hint="eastAsia" w:cs="Times New Roman"/>
          <w:b/>
          <w:bCs/>
          <w:color w:val="auto"/>
          <w:kern w:val="2"/>
          <w:sz w:val="21"/>
          <w:szCs w:val="21"/>
          <w:lang w:val="en-US" w:eastAsia="zh-CN" w:bidi="ar-SA"/>
        </w:rPr>
        <w:t>预测</w:t>
      </w:r>
      <w:r>
        <w:rPr>
          <w:rFonts w:hint="default" w:ascii="Times New Roman" w:hAnsi="Times New Roman" w:eastAsia="宋体" w:cs="Times New Roman"/>
          <w:b/>
          <w:bCs/>
          <w:color w:val="auto"/>
          <w:kern w:val="2"/>
          <w:sz w:val="21"/>
          <w:szCs w:val="21"/>
          <w:lang w:val="en-US" w:eastAsia="zh-CN" w:bidi="ar-SA"/>
        </w:rPr>
        <w:t>说明表</w:t>
      </w:r>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032"/>
        <w:gridCol w:w="1080"/>
        <w:gridCol w:w="885"/>
        <w:gridCol w:w="3300"/>
        <w:gridCol w:w="1485"/>
      </w:tblGrid>
      <w:tr w14:paraId="11E9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4" w:type="dxa"/>
            <w:vMerge w:val="restart"/>
            <w:vAlign w:val="center"/>
          </w:tcPr>
          <w:p w14:paraId="4655E9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名称</w:t>
            </w:r>
          </w:p>
        </w:tc>
        <w:tc>
          <w:tcPr>
            <w:tcW w:w="1032" w:type="dxa"/>
            <w:vMerge w:val="restart"/>
            <w:vAlign w:val="center"/>
          </w:tcPr>
          <w:p w14:paraId="75DA38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面积</w:t>
            </w:r>
          </w:p>
          <w:p w14:paraId="55B346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2</w:t>
            </w:r>
            <w:r>
              <w:rPr>
                <w:rFonts w:hint="default" w:ascii="Times New Roman" w:hAnsi="Times New Roman" w:eastAsia="宋体" w:cs="Times New Roman"/>
                <w:i w:val="0"/>
                <w:color w:val="auto"/>
                <w:kern w:val="0"/>
                <w:sz w:val="21"/>
                <w:szCs w:val="21"/>
                <w:u w:val="none"/>
                <w:lang w:val="en-US" w:eastAsia="zh-CN" w:bidi="ar"/>
              </w:rPr>
              <w:t>）</w:t>
            </w:r>
          </w:p>
        </w:tc>
        <w:tc>
          <w:tcPr>
            <w:tcW w:w="6750" w:type="dxa"/>
            <w:gridSpan w:val="4"/>
            <w:vAlign w:val="center"/>
          </w:tcPr>
          <w:p w14:paraId="47B92D10">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矿山地质环境问题</w:t>
            </w:r>
          </w:p>
        </w:tc>
      </w:tr>
      <w:tr w14:paraId="1A79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4" w:type="dxa"/>
            <w:vMerge w:val="continue"/>
            <w:vAlign w:val="center"/>
          </w:tcPr>
          <w:p w14:paraId="2D105BD2">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sz w:val="21"/>
                <w:szCs w:val="21"/>
                <w:vertAlign w:val="baseline"/>
                <w:lang w:val="en-US" w:eastAsia="zh-CN"/>
              </w:rPr>
            </w:pPr>
          </w:p>
        </w:tc>
        <w:tc>
          <w:tcPr>
            <w:tcW w:w="1032" w:type="dxa"/>
            <w:vMerge w:val="continue"/>
            <w:vAlign w:val="center"/>
          </w:tcPr>
          <w:p w14:paraId="6E4033FF">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sz w:val="21"/>
                <w:szCs w:val="21"/>
                <w:vertAlign w:val="baseline"/>
                <w:lang w:val="en-US" w:eastAsia="zh-CN"/>
              </w:rPr>
            </w:pPr>
          </w:p>
        </w:tc>
        <w:tc>
          <w:tcPr>
            <w:tcW w:w="1080" w:type="dxa"/>
            <w:vAlign w:val="center"/>
          </w:tcPr>
          <w:p w14:paraId="25FF2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地质灾害</w:t>
            </w:r>
          </w:p>
        </w:tc>
        <w:tc>
          <w:tcPr>
            <w:tcW w:w="885" w:type="dxa"/>
            <w:vAlign w:val="center"/>
          </w:tcPr>
          <w:p w14:paraId="131912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含水层</w:t>
            </w:r>
          </w:p>
        </w:tc>
        <w:tc>
          <w:tcPr>
            <w:tcW w:w="3300" w:type="dxa"/>
            <w:vAlign w:val="center"/>
          </w:tcPr>
          <w:p w14:paraId="40A64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地形地貌景观</w:t>
            </w:r>
          </w:p>
        </w:tc>
        <w:tc>
          <w:tcPr>
            <w:tcW w:w="1485" w:type="dxa"/>
            <w:vAlign w:val="center"/>
          </w:tcPr>
          <w:p w14:paraId="725FC7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土地资源</w:t>
            </w:r>
          </w:p>
        </w:tc>
      </w:tr>
      <w:tr w14:paraId="079C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34" w:type="dxa"/>
            <w:vAlign w:val="center"/>
          </w:tcPr>
          <w:p w14:paraId="683162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民采坑</w:t>
            </w:r>
          </w:p>
        </w:tc>
        <w:tc>
          <w:tcPr>
            <w:tcW w:w="1032" w:type="dxa"/>
            <w:vAlign w:val="center"/>
          </w:tcPr>
          <w:p w14:paraId="14FE28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1527</w:t>
            </w:r>
          </w:p>
        </w:tc>
        <w:tc>
          <w:tcPr>
            <w:tcW w:w="1080" w:type="dxa"/>
            <w:vAlign w:val="center"/>
          </w:tcPr>
          <w:p w14:paraId="7121DF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不发育</w:t>
            </w:r>
          </w:p>
        </w:tc>
        <w:tc>
          <w:tcPr>
            <w:tcW w:w="885" w:type="dxa"/>
            <w:vAlign w:val="center"/>
          </w:tcPr>
          <w:p w14:paraId="621E1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无影响</w:t>
            </w:r>
          </w:p>
        </w:tc>
        <w:tc>
          <w:tcPr>
            <w:tcW w:w="3300" w:type="dxa"/>
            <w:vAlign w:val="center"/>
          </w:tcPr>
          <w:p w14:paraId="398530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形状不规则，深度0.8-2.5m；废土石就近堆放，废土石高度0.5-1.0m</w:t>
            </w:r>
          </w:p>
        </w:tc>
        <w:tc>
          <w:tcPr>
            <w:tcW w:w="1485" w:type="dxa"/>
            <w:vAlign w:val="center"/>
          </w:tcPr>
          <w:p w14:paraId="15CB1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损毁灌木林地与其它草地</w:t>
            </w:r>
          </w:p>
        </w:tc>
      </w:tr>
      <w:tr w14:paraId="5DBB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4" w:type="dxa"/>
            <w:vAlign w:val="center"/>
          </w:tcPr>
          <w:p w14:paraId="2070B3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其它</w:t>
            </w:r>
          </w:p>
          <w:p w14:paraId="233150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区域</w:t>
            </w:r>
          </w:p>
        </w:tc>
        <w:tc>
          <w:tcPr>
            <w:tcW w:w="1032" w:type="dxa"/>
            <w:vAlign w:val="center"/>
          </w:tcPr>
          <w:p w14:paraId="5EECF2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3938875</w:t>
            </w:r>
          </w:p>
        </w:tc>
        <w:tc>
          <w:tcPr>
            <w:tcW w:w="1080" w:type="dxa"/>
            <w:vAlign w:val="center"/>
          </w:tcPr>
          <w:p w14:paraId="3F3C16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不发育</w:t>
            </w:r>
          </w:p>
        </w:tc>
        <w:tc>
          <w:tcPr>
            <w:tcW w:w="885" w:type="dxa"/>
            <w:vAlign w:val="center"/>
          </w:tcPr>
          <w:p w14:paraId="66AC2D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无影响</w:t>
            </w:r>
          </w:p>
        </w:tc>
        <w:tc>
          <w:tcPr>
            <w:tcW w:w="3300" w:type="dxa"/>
            <w:vAlign w:val="center"/>
          </w:tcPr>
          <w:p w14:paraId="3E313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矿业活动极少，该区其它地方基本保持了原生的地形地貌状态。</w:t>
            </w:r>
          </w:p>
        </w:tc>
        <w:tc>
          <w:tcPr>
            <w:tcW w:w="1485" w:type="dxa"/>
            <w:vAlign w:val="center"/>
          </w:tcPr>
          <w:p w14:paraId="22F8F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无影响</w:t>
            </w:r>
          </w:p>
        </w:tc>
      </w:tr>
      <w:tr w14:paraId="5AD9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4" w:type="dxa"/>
            <w:vAlign w:val="center"/>
          </w:tcPr>
          <w:p w14:paraId="792F8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合计</w:t>
            </w:r>
          </w:p>
        </w:tc>
        <w:tc>
          <w:tcPr>
            <w:tcW w:w="1032" w:type="dxa"/>
            <w:vAlign w:val="center"/>
          </w:tcPr>
          <w:p w14:paraId="2B1300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bidi="ar"/>
              </w:rPr>
              <w:t>3948550</w:t>
            </w:r>
          </w:p>
        </w:tc>
        <w:tc>
          <w:tcPr>
            <w:tcW w:w="1080" w:type="dxa"/>
            <w:vAlign w:val="center"/>
          </w:tcPr>
          <w:p w14:paraId="0473A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c>
          <w:tcPr>
            <w:tcW w:w="885" w:type="dxa"/>
            <w:vAlign w:val="center"/>
          </w:tcPr>
          <w:p w14:paraId="274DEA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c>
          <w:tcPr>
            <w:tcW w:w="3300" w:type="dxa"/>
            <w:vAlign w:val="center"/>
          </w:tcPr>
          <w:p w14:paraId="7B309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c>
          <w:tcPr>
            <w:tcW w:w="1485" w:type="dxa"/>
            <w:vAlign w:val="center"/>
          </w:tcPr>
          <w:p w14:paraId="733013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u w:val="none"/>
                <w:lang w:val="en-US" w:eastAsia="zh-CN"/>
              </w:rPr>
              <w:t>/</w:t>
            </w:r>
          </w:p>
        </w:tc>
      </w:tr>
    </w:tbl>
    <w:p w14:paraId="33E26347">
      <w:pPr>
        <w:pStyle w:val="11"/>
        <w:keepNext w:val="0"/>
        <w:keepLines w:val="0"/>
        <w:pageBreakBefore w:val="0"/>
        <w:widowControl w:val="0"/>
        <w:suppressLineNumbers w:val="0"/>
        <w:tabs>
          <w:tab w:val="left" w:pos="6120"/>
        </w:tabs>
        <w:kinsoku/>
        <w:wordWrap/>
        <w:overflowPunct/>
        <w:topLinePunct w:val="0"/>
        <w:autoSpaceDE/>
        <w:autoSpaceDN/>
        <w:bidi w:val="0"/>
        <w:adjustRightInd w:val="0"/>
        <w:snapToGrid w:val="0"/>
        <w:spacing w:before="0" w:beforeAutospacing="0" w:after="0" w:afterAutospacing="0" w:line="240" w:lineRule="exact"/>
        <w:ind w:left="0" w:right="0" w:firstLine="480" w:firstLineChars="200"/>
        <w:jc w:val="both"/>
        <w:textAlignment w:val="auto"/>
        <w:rPr>
          <w:rFonts w:hint="default" w:ascii="Times New Roman" w:hAnsi="Times New Roman" w:cs="Times New Roman"/>
          <w:color w:val="auto"/>
          <w:lang w:val="en-US" w:eastAsia="zh-CN"/>
        </w:rPr>
      </w:pPr>
    </w:p>
    <w:p w14:paraId="79F6593A">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eastAsia="宋体" w:cs="Times New Roman"/>
          <w:color w:val="auto"/>
          <w:sz w:val="24"/>
          <w:szCs w:val="24"/>
          <w:lang w:eastAsia="zh-CN"/>
        </w:rPr>
      </w:pPr>
    </w:p>
    <w:p w14:paraId="50D35C7B">
      <w:pPr>
        <w:keepNext w:val="0"/>
        <w:keepLines w:val="0"/>
        <w:pageBreakBefore w:val="0"/>
        <w:widowControl/>
        <w:kinsoku/>
        <w:wordWrap/>
        <w:overflowPunct/>
        <w:topLinePunct w:val="0"/>
        <w:autoSpaceDE/>
        <w:autoSpaceDN/>
        <w:bidi w:val="0"/>
        <w:adjustRightInd w:val="0"/>
        <w:snapToGrid w:val="0"/>
        <w:spacing w:after="157" w:afterLines="50" w:line="360" w:lineRule="auto"/>
        <w:ind w:firstLine="0" w:firstLineChars="0"/>
        <w:jc w:val="center"/>
        <w:textAlignment w:val="auto"/>
        <w:outlineLvl w:val="0"/>
        <w:rPr>
          <w:rFonts w:hint="default" w:ascii="Times New Roman" w:hAnsi="Times New Roman" w:eastAsia="宋体" w:cs="Times New Roman"/>
          <w:b/>
          <w:bCs/>
          <w:color w:val="auto"/>
          <w:sz w:val="32"/>
          <w:szCs w:val="32"/>
          <w:lang w:val="en-US" w:eastAsia="zh-CN"/>
        </w:rPr>
      </w:pPr>
      <w:bookmarkStart w:id="58" w:name="_Toc32675"/>
      <w:bookmarkStart w:id="59" w:name="_Toc6007"/>
      <w:bookmarkStart w:id="60" w:name="_Toc30122"/>
      <w:bookmarkStart w:id="61" w:name="_Toc16887"/>
      <w:r>
        <w:rPr>
          <w:rFonts w:hint="default" w:ascii="Times New Roman" w:hAnsi="Times New Roman" w:eastAsia="宋体" w:cs="Times New Roman"/>
          <w:b/>
          <w:bCs/>
          <w:color w:val="auto"/>
          <w:sz w:val="32"/>
          <w:szCs w:val="32"/>
          <w:lang w:val="en-US" w:eastAsia="zh-CN"/>
        </w:rPr>
        <w:t>五、矿山地质环境防治工程</w:t>
      </w:r>
      <w:bookmarkEnd w:id="57"/>
      <w:bookmarkEnd w:id="58"/>
      <w:bookmarkEnd w:id="59"/>
      <w:bookmarkEnd w:id="60"/>
      <w:bookmarkEnd w:id="61"/>
    </w:p>
    <w:p w14:paraId="3029D0C4">
      <w:pPr>
        <w:numPr>
          <w:ilvl w:val="0"/>
          <w:numId w:val="0"/>
        </w:numPr>
        <w:spacing w:line="360" w:lineRule="auto"/>
        <w:ind w:leftChars="0"/>
        <w:jc w:val="both"/>
        <w:outlineLvl w:val="1"/>
        <w:rPr>
          <w:rFonts w:hint="default" w:ascii="Times New Roman" w:hAnsi="Times New Roman" w:eastAsia="宋体" w:cs="Times New Roman"/>
          <w:b/>
          <w:bCs/>
          <w:color w:val="auto"/>
          <w:sz w:val="28"/>
          <w:szCs w:val="28"/>
          <w:lang w:val="en-US" w:eastAsia="zh-CN"/>
        </w:rPr>
      </w:pPr>
      <w:bookmarkStart w:id="62" w:name="_Toc27096"/>
      <w:bookmarkStart w:id="63" w:name="_Toc30779"/>
      <w:bookmarkStart w:id="64" w:name="_Toc25591"/>
      <w:bookmarkStart w:id="65" w:name="_Toc7619"/>
      <w:bookmarkStart w:id="66" w:name="_Toc27262"/>
      <w:r>
        <w:rPr>
          <w:rFonts w:hint="default" w:ascii="Times New Roman" w:hAnsi="Times New Roman" w:eastAsia="宋体" w:cs="Times New Roman"/>
          <w:b/>
          <w:bCs/>
          <w:color w:val="auto"/>
          <w:sz w:val="28"/>
          <w:szCs w:val="28"/>
          <w:lang w:val="en-US" w:eastAsia="zh-CN"/>
        </w:rPr>
        <w:t>（一）矿山地质环境治理区的确定</w:t>
      </w:r>
      <w:bookmarkEnd w:id="62"/>
      <w:bookmarkEnd w:id="63"/>
      <w:bookmarkEnd w:id="64"/>
      <w:bookmarkEnd w:id="65"/>
      <w:bookmarkEnd w:id="66"/>
    </w:p>
    <w:p w14:paraId="25EB184C">
      <w:pPr>
        <w:spacing w:after="0" w:line="360" w:lineRule="auto"/>
        <w:ind w:firstLine="480" w:firstLineChars="200"/>
        <w:contextualSpacing/>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矿山地质环境保护与恢复治理方案编制规范》（DZ/T0223-2011），治理区域范围包括已存在矿山地质环境问题的区域及本期开采区与矿业活动的影响区域。根据《土地复垦方案编制规程》，土地复垦责任范围为复垦区中已损毁和拟损毁的土地及土地复垦方案涉及的生产年限结束后不再留续使用的永久性建设用地共同构成的区域。</w:t>
      </w:r>
    </w:p>
    <w:p w14:paraId="260AFD0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治理区的确定（1）原则上对应《方案》规划的年度治理工程内容（《方案》规划的</w:t>
      </w:r>
      <w:r>
        <w:rPr>
          <w:rFonts w:hint="eastAsia" w:cs="Times New Roman"/>
          <w:color w:val="auto"/>
          <w:kern w:val="2"/>
          <w:sz w:val="24"/>
          <w:szCs w:val="24"/>
          <w:lang w:val="en-US" w:eastAsia="zh-CN" w:bidi="ar"/>
        </w:rPr>
        <w:t>2024</w:t>
      </w:r>
      <w:r>
        <w:rPr>
          <w:rFonts w:hint="default" w:ascii="Times New Roman" w:hAnsi="Times New Roman" w:eastAsia="宋体" w:cs="Times New Roman"/>
          <w:color w:val="auto"/>
          <w:kern w:val="2"/>
          <w:sz w:val="24"/>
          <w:szCs w:val="24"/>
          <w:lang w:val="en-US" w:eastAsia="zh-CN" w:bidi="ar"/>
        </w:rPr>
        <w:t>年及其以前未完成的治理工程内容应该在本年度设计治理）；（2）结合矿山地质环境现状，按照</w:t>
      </w:r>
      <w:r>
        <w:rPr>
          <w:rFonts w:hint="default" w:ascii="Times New Roman" w:hAnsi="Times New Roman" w:eastAsia="宋体" w:cs="Times New Roman"/>
          <w:color w:val="auto"/>
          <w:sz w:val="24"/>
          <w:szCs w:val="24"/>
          <w:lang w:val="en-US" w:eastAsia="zh-CN"/>
        </w:rPr>
        <w:t>“边开采，边治理”、“预防为主，防治结合”、“在保护中开发，在开发中保护”、“谁损毁，谁复垦”、“</w:t>
      </w:r>
      <w:r>
        <w:rPr>
          <w:rFonts w:hint="default" w:ascii="Times New Roman" w:hAnsi="Times New Roman" w:eastAsia="宋体" w:cs="Times New Roman"/>
          <w:color w:val="auto"/>
          <w:kern w:val="2"/>
          <w:sz w:val="24"/>
          <w:szCs w:val="24"/>
          <w:lang w:val="en-US" w:eastAsia="zh-CN" w:bidi="ar"/>
        </w:rPr>
        <w:t>应治可治全部治理</w:t>
      </w:r>
      <w:r>
        <w:rPr>
          <w:rFonts w:hint="default" w:ascii="Times New Roman" w:hAnsi="Times New Roman" w:eastAsia="宋体" w:cs="Times New Roman"/>
          <w:color w:val="auto"/>
          <w:sz w:val="24"/>
          <w:szCs w:val="24"/>
          <w:lang w:val="en-US" w:eastAsia="zh-CN"/>
        </w:rPr>
        <w:t>”的原则，确定矿山地质环境</w:t>
      </w:r>
      <w:r>
        <w:rPr>
          <w:rFonts w:hint="default" w:ascii="Times New Roman" w:hAnsi="Times New Roman" w:eastAsia="宋体" w:cs="Times New Roman"/>
          <w:color w:val="auto"/>
          <w:kern w:val="2"/>
          <w:sz w:val="24"/>
          <w:szCs w:val="24"/>
          <w:lang w:val="en-US" w:eastAsia="zh-CN" w:bidi="ar"/>
        </w:rPr>
        <w:t>年度治理单元。</w:t>
      </w:r>
    </w:p>
    <w:p w14:paraId="7E24C82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《方案》规划的</w:t>
      </w:r>
      <w:r>
        <w:rPr>
          <w:rFonts w:hint="eastAsia" w:cs="Times New Roman"/>
          <w:color w:val="auto"/>
          <w:kern w:val="2"/>
          <w:sz w:val="24"/>
          <w:szCs w:val="24"/>
          <w:lang w:val="en-US" w:eastAsia="zh-CN" w:bidi="ar"/>
        </w:rPr>
        <w:t>2024</w:t>
      </w:r>
      <w:r>
        <w:rPr>
          <w:rFonts w:hint="default" w:ascii="Times New Roman" w:hAnsi="Times New Roman" w:eastAsia="宋体" w:cs="Times New Roman"/>
          <w:color w:val="auto"/>
          <w:kern w:val="2"/>
          <w:sz w:val="24"/>
          <w:szCs w:val="24"/>
          <w:lang w:val="en-US" w:eastAsia="zh-CN" w:bidi="ar"/>
        </w:rPr>
        <w:t>年治理工程单元与工程包括：</w:t>
      </w:r>
    </w:p>
    <w:p w14:paraId="2117024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1、对拟建露天采场剥离表土；</w:t>
      </w:r>
    </w:p>
    <w:p w14:paraId="6A4AC41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2、对拟建工业场地剥离表土，对场地建设完成后形成的切坡和堆坡进行整形；</w:t>
      </w:r>
    </w:p>
    <w:p w14:paraId="7CBBE7A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3、对拟建废石场剥离表土；</w:t>
      </w:r>
    </w:p>
    <w:p w14:paraId="10E34B6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4、拟建表土场集中堆放、种草过渡治理。</w:t>
      </w:r>
    </w:p>
    <w:p w14:paraId="3FC8F1C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《方案》规划的2024年治理工程单元与工程包括：</w:t>
      </w:r>
    </w:p>
    <w:p w14:paraId="4AB90B1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1、对拟建露天采场设置网围栏、警示牌；</w:t>
      </w:r>
    </w:p>
    <w:p w14:paraId="28EC461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2、对钻机平台利用周边废土石进行回填，对场地进行整平、覆土、种植灌木。</w:t>
      </w:r>
    </w:p>
    <w:p w14:paraId="74CDA3E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sz w:val="24"/>
          <w:szCs w:val="24"/>
          <w:lang w:val="en-US" w:eastAsia="zh-CN"/>
        </w:rPr>
        <w:t>根据赤峰矿业（集团）有限责任公司对赤峰市松山区徐家窝铺冰洲石矿的工作安排，由于前期地质勘查工作程度低，导致现状已有的开发利用方案难以实施，赤峰矿业（集团）有限责任公司拟重新投入地质详查工作以准确查明资源量并计划增加开采矿种（玄武岩）相关工作完成后将重新编制开发利用方案（届时</w:t>
      </w:r>
      <w:r>
        <w:rPr>
          <w:rFonts w:hint="default" w:ascii="Times New Roman" w:hAnsi="Times New Roman" w:eastAsia="宋体" w:cs="Times New Roman"/>
          <w:color w:val="auto"/>
          <w:kern w:val="2"/>
          <w:sz w:val="24"/>
          <w:szCs w:val="24"/>
          <w:lang w:val="en-US" w:eastAsia="zh-CN" w:bidi="ar"/>
        </w:rPr>
        <w:t>拟建露天采场、拟建工业场地、拟建废石场等建设单元将依据资源勘查结果与增加开采矿种的进展重新进行规划</w:t>
      </w:r>
      <w:r>
        <w:rPr>
          <w:rFonts w:hint="default" w:ascii="Times New Roman" w:hAnsi="Times New Roman" w:eastAsia="宋体" w:cs="Times New Roman"/>
          <w:color w:val="auto"/>
          <w:sz w:val="24"/>
          <w:szCs w:val="24"/>
          <w:lang w:val="en-US" w:eastAsia="zh-CN"/>
        </w:rPr>
        <w:t>）。因此，现状赤峰矿业（集团）有限责任公司没有相关的矿山基建建设或生产计划，</w:t>
      </w:r>
      <w:r>
        <w:rPr>
          <w:rFonts w:hint="default" w:ascii="Times New Roman" w:hAnsi="Times New Roman" w:eastAsia="宋体" w:cs="Times New Roman"/>
          <w:color w:val="auto"/>
          <w:kern w:val="2"/>
          <w:sz w:val="24"/>
          <w:szCs w:val="24"/>
          <w:lang w:val="en-US" w:eastAsia="zh-CN" w:bidi="ar"/>
        </w:rPr>
        <w:t>《方案》规划的2023年拟建露天采场、拟建工业场地、拟建废石场、拟建表土场的治理工程没有实施的意义。</w:t>
      </w:r>
    </w:p>
    <w:p w14:paraId="29B6725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依据《方案》规划的202</w:t>
      </w:r>
      <w:r>
        <w:rPr>
          <w:rFonts w:hint="eastAsia" w:cs="Times New Roman"/>
          <w:color w:val="auto"/>
          <w:kern w:val="2"/>
          <w:sz w:val="24"/>
          <w:szCs w:val="24"/>
          <w:lang w:val="en-US" w:eastAsia="zh-CN" w:bidi="ar"/>
        </w:rPr>
        <w:t>5</w:t>
      </w:r>
      <w:r>
        <w:rPr>
          <w:rFonts w:hint="default" w:ascii="Times New Roman" w:hAnsi="Times New Roman" w:eastAsia="宋体" w:cs="Times New Roman"/>
          <w:color w:val="auto"/>
          <w:kern w:val="2"/>
          <w:sz w:val="24"/>
          <w:szCs w:val="24"/>
          <w:lang w:val="en-US" w:eastAsia="zh-CN" w:bidi="ar"/>
        </w:rPr>
        <w:t>年治理工程单元与工程，结合矿山地质环境现状，按照</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2"/>
          <w:sz w:val="24"/>
          <w:szCs w:val="24"/>
          <w:lang w:val="en-US" w:eastAsia="zh-CN" w:bidi="ar"/>
        </w:rPr>
        <w:t>应治可治全部治理</w:t>
      </w:r>
      <w:r>
        <w:rPr>
          <w:rFonts w:hint="default" w:ascii="Times New Roman" w:hAnsi="Times New Roman" w:eastAsia="宋体" w:cs="Times New Roman"/>
          <w:color w:val="auto"/>
          <w:sz w:val="24"/>
          <w:szCs w:val="24"/>
          <w:lang w:val="en-US" w:eastAsia="zh-CN"/>
        </w:rPr>
        <w:t>”的原则，确定赤峰市松山区徐家窝铺冰洲石矿</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年度</w:t>
      </w:r>
      <w:r>
        <w:rPr>
          <w:rFonts w:hint="eastAsia" w:cs="Times New Roman"/>
          <w:color w:val="auto"/>
          <w:sz w:val="24"/>
          <w:szCs w:val="24"/>
          <w:lang w:val="en-US" w:eastAsia="zh-CN"/>
        </w:rPr>
        <w:t>不设计新的</w:t>
      </w:r>
      <w:r>
        <w:rPr>
          <w:rFonts w:hint="default" w:ascii="Times New Roman" w:hAnsi="Times New Roman" w:eastAsia="宋体" w:cs="Times New Roman"/>
          <w:color w:val="auto"/>
          <w:sz w:val="24"/>
          <w:szCs w:val="24"/>
          <w:lang w:val="en-US" w:eastAsia="zh-CN"/>
        </w:rPr>
        <w:t>矿山地质环境</w:t>
      </w:r>
      <w:r>
        <w:rPr>
          <w:rFonts w:hint="default" w:ascii="Times New Roman" w:hAnsi="Times New Roman" w:eastAsia="宋体" w:cs="Times New Roman"/>
          <w:color w:val="auto"/>
          <w:kern w:val="2"/>
          <w:sz w:val="24"/>
          <w:szCs w:val="24"/>
          <w:lang w:val="en-US" w:eastAsia="zh-CN" w:bidi="ar"/>
        </w:rPr>
        <w:t>治理单元</w:t>
      </w:r>
      <w:r>
        <w:rPr>
          <w:rFonts w:hint="eastAsia" w:cs="Times New Roman"/>
          <w:color w:val="auto"/>
          <w:kern w:val="2"/>
          <w:sz w:val="24"/>
          <w:szCs w:val="24"/>
          <w:lang w:val="en-US" w:eastAsia="zh-CN" w:bidi="ar"/>
        </w:rPr>
        <w:t>，但前期治理区钻机平台因播种季节、</w:t>
      </w:r>
      <w:r>
        <w:rPr>
          <w:rFonts w:hint="eastAsia" w:cs="Times New Roman"/>
          <w:b w:val="0"/>
          <w:bCs w:val="0"/>
          <w:color w:val="auto"/>
          <w:sz w:val="24"/>
          <w:szCs w:val="24"/>
          <w:lang w:val="en-US" w:eastAsia="zh-CN"/>
        </w:rPr>
        <w:t>气候干旱等</w:t>
      </w:r>
      <w:r>
        <w:rPr>
          <w:rFonts w:hint="eastAsia" w:cs="Times New Roman"/>
          <w:color w:val="auto"/>
          <w:kern w:val="2"/>
          <w:sz w:val="24"/>
          <w:szCs w:val="24"/>
          <w:lang w:val="en-US" w:eastAsia="zh-CN" w:bidi="ar"/>
        </w:rPr>
        <w:t>原因，导致植被成活率较低，需要对已完成的治理单元（</w:t>
      </w:r>
      <w:r>
        <w:rPr>
          <w:rFonts w:hint="default" w:ascii="Times New Roman" w:hAnsi="Times New Roman" w:eastAsia="宋体" w:cs="Times New Roman"/>
          <w:color w:val="auto"/>
          <w:kern w:val="2"/>
          <w:sz w:val="24"/>
          <w:szCs w:val="24"/>
          <w:lang w:val="en-US" w:eastAsia="zh-CN" w:bidi="ar"/>
        </w:rPr>
        <w:t>钻机平台</w:t>
      </w:r>
      <w:r>
        <w:rPr>
          <w:rFonts w:hint="eastAsia" w:cs="Times New Roman"/>
          <w:color w:val="auto"/>
          <w:kern w:val="2"/>
          <w:sz w:val="24"/>
          <w:szCs w:val="24"/>
          <w:lang w:val="en-US" w:eastAsia="zh-CN" w:bidi="ar"/>
        </w:rPr>
        <w:t>）进行补种补植、管护</w:t>
      </w:r>
      <w:r>
        <w:rPr>
          <w:rFonts w:hint="default" w:ascii="Times New Roman" w:hAnsi="Times New Roman" w:eastAsia="宋体" w:cs="Times New Roman"/>
          <w:color w:val="auto"/>
          <w:kern w:val="2"/>
          <w:sz w:val="24"/>
          <w:szCs w:val="24"/>
          <w:lang w:val="en-US" w:eastAsia="zh-CN" w:bidi="ar"/>
        </w:rPr>
        <w:t>。</w:t>
      </w:r>
    </w:p>
    <w:p w14:paraId="3E7791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需要指出的是，矿区存在的民采坑也属于应治可治单元，但民采坑的剖面对于下一步的地质勘查工作尚有意义（可以代替探坑、探槽使用），《方案》也将民采坑的治理时间规划到2027年。因此，民采坑不列入</w:t>
      </w:r>
      <w:r>
        <w:rPr>
          <w:rFonts w:hint="default" w:ascii="Times New Roman" w:hAnsi="Times New Roman" w:eastAsia="宋体" w:cs="Times New Roman"/>
          <w:color w:val="auto"/>
          <w:sz w:val="24"/>
          <w:szCs w:val="24"/>
          <w:lang w:val="en-US" w:eastAsia="zh-CN"/>
        </w:rPr>
        <w:t>赤峰市松山区徐家窝铺冰洲石矿</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年度矿山地质环境</w:t>
      </w:r>
      <w:r>
        <w:rPr>
          <w:rFonts w:hint="default" w:ascii="Times New Roman" w:hAnsi="Times New Roman" w:eastAsia="宋体" w:cs="Times New Roman"/>
          <w:color w:val="auto"/>
          <w:kern w:val="2"/>
          <w:sz w:val="24"/>
          <w:szCs w:val="24"/>
          <w:lang w:val="en-US" w:eastAsia="zh-CN" w:bidi="ar"/>
        </w:rPr>
        <w:t>治理单元。</w:t>
      </w:r>
    </w:p>
    <w:p w14:paraId="54A25531">
      <w:pPr>
        <w:spacing w:after="0" w:line="360" w:lineRule="auto"/>
        <w:ind w:firstLine="480" w:firstLineChars="200"/>
        <w:contextualSpacing/>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综上所述，</w:t>
      </w:r>
      <w:r>
        <w:rPr>
          <w:rFonts w:hint="default" w:ascii="Times New Roman" w:hAnsi="Times New Roman" w:eastAsia="宋体" w:cs="Times New Roman"/>
          <w:color w:val="auto"/>
          <w:sz w:val="24"/>
          <w:szCs w:val="24"/>
          <w:lang w:val="en-US" w:eastAsia="zh-CN"/>
        </w:rPr>
        <w:t>赤峰市松山区徐家窝铺冰洲石矿</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年度矿山地质环境</w:t>
      </w:r>
      <w:r>
        <w:rPr>
          <w:rFonts w:hint="default" w:ascii="Times New Roman" w:hAnsi="Times New Roman" w:eastAsia="宋体" w:cs="Times New Roman"/>
          <w:color w:val="auto"/>
          <w:kern w:val="2"/>
          <w:sz w:val="24"/>
          <w:szCs w:val="24"/>
          <w:lang w:val="en-US" w:eastAsia="zh-CN" w:bidi="ar"/>
        </w:rPr>
        <w:t>治理单元</w:t>
      </w:r>
      <w:r>
        <w:rPr>
          <w:rFonts w:hint="eastAsia" w:cs="Times New Roman"/>
          <w:color w:val="auto"/>
          <w:sz w:val="24"/>
          <w:szCs w:val="24"/>
          <w:lang w:val="en-US" w:eastAsia="zh-CN"/>
        </w:rPr>
        <w:t>工程内容为前期治理单元</w:t>
      </w:r>
      <w:r>
        <w:rPr>
          <w:rFonts w:hint="eastAsia"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钻机平台</w:t>
      </w:r>
      <w:r>
        <w:rPr>
          <w:rFonts w:hint="eastAsia" w:cs="Times New Roman"/>
          <w:color w:val="auto"/>
          <w:kern w:val="2"/>
          <w:sz w:val="24"/>
          <w:szCs w:val="24"/>
          <w:lang w:val="en-US" w:eastAsia="zh-CN" w:bidi="ar"/>
        </w:rPr>
        <w:t>）进行补种补植、管护</w:t>
      </w:r>
      <w:r>
        <w:rPr>
          <w:rFonts w:hint="default" w:ascii="Times New Roman" w:hAnsi="Times New Roman" w:eastAsia="宋体" w:cs="Times New Roman"/>
          <w:color w:val="auto"/>
          <w:sz w:val="24"/>
          <w:szCs w:val="24"/>
          <w:lang w:eastAsia="zh-CN"/>
        </w:rPr>
        <w:t>。</w:t>
      </w:r>
    </w:p>
    <w:p w14:paraId="51C21A3F">
      <w:pPr>
        <w:numPr>
          <w:ilvl w:val="0"/>
          <w:numId w:val="0"/>
        </w:numPr>
        <w:spacing w:line="360" w:lineRule="auto"/>
        <w:ind w:leftChars="0"/>
        <w:jc w:val="both"/>
        <w:outlineLvl w:val="1"/>
        <w:rPr>
          <w:rFonts w:hint="default" w:ascii="Times New Roman" w:hAnsi="Times New Roman" w:eastAsia="宋体" w:cs="Times New Roman"/>
          <w:b/>
          <w:bCs/>
          <w:color w:val="auto"/>
          <w:sz w:val="28"/>
          <w:szCs w:val="28"/>
          <w:lang w:val="en-US" w:eastAsia="zh-CN"/>
        </w:rPr>
      </w:pPr>
      <w:bookmarkStart w:id="67" w:name="_Toc8009"/>
      <w:bookmarkStart w:id="68" w:name="_Toc32179"/>
      <w:bookmarkStart w:id="69" w:name="_Toc30937"/>
      <w:bookmarkStart w:id="70" w:name="_Toc13812"/>
      <w:r>
        <w:rPr>
          <w:rFonts w:hint="default" w:ascii="Times New Roman" w:hAnsi="Times New Roman" w:eastAsia="宋体" w:cs="Times New Roman"/>
          <w:b/>
          <w:bCs/>
          <w:color w:val="auto"/>
          <w:sz w:val="28"/>
          <w:szCs w:val="28"/>
          <w:lang w:val="en-US" w:eastAsia="zh-CN"/>
        </w:rPr>
        <w:t>（二）矿山地质环境治理工程</w:t>
      </w:r>
      <w:bookmarkEnd w:id="67"/>
      <w:bookmarkEnd w:id="68"/>
      <w:bookmarkEnd w:id="69"/>
      <w:bookmarkEnd w:id="70"/>
    </w:p>
    <w:p w14:paraId="6F7692F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2025</w:t>
      </w:r>
      <w:r>
        <w:rPr>
          <w:rFonts w:hint="default" w:ascii="Times New Roman" w:hAnsi="Times New Roman" w:eastAsia="宋体" w:cs="Times New Roman"/>
          <w:b w:val="0"/>
          <w:bCs w:val="0"/>
          <w:color w:val="auto"/>
          <w:sz w:val="24"/>
          <w:szCs w:val="24"/>
          <w:lang w:val="en-US" w:eastAsia="zh-CN"/>
        </w:rPr>
        <w:t>年度矿山地质环境治理工程对象为</w:t>
      </w:r>
      <w:r>
        <w:rPr>
          <w:rFonts w:hint="default" w:ascii="Times New Roman" w:hAnsi="Times New Roman" w:eastAsia="宋体" w:cs="Times New Roman"/>
          <w:color w:val="auto"/>
          <w:sz w:val="24"/>
          <w:szCs w:val="24"/>
          <w:lang w:val="en-US" w:eastAsia="zh-CN"/>
        </w:rPr>
        <w:t>钻机平台</w:t>
      </w:r>
      <w:r>
        <w:rPr>
          <w:rFonts w:hint="default" w:ascii="Times New Roman" w:hAnsi="Times New Roman" w:eastAsia="宋体" w:cs="Times New Roman"/>
          <w:b w:val="0"/>
          <w:bCs w:val="0"/>
          <w:color w:val="auto"/>
          <w:sz w:val="24"/>
          <w:szCs w:val="24"/>
          <w:lang w:val="en-US" w:eastAsia="zh-CN"/>
        </w:rPr>
        <w:t>。治理工程内容为对PT1与PT2两处钻机平台</w:t>
      </w:r>
      <w:r>
        <w:rPr>
          <w:rFonts w:hint="eastAsia" w:cs="Times New Roman"/>
          <w:b w:val="0"/>
          <w:bCs w:val="0"/>
          <w:color w:val="auto"/>
          <w:sz w:val="24"/>
          <w:szCs w:val="24"/>
          <w:lang w:val="en-US" w:eastAsia="zh-CN"/>
        </w:rPr>
        <w:t>的进行补种补植、管护</w:t>
      </w:r>
      <w:r>
        <w:rPr>
          <w:rFonts w:hint="default" w:ascii="Times New Roman" w:hAnsi="Times New Roman" w:eastAsia="宋体" w:cs="Times New Roman"/>
          <w:b w:val="0"/>
          <w:bCs w:val="0"/>
          <w:color w:val="auto"/>
          <w:sz w:val="24"/>
          <w:szCs w:val="24"/>
          <w:lang w:val="en-US" w:eastAsia="zh-CN"/>
        </w:rPr>
        <w:t>。</w:t>
      </w:r>
    </w:p>
    <w:p w14:paraId="43D8F2E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jc w:val="both"/>
        <w:textAlignment w:val="auto"/>
        <w:rPr>
          <w:rFonts w:hint="default"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由于气候干旱等原因导致两处治理单元的植被覆盖度低于设计要求，</w:t>
      </w:r>
      <w:r>
        <w:rPr>
          <w:rFonts w:hint="eastAsia"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防止新的开挖、堆弃等人类活动的破坏与牛羊的啃食损毁</w:t>
      </w:r>
      <w:r>
        <w:rPr>
          <w:rFonts w:hint="eastAsia" w:ascii="Times New Roman" w:hAnsi="Times New Roman" w:eastAsia="宋体" w:cs="Times New Roman"/>
          <w:b w:val="0"/>
          <w:bCs w:val="0"/>
          <w:color w:val="auto"/>
          <w:sz w:val="24"/>
          <w:szCs w:val="24"/>
          <w:lang w:val="en-US" w:eastAsia="zh-CN"/>
        </w:rPr>
        <w:t>，本年度</w:t>
      </w:r>
      <w:r>
        <w:rPr>
          <w:rFonts w:hint="default" w:ascii="Times New Roman" w:hAnsi="Times New Roman" w:eastAsia="宋体" w:cs="Times New Roman"/>
          <w:b w:val="0"/>
          <w:bCs w:val="0"/>
          <w:color w:val="auto"/>
          <w:sz w:val="24"/>
          <w:szCs w:val="24"/>
          <w:lang w:val="en-US" w:eastAsia="zh-CN"/>
        </w:rPr>
        <w:t>矿山地质环境治理</w:t>
      </w:r>
      <w:r>
        <w:rPr>
          <w:rFonts w:hint="default" w:ascii="Times New Roman" w:hAnsi="Times New Roman" w:eastAsia="宋体" w:cs="Times New Roman"/>
          <w:color w:val="auto"/>
          <w:kern w:val="2"/>
          <w:sz w:val="24"/>
          <w:szCs w:val="24"/>
          <w:lang w:val="en-US" w:eastAsia="zh-CN" w:bidi="ar"/>
        </w:rPr>
        <w:t>工程的重点是对已完成植被恢复的</w:t>
      </w:r>
      <w:r>
        <w:rPr>
          <w:rFonts w:hint="default" w:ascii="Times New Roman" w:hAnsi="Times New Roman" w:eastAsia="宋体" w:cs="Times New Roman"/>
          <w:b w:val="0"/>
          <w:bCs w:val="0"/>
          <w:color w:val="auto"/>
          <w:sz w:val="24"/>
          <w:szCs w:val="24"/>
          <w:lang w:val="en-US" w:eastAsia="zh-CN"/>
        </w:rPr>
        <w:t>PT1与PT2两处钻机平台的植被进行补种补植、管护</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以保证植被恢复的整体效果</w:t>
      </w:r>
      <w:r>
        <w:rPr>
          <w:rFonts w:hint="eastAsia" w:cs="Times New Roman"/>
          <w:b w:val="0"/>
          <w:bCs w:val="0"/>
          <w:color w:val="auto"/>
          <w:sz w:val="24"/>
          <w:szCs w:val="24"/>
          <w:lang w:val="en-US" w:eastAsia="zh-CN"/>
        </w:rPr>
        <w:t>。设计对</w:t>
      </w:r>
      <w:r>
        <w:rPr>
          <w:rFonts w:hint="default" w:ascii="Times New Roman" w:hAnsi="Times New Roman" w:eastAsia="宋体" w:cs="Times New Roman"/>
          <w:b w:val="0"/>
          <w:bCs w:val="0"/>
          <w:color w:val="auto"/>
          <w:sz w:val="24"/>
          <w:szCs w:val="24"/>
          <w:lang w:val="en-US" w:eastAsia="zh-CN"/>
        </w:rPr>
        <w:t>PT1与PT2两处钻机平台种植灌木</w:t>
      </w:r>
      <w:r>
        <w:rPr>
          <w:rFonts w:hint="eastAsia" w:cs="Times New Roman"/>
          <w:b w:val="0"/>
          <w:bCs w:val="0"/>
          <w:color w:val="auto"/>
          <w:sz w:val="24"/>
          <w:szCs w:val="24"/>
          <w:lang w:val="en-US" w:eastAsia="zh-CN"/>
        </w:rPr>
        <w:t>面积</w:t>
      </w:r>
      <w:r>
        <w:rPr>
          <w:rFonts w:hint="default" w:ascii="Times New Roman" w:hAnsi="Times New Roman" w:eastAsia="宋体" w:cs="Times New Roman"/>
          <w:color w:val="auto"/>
          <w:spacing w:val="-4"/>
          <w:sz w:val="24"/>
          <w:szCs w:val="24"/>
          <w:lang w:val="en-US" w:eastAsia="zh-CN"/>
        </w:rPr>
        <w:t>100</w:t>
      </w:r>
      <w:r>
        <w:rPr>
          <w:rFonts w:hint="default" w:ascii="Times New Roman" w:hAnsi="Times New Roman" w:cs="Times New Roman"/>
          <w:color w:val="auto"/>
          <w:sz w:val="24"/>
          <w:szCs w:val="24"/>
          <w:lang w:val="en-US"/>
        </w:rPr>
        <w:t>m</w:t>
      </w:r>
      <w:r>
        <w:rPr>
          <w:rFonts w:hint="default" w:ascii="Times New Roman" w:hAnsi="Times New Roman" w:cs="Times New Roman"/>
          <w:color w:val="auto"/>
          <w:sz w:val="24"/>
          <w:szCs w:val="24"/>
          <w:vertAlign w:val="superscript"/>
          <w:lang w:val="en-US"/>
        </w:rPr>
        <w:t>2</w:t>
      </w:r>
      <w:r>
        <w:rPr>
          <w:rFonts w:hint="eastAsia" w:cs="Times New Roman"/>
          <w:color w:val="auto"/>
          <w:sz w:val="24"/>
          <w:szCs w:val="24"/>
          <w:lang w:eastAsia="zh-CN"/>
        </w:rPr>
        <w:t>，</w:t>
      </w:r>
      <w:r>
        <w:rPr>
          <w:rFonts w:hint="eastAsia" w:cs="Times New Roman"/>
          <w:color w:val="auto"/>
          <w:sz w:val="24"/>
          <w:szCs w:val="24"/>
          <w:lang w:val="en-US" w:eastAsia="zh-CN"/>
        </w:rPr>
        <w:t>由于治理工程面积较小，植被成活率较低，本年度将按治理面积的100％进行补种补植。</w:t>
      </w:r>
    </w:p>
    <w:p w14:paraId="629F3A66">
      <w:pPr>
        <w:keepNext w:val="0"/>
        <w:keepLines w:val="0"/>
        <w:pageBreakBefore w:val="0"/>
        <w:widowControl/>
        <w:numPr>
          <w:ilvl w:val="0"/>
          <w:numId w:val="0"/>
        </w:numPr>
        <w:kinsoku/>
        <w:wordWrap/>
        <w:overflowPunct/>
        <w:topLinePunct w:val="0"/>
        <w:autoSpaceDE/>
        <w:autoSpaceDN/>
        <w:bidi w:val="0"/>
        <w:adjustRightInd w:val="0"/>
        <w:snapToGrid w:val="0"/>
        <w:spacing w:before="313" w:beforeLines="100" w:line="360" w:lineRule="auto"/>
        <w:jc w:val="both"/>
        <w:textAlignment w:val="auto"/>
        <w:outlineLvl w:val="1"/>
        <w:rPr>
          <w:rFonts w:hint="default" w:ascii="Times New Roman" w:hAnsi="Times New Roman" w:eastAsia="宋体" w:cs="Times New Roman"/>
          <w:b/>
          <w:bCs/>
          <w:color w:val="auto"/>
          <w:sz w:val="32"/>
          <w:szCs w:val="32"/>
          <w:lang w:val="en-US" w:eastAsia="zh-CN"/>
        </w:rPr>
      </w:pPr>
      <w:bookmarkStart w:id="71" w:name="_Toc16292"/>
      <w:bookmarkStart w:id="72" w:name="_Toc23661"/>
      <w:bookmarkStart w:id="73" w:name="_Toc10321"/>
      <w:bookmarkStart w:id="74" w:name="_Toc30328"/>
      <w:bookmarkStart w:id="75" w:name="_Toc18394"/>
      <w:r>
        <w:rPr>
          <w:rFonts w:hint="default" w:ascii="Times New Roman" w:hAnsi="Times New Roman" w:eastAsia="宋体" w:cs="Times New Roman"/>
          <w:b/>
          <w:bCs/>
          <w:color w:val="auto"/>
          <w:sz w:val="28"/>
          <w:szCs w:val="28"/>
          <w:lang w:val="en-US" w:eastAsia="zh-CN"/>
        </w:rPr>
        <w:t>（三）矿山地质环境监测工程</w:t>
      </w:r>
      <w:bookmarkEnd w:id="71"/>
      <w:bookmarkEnd w:id="72"/>
      <w:bookmarkEnd w:id="73"/>
      <w:bookmarkEnd w:id="74"/>
      <w:bookmarkEnd w:id="75"/>
    </w:p>
    <w:p w14:paraId="7D5407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
        </w:rPr>
        <w:t>《方案》规划的</w:t>
      </w:r>
      <w:r>
        <w:rPr>
          <w:rFonts w:hint="eastAsia" w:cs="Times New Roman"/>
          <w:color w:val="auto"/>
          <w:kern w:val="2"/>
          <w:sz w:val="24"/>
          <w:szCs w:val="24"/>
          <w:lang w:val="en-US" w:eastAsia="zh-CN" w:bidi="ar"/>
        </w:rPr>
        <w:t>2025</w:t>
      </w:r>
      <w:r>
        <w:rPr>
          <w:rFonts w:hint="default" w:ascii="Times New Roman" w:hAnsi="Times New Roman" w:eastAsia="宋体" w:cs="Times New Roman"/>
          <w:color w:val="auto"/>
          <w:kern w:val="2"/>
          <w:sz w:val="24"/>
          <w:szCs w:val="24"/>
          <w:lang w:val="en-US" w:eastAsia="zh-CN" w:bidi="ar"/>
        </w:rPr>
        <w:t>年</w:t>
      </w:r>
      <w:r>
        <w:rPr>
          <w:rFonts w:hint="default" w:ascii="Times New Roman" w:hAnsi="Times New Roman" w:eastAsia="宋体" w:cs="Times New Roman"/>
          <w:color w:val="auto"/>
          <w:sz w:val="24"/>
          <w:szCs w:val="24"/>
          <w:lang w:val="en-US" w:eastAsia="zh-CN"/>
        </w:rPr>
        <w:t>矿山地质环境监测工程包括</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val="en-US" w:eastAsia="zh-CN"/>
        </w:rPr>
        <w:t>拟建</w:t>
      </w:r>
      <w:r>
        <w:rPr>
          <w:rFonts w:hint="default" w:ascii="Times New Roman" w:hAnsi="Times New Roman" w:eastAsia="宋体" w:cs="Times New Roman"/>
          <w:color w:val="auto"/>
          <w:sz w:val="24"/>
          <w:szCs w:val="24"/>
        </w:rPr>
        <w:t>露天采场边坡进行稳定性地质灾害监测，以及对矿区土地资源及地形地貌景观进行监测工程</w:t>
      </w:r>
      <w:r>
        <w:rPr>
          <w:rFonts w:hint="default" w:ascii="Times New Roman" w:hAnsi="Times New Roman" w:eastAsia="宋体" w:cs="Times New Roman"/>
          <w:color w:val="auto"/>
          <w:sz w:val="24"/>
          <w:szCs w:val="24"/>
          <w:lang w:val="en-US" w:eastAsia="zh-CN"/>
        </w:rPr>
        <w:t>两项</w:t>
      </w:r>
      <w:r>
        <w:rPr>
          <w:rFonts w:hint="default" w:ascii="Times New Roman" w:hAnsi="Times New Roman" w:eastAsia="宋体" w:cs="Times New Roman"/>
          <w:color w:val="auto"/>
          <w:sz w:val="24"/>
          <w:szCs w:val="24"/>
        </w:rPr>
        <w:t>。</w:t>
      </w:r>
    </w:p>
    <w:p w14:paraId="7DC795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由于现状赤峰矿业（集团）有限责任公司本年度没有相关的矿山基建建设或生产计划，拟建</w:t>
      </w:r>
      <w:r>
        <w:rPr>
          <w:rFonts w:hint="default" w:ascii="Times New Roman" w:hAnsi="Times New Roman" w:eastAsia="宋体" w:cs="Times New Roman"/>
          <w:color w:val="auto"/>
          <w:sz w:val="24"/>
          <w:szCs w:val="24"/>
        </w:rPr>
        <w:t>露天采场</w:t>
      </w:r>
      <w:r>
        <w:rPr>
          <w:rFonts w:hint="default" w:ascii="Times New Roman" w:hAnsi="Times New Roman" w:eastAsia="宋体" w:cs="Times New Roman"/>
          <w:color w:val="auto"/>
          <w:sz w:val="24"/>
          <w:szCs w:val="24"/>
          <w:lang w:val="en-US" w:eastAsia="zh-CN"/>
        </w:rPr>
        <w:t>不会在</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年度形成，因此，</w:t>
      </w:r>
      <w:r>
        <w:rPr>
          <w:rFonts w:hint="eastAsia" w:cs="Times New Roman"/>
          <w:color w:val="auto"/>
          <w:kern w:val="2"/>
          <w:sz w:val="24"/>
          <w:szCs w:val="24"/>
          <w:lang w:val="en-US" w:eastAsia="zh-CN" w:bidi="ar"/>
        </w:rPr>
        <w:t>2025</w:t>
      </w:r>
      <w:r>
        <w:rPr>
          <w:rFonts w:hint="default" w:ascii="Times New Roman" w:hAnsi="Times New Roman" w:eastAsia="宋体" w:cs="Times New Roman"/>
          <w:color w:val="auto"/>
          <w:kern w:val="2"/>
          <w:sz w:val="24"/>
          <w:szCs w:val="24"/>
          <w:lang w:val="en-US" w:eastAsia="zh-CN" w:bidi="ar"/>
        </w:rPr>
        <w:t>年</w:t>
      </w:r>
      <w:r>
        <w:rPr>
          <w:rFonts w:hint="default" w:ascii="Times New Roman" w:hAnsi="Times New Roman" w:eastAsia="宋体" w:cs="Times New Roman"/>
          <w:color w:val="auto"/>
          <w:sz w:val="24"/>
          <w:szCs w:val="24"/>
          <w:lang w:val="en-US" w:eastAsia="zh-CN"/>
        </w:rPr>
        <w:t>矿山地质环境监测工程主要为矿区土地资源及地形地貌景观监测。</w:t>
      </w:r>
    </w:p>
    <w:p w14:paraId="27C521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监测内容</w:t>
      </w:r>
    </w:p>
    <w:p w14:paraId="7CED1E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为保护矿</w:t>
      </w:r>
      <w:r>
        <w:rPr>
          <w:rFonts w:hint="eastAsia" w:cs="Times New Roman"/>
          <w:color w:val="auto"/>
          <w:sz w:val="24"/>
          <w:szCs w:val="24"/>
          <w:lang w:val="en-US" w:eastAsia="zh-CN"/>
        </w:rPr>
        <w:t>区生态环境，尽可能的保护矿区及其矿区</w:t>
      </w:r>
      <w:r>
        <w:rPr>
          <w:rFonts w:hint="default" w:ascii="Times New Roman" w:hAnsi="Times New Roman" w:eastAsia="宋体" w:cs="Times New Roman"/>
          <w:color w:val="auto"/>
          <w:sz w:val="24"/>
          <w:szCs w:val="24"/>
          <w:lang w:val="en-US" w:eastAsia="zh-CN"/>
        </w:rPr>
        <w:t>以外土地免受</w:t>
      </w:r>
      <w:r>
        <w:rPr>
          <w:rFonts w:hint="eastAsia" w:cs="Times New Roman"/>
          <w:color w:val="auto"/>
          <w:sz w:val="24"/>
          <w:szCs w:val="24"/>
          <w:lang w:val="en-US" w:eastAsia="zh-CN"/>
        </w:rPr>
        <w:t>挖损与占用</w:t>
      </w:r>
      <w:r>
        <w:rPr>
          <w:rFonts w:hint="default" w:ascii="Times New Roman" w:hAnsi="Times New Roman" w:eastAsia="宋体"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矿区</w:t>
      </w:r>
      <w:r>
        <w:rPr>
          <w:rFonts w:hint="default" w:ascii="Times New Roman" w:hAnsi="Times New Roman" w:eastAsia="宋体" w:cs="Times New Roman"/>
          <w:color w:val="auto"/>
          <w:sz w:val="24"/>
          <w:szCs w:val="24"/>
          <w:lang w:val="en-US" w:eastAsia="zh-CN"/>
        </w:rPr>
        <w:t>内土地资源、地形地貌景观进行监测。</w:t>
      </w:r>
    </w:p>
    <w:p w14:paraId="7F06CA8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2</w:t>
      </w:r>
      <w:r>
        <w:rPr>
          <w:rFonts w:hint="default" w:ascii="Times New Roman" w:hAnsi="Times New Roman" w:eastAsia="宋体" w:cs="Times New Roman"/>
          <w:color w:val="auto"/>
          <w:sz w:val="24"/>
          <w:szCs w:val="24"/>
          <w:lang w:eastAsia="zh-CN"/>
        </w:rPr>
        <w:t>、监测方法</w:t>
      </w:r>
    </w:p>
    <w:p w14:paraId="1FC4384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采用目测及拍照摄像相结合的方式，采用路线法，共设计</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eastAsia="zh-CN"/>
        </w:rPr>
        <w:t>条监测路线，路线长度</w:t>
      </w:r>
      <w:r>
        <w:rPr>
          <w:rFonts w:hint="default" w:ascii="Times New Roman" w:hAnsi="Times New Roman" w:eastAsia="宋体" w:cs="Times New Roman"/>
          <w:color w:val="auto"/>
          <w:sz w:val="24"/>
          <w:szCs w:val="24"/>
          <w:lang w:val="en-US"/>
        </w:rPr>
        <w:t>1.</w:t>
      </w:r>
      <w:r>
        <w:rPr>
          <w:rFonts w:hint="eastAsia" w:cs="Times New Roman"/>
          <w:color w:val="auto"/>
          <w:sz w:val="24"/>
          <w:szCs w:val="24"/>
          <w:lang w:val="en-US" w:eastAsia="zh-CN"/>
        </w:rPr>
        <w:t>73</w:t>
      </w:r>
      <w:r>
        <w:rPr>
          <w:rFonts w:hint="default" w:ascii="Times New Roman" w:hAnsi="Times New Roman" w:eastAsia="宋体" w:cs="Times New Roman"/>
          <w:color w:val="auto"/>
          <w:sz w:val="24"/>
          <w:szCs w:val="24"/>
          <w:lang w:val="en-US"/>
        </w:rPr>
        <w:t>km</w:t>
      </w:r>
      <w:r>
        <w:rPr>
          <w:rFonts w:hint="default" w:ascii="Times New Roman" w:hAnsi="Times New Roman" w:eastAsia="宋体" w:cs="Times New Roman"/>
          <w:color w:val="auto"/>
          <w:sz w:val="24"/>
          <w:szCs w:val="24"/>
          <w:lang w:eastAsia="zh-CN"/>
        </w:rPr>
        <w:t>，对工程场地的外观表现特征参数进行监测，对各区破坏的土地类型进行实地调查。</w:t>
      </w:r>
    </w:p>
    <w:p w14:paraId="2D8F618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3</w:t>
      </w:r>
      <w:r>
        <w:rPr>
          <w:rFonts w:hint="default" w:ascii="Times New Roman" w:hAnsi="Times New Roman" w:eastAsia="宋体" w:cs="Times New Roman"/>
          <w:color w:val="auto"/>
          <w:sz w:val="24"/>
          <w:szCs w:val="24"/>
          <w:lang w:eastAsia="zh-CN"/>
        </w:rPr>
        <w:t>、监测频率</w:t>
      </w:r>
    </w:p>
    <w:p w14:paraId="586BD34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每月目测</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eastAsia="zh-CN"/>
        </w:rPr>
        <w:t>次，每年对场地占用情况进行一次仪器测量并拍照摄像。</w:t>
      </w:r>
    </w:p>
    <w:p w14:paraId="2752779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w:t>
      </w:r>
      <w:r>
        <w:rPr>
          <w:rFonts w:hint="default" w:ascii="Times New Roman" w:hAnsi="Times New Roman" w:eastAsia="宋体" w:cs="Times New Roman"/>
          <w:color w:val="auto"/>
          <w:sz w:val="24"/>
          <w:szCs w:val="24"/>
          <w:lang w:eastAsia="zh-CN"/>
        </w:rPr>
        <w:t>、监测时限</w:t>
      </w:r>
    </w:p>
    <w:p w14:paraId="7FE0799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矿山生产期间和首期治理期内，自</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eastAsia="zh-CN"/>
        </w:rPr>
        <w:t>日</w:t>
      </w:r>
      <w:r>
        <w:rPr>
          <w:rFonts w:hint="default" w:ascii="Times New Roman" w:hAnsi="Times New Roman" w:eastAsia="宋体" w:cs="Times New Roman"/>
          <w:color w:val="auto"/>
          <w:sz w:val="24"/>
          <w:szCs w:val="24"/>
          <w:lang w:val="en-US"/>
        </w:rPr>
        <w:t>-</w:t>
      </w: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rPr>
        <w:t>12</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rPr>
        <w:t>31</w:t>
      </w:r>
      <w:r>
        <w:rPr>
          <w:rFonts w:hint="default" w:ascii="Times New Roman" w:hAnsi="Times New Roman" w:eastAsia="宋体" w:cs="Times New Roman"/>
          <w:color w:val="auto"/>
          <w:sz w:val="24"/>
          <w:szCs w:val="24"/>
          <w:lang w:eastAsia="zh-CN"/>
        </w:rPr>
        <w:t>日。</w:t>
      </w:r>
    </w:p>
    <w:p w14:paraId="7294CF1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监测记录表见表</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14:paraId="6BA1F1E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b/>
          <w:bCs w:val="0"/>
          <w:color w:val="auto"/>
          <w:sz w:val="24"/>
          <w:szCs w:val="24"/>
          <w:lang w:val="en-US"/>
        </w:rPr>
      </w:pPr>
      <w:r>
        <w:rPr>
          <w:rFonts w:hint="default" w:ascii="Times New Roman" w:hAnsi="Times New Roman" w:eastAsia="宋体" w:cs="Times New Roman"/>
          <w:b/>
          <w:color w:val="auto"/>
          <w:kern w:val="0"/>
          <w:sz w:val="21"/>
          <w:szCs w:val="21"/>
          <w:lang w:val="en-US" w:eastAsia="zh-CN" w:bidi="ar"/>
        </w:rPr>
        <w:t>表5-3  地形地貌景观及土地资源监测记录表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0"/>
        <w:gridCol w:w="863"/>
        <w:gridCol w:w="1270"/>
        <w:gridCol w:w="5235"/>
      </w:tblGrid>
      <w:tr w14:paraId="2854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29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AA74CB">
            <w:pPr>
              <w:keepNext w:val="0"/>
              <w:keepLines w:val="0"/>
              <w:widowControl w:val="0"/>
              <w:suppressLineNumbers w:val="0"/>
              <w:spacing w:before="120" w:beforeLines="50" w:beforeAutospacing="0" w:after="0" w:afterAutospacing="0"/>
              <w:ind w:left="-204" w:leftChars="-85" w:right="0" w:firstLine="422" w:firstLineChars="200"/>
              <w:jc w:val="both"/>
              <w:rPr>
                <w:rFonts w:hint="default" w:ascii="Times New Roman" w:hAnsi="Times New Roman" w:cs="Times New Roman"/>
                <w:color w:val="auto"/>
                <w:szCs w:val="21"/>
                <w:lang w:val="en-US"/>
              </w:rPr>
            </w:pPr>
            <w:r>
              <w:rPr>
                <w:rFonts w:hint="default" w:ascii="Times New Roman" w:hAnsi="Times New Roman" w:eastAsia="宋体" w:cs="Times New Roman"/>
                <w:b/>
                <w:bCs w:val="0"/>
                <w:color w:val="auto"/>
                <w:kern w:val="2"/>
                <w:sz w:val="21"/>
                <w:szCs w:val="21"/>
                <w:lang w:val="en-US" w:eastAsia="zh-CN" w:bidi="ar"/>
              </w:rPr>
              <w:t xml:space="preserve">     </w:t>
            </w:r>
            <w:r>
              <w:rPr>
                <w:rFonts w:hint="default" w:ascii="Times New Roman" w:hAnsi="Times New Roman" w:eastAsia="宋体" w:cs="Times New Roman"/>
                <w:color w:val="auto"/>
                <w:kern w:val="2"/>
                <w:sz w:val="21"/>
                <w:szCs w:val="21"/>
                <w:lang w:val="en-US" w:eastAsia="zh-CN" w:bidi="ar"/>
              </w:rPr>
              <w:t>监测单元</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2ECF46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2E6C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F574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时间：  年   月   日</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7B3754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天气：</w:t>
            </w:r>
          </w:p>
        </w:tc>
      </w:tr>
      <w:tr w14:paraId="548D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5C80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监测内容</w:t>
            </w:r>
          </w:p>
        </w:tc>
        <w:tc>
          <w:tcPr>
            <w:tcW w:w="2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B8FA8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损毁土地面积（m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19BCB9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7F35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92539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2"/>
              </w:rPr>
            </w:pPr>
          </w:p>
        </w:tc>
        <w:tc>
          <w:tcPr>
            <w:tcW w:w="2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0F77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破坏土地利用类型</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078FBA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072D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C0623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2"/>
              </w:rPr>
            </w:pPr>
          </w:p>
        </w:tc>
        <w:tc>
          <w:tcPr>
            <w:tcW w:w="2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2E33B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损毁方式</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75DFE5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3D9A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ACB23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2"/>
              </w:rPr>
            </w:pPr>
          </w:p>
        </w:tc>
        <w:tc>
          <w:tcPr>
            <w:tcW w:w="2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34549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损毁程度</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7EFE73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77E5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73F36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2"/>
              </w:rPr>
            </w:pPr>
          </w:p>
        </w:tc>
        <w:tc>
          <w:tcPr>
            <w:tcW w:w="2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0FE8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治理难度</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286A025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06C4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71CC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监测人员</w:t>
            </w:r>
          </w:p>
        </w:tc>
        <w:tc>
          <w:tcPr>
            <w:tcW w:w="5235" w:type="dxa"/>
            <w:tcBorders>
              <w:top w:val="single" w:color="auto" w:sz="4" w:space="0"/>
              <w:left w:val="single" w:color="auto" w:sz="4" w:space="0"/>
              <w:bottom w:val="single" w:color="auto" w:sz="4" w:space="0"/>
              <w:right w:val="single" w:color="auto" w:sz="4" w:space="0"/>
            </w:tcBorders>
            <w:shd w:val="clear" w:color="auto" w:fill="auto"/>
            <w:vAlign w:val="center"/>
          </w:tcPr>
          <w:p w14:paraId="28A578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18E3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8148" w:type="dxa"/>
            <w:gridSpan w:val="4"/>
            <w:tcBorders>
              <w:top w:val="nil"/>
              <w:left w:val="single" w:color="auto" w:sz="4" w:space="0"/>
              <w:bottom w:val="nil"/>
              <w:right w:val="single" w:color="auto" w:sz="4" w:space="0"/>
            </w:tcBorders>
            <w:shd w:val="clear" w:color="auto" w:fill="auto"/>
            <w:vAlign w:val="center"/>
          </w:tcPr>
          <w:p w14:paraId="54C8BDE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2"/>
                <w:lang w:val="en-US"/>
              </w:rPr>
            </w:pPr>
          </w:p>
          <w:p w14:paraId="659D5820">
            <w:pPr>
              <w:pStyle w:val="1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Cs w:val="21"/>
                <w:lang w:val="en-US"/>
              </w:rPr>
            </w:pPr>
          </w:p>
          <w:p w14:paraId="0C3FC965">
            <w:pPr>
              <w:pStyle w:val="1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Cs w:val="21"/>
                <w:lang w:val="en-US"/>
              </w:rPr>
            </w:pPr>
          </w:p>
        </w:tc>
      </w:tr>
      <w:tr w14:paraId="48D1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D6F9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存在问题</w:t>
            </w:r>
          </w:p>
        </w:tc>
        <w:tc>
          <w:tcPr>
            <w:tcW w:w="65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020B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66D1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7972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处理意见</w:t>
            </w:r>
          </w:p>
        </w:tc>
        <w:tc>
          <w:tcPr>
            <w:tcW w:w="65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500B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r w14:paraId="4FD8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029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处理结果</w:t>
            </w:r>
          </w:p>
        </w:tc>
        <w:tc>
          <w:tcPr>
            <w:tcW w:w="65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02F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rPr>
            </w:pPr>
          </w:p>
        </w:tc>
      </w:tr>
    </w:tbl>
    <w:p w14:paraId="46470327">
      <w:pP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br w:type="page"/>
      </w:r>
    </w:p>
    <w:p w14:paraId="5757489D">
      <w:pPr>
        <w:numPr>
          <w:ilvl w:val="0"/>
          <w:numId w:val="0"/>
        </w:numPr>
        <w:spacing w:line="360" w:lineRule="auto"/>
        <w:ind w:leftChars="0"/>
        <w:jc w:val="center"/>
        <w:outlineLvl w:val="0"/>
        <w:rPr>
          <w:rFonts w:hint="default" w:ascii="Times New Roman" w:hAnsi="Times New Roman" w:eastAsia="宋体" w:cs="Times New Roman"/>
          <w:b/>
          <w:bCs/>
          <w:color w:val="auto"/>
          <w:sz w:val="36"/>
          <w:szCs w:val="36"/>
          <w:lang w:val="en-US" w:eastAsia="zh-CN"/>
        </w:rPr>
      </w:pPr>
      <w:bookmarkStart w:id="76" w:name="_Toc31330"/>
      <w:bookmarkStart w:id="77" w:name="_Toc16528"/>
      <w:bookmarkStart w:id="78" w:name="_Toc30453"/>
      <w:bookmarkStart w:id="79" w:name="_Toc23006"/>
      <w:bookmarkStart w:id="80" w:name="_Toc12079"/>
      <w:r>
        <w:rPr>
          <w:rFonts w:hint="default" w:ascii="Times New Roman" w:hAnsi="Times New Roman" w:eastAsia="宋体" w:cs="Times New Roman"/>
          <w:b/>
          <w:bCs/>
          <w:color w:val="auto"/>
          <w:sz w:val="32"/>
          <w:szCs w:val="32"/>
          <w:lang w:val="en-US" w:eastAsia="zh-CN"/>
        </w:rPr>
        <w:t>六、经费估算</w:t>
      </w:r>
      <w:bookmarkEnd w:id="76"/>
      <w:bookmarkEnd w:id="77"/>
      <w:bookmarkEnd w:id="78"/>
      <w:bookmarkEnd w:id="79"/>
      <w:bookmarkEnd w:id="80"/>
    </w:p>
    <w:p w14:paraId="18949F31">
      <w:pPr>
        <w:keepNext w:val="0"/>
        <w:keepLines w:val="0"/>
        <w:pageBreakBefore w:val="0"/>
        <w:widowControl/>
        <w:numPr>
          <w:ilvl w:val="0"/>
          <w:numId w:val="0"/>
        </w:numPr>
        <w:kinsoku/>
        <w:wordWrap/>
        <w:overflowPunct/>
        <w:topLinePunct w:val="0"/>
        <w:autoSpaceDE/>
        <w:autoSpaceDN/>
        <w:bidi w:val="0"/>
        <w:adjustRightInd w:val="0"/>
        <w:snapToGrid w:val="0"/>
        <w:spacing w:before="313" w:beforeLines="100" w:line="360" w:lineRule="auto"/>
        <w:jc w:val="both"/>
        <w:textAlignment w:val="auto"/>
        <w:outlineLvl w:val="1"/>
        <w:rPr>
          <w:rFonts w:hint="default" w:ascii="Times New Roman" w:hAnsi="Times New Roman" w:eastAsia="宋体" w:cs="Times New Roman"/>
          <w:b/>
          <w:bCs/>
          <w:color w:val="auto"/>
          <w:sz w:val="28"/>
          <w:szCs w:val="28"/>
          <w:lang w:val="en-US" w:eastAsia="zh-CN"/>
        </w:rPr>
      </w:pPr>
      <w:bookmarkStart w:id="81" w:name="_Toc32038"/>
      <w:r>
        <w:rPr>
          <w:rFonts w:hint="default" w:ascii="Times New Roman" w:hAnsi="Times New Roman" w:eastAsia="宋体" w:cs="Times New Roman"/>
          <w:b/>
          <w:bCs/>
          <w:color w:val="auto"/>
          <w:sz w:val="28"/>
          <w:szCs w:val="28"/>
          <w:lang w:val="en-US" w:eastAsia="zh-CN"/>
        </w:rPr>
        <w:t>（一）估算说明</w:t>
      </w:r>
      <w:bookmarkEnd w:id="81"/>
    </w:p>
    <w:p w14:paraId="4137CA82">
      <w:pPr>
        <w:tabs>
          <w:tab w:val="left" w:pos="720"/>
        </w:tabs>
        <w:wordWrap/>
        <w:autoSpaceDE w:val="0"/>
        <w:autoSpaceDN w:val="0"/>
        <w:adjustRightInd w:val="0"/>
        <w:spacing w:line="360" w:lineRule="auto"/>
        <w:ind w:firstLine="472" w:firstLineChars="196"/>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预算编制依据</w:t>
      </w:r>
    </w:p>
    <w:p w14:paraId="5819B20D">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内蒙古自治区财政厅、国土资源厅《内蒙古自治区矿山地质环境治理工程预算定额标准（试行）》及相关配套文件；</w:t>
      </w:r>
    </w:p>
    <w:p w14:paraId="30A4B7A5">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《内蒙古自治区矿山地质环境治理工程定额》（内财建[2013]600号）；</w:t>
      </w:r>
    </w:p>
    <w:p w14:paraId="5DC16F28">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矿山地质环境保护与</w:t>
      </w:r>
      <w:r>
        <w:rPr>
          <w:rFonts w:hint="default" w:ascii="Times New Roman" w:hAnsi="Times New Roman" w:eastAsia="宋体" w:cs="Times New Roman"/>
          <w:color w:val="auto"/>
          <w:sz w:val="24"/>
          <w:szCs w:val="24"/>
          <w:highlight w:val="none"/>
          <w:lang w:val="en-US" w:eastAsia="zh-CN"/>
        </w:rPr>
        <w:t>土地复垦</w:t>
      </w:r>
      <w:r>
        <w:rPr>
          <w:rFonts w:hint="default" w:ascii="Times New Roman" w:hAnsi="Times New Roman" w:eastAsia="宋体" w:cs="Times New Roman"/>
          <w:color w:val="auto"/>
          <w:sz w:val="24"/>
          <w:szCs w:val="24"/>
          <w:highlight w:val="none"/>
        </w:rPr>
        <w:t>方案</w:t>
      </w:r>
      <w:r>
        <w:rPr>
          <w:rFonts w:hint="default" w:ascii="Times New Roman" w:hAnsi="Times New Roman" w:eastAsia="宋体" w:cs="Times New Roman"/>
          <w:color w:val="auto"/>
          <w:sz w:val="24"/>
          <w:szCs w:val="24"/>
          <w:highlight w:val="none"/>
          <w:lang w:val="en-US" w:eastAsia="zh-CN"/>
        </w:rPr>
        <w:t>设计</w:t>
      </w:r>
      <w:r>
        <w:rPr>
          <w:rFonts w:hint="default" w:ascii="Times New Roman" w:hAnsi="Times New Roman" w:eastAsia="宋体" w:cs="Times New Roman"/>
          <w:color w:val="auto"/>
          <w:sz w:val="24"/>
          <w:szCs w:val="24"/>
          <w:highlight w:val="none"/>
        </w:rPr>
        <w:t>的实物工作量及相关图件；</w:t>
      </w:r>
    </w:p>
    <w:p w14:paraId="2E77C277">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财政部、国土资源部《土地开发整理项目预算定额标准》（2011）；</w:t>
      </w:r>
    </w:p>
    <w:p w14:paraId="2B850D23">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赤峰市材料价格信息（202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季度）及</w:t>
      </w:r>
      <w:r>
        <w:rPr>
          <w:rFonts w:hint="default" w:ascii="Times New Roman" w:hAnsi="Times New Roman" w:eastAsia="宋体" w:cs="Times New Roman"/>
          <w:color w:val="auto"/>
          <w:sz w:val="24"/>
          <w:szCs w:val="24"/>
          <w:highlight w:val="none"/>
          <w:lang w:eastAsia="zh-CN"/>
        </w:rPr>
        <w:t>赤峰市松山区</w:t>
      </w:r>
      <w:r>
        <w:rPr>
          <w:rFonts w:hint="default" w:ascii="Times New Roman" w:hAnsi="Times New Roman" w:eastAsia="宋体" w:cs="Times New Roman"/>
          <w:color w:val="auto"/>
          <w:sz w:val="24"/>
          <w:szCs w:val="24"/>
          <w:highlight w:val="none"/>
        </w:rPr>
        <w:t>材料价格市场询价。</w:t>
      </w:r>
    </w:p>
    <w:p w14:paraId="586A5140">
      <w:pPr>
        <w:tabs>
          <w:tab w:val="left" w:pos="720"/>
        </w:tabs>
        <w:wordWrap/>
        <w:autoSpaceDE w:val="0"/>
        <w:autoSpaceDN w:val="0"/>
        <w:adjustRightInd w:val="0"/>
        <w:spacing w:line="360" w:lineRule="auto"/>
        <w:ind w:firstLine="472" w:firstLineChars="196"/>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费用计算</w:t>
      </w:r>
    </w:p>
    <w:p w14:paraId="0B2BFACC">
      <w:pPr>
        <w:wordWrap/>
        <w:spacing w:line="360" w:lineRule="auto"/>
        <w:ind w:firstLine="480" w:firstLineChars="200"/>
        <w:jc w:val="left"/>
        <w:rPr>
          <w:rFonts w:hint="default" w:ascii="Times New Roman" w:hAnsi="Times New Roman" w:eastAsia="宋体" w:cs="Times New Roman"/>
          <w:color w:val="auto"/>
          <w:sz w:val="24"/>
          <w:szCs w:val="24"/>
          <w:highlight w:val="none"/>
        </w:rPr>
      </w:pPr>
      <w:bookmarkStart w:id="82" w:name="_Toc523390679"/>
      <w:r>
        <w:rPr>
          <w:rFonts w:hint="default" w:ascii="Times New Roman" w:hAnsi="Times New Roman" w:eastAsia="宋体" w:cs="Times New Roman"/>
          <w:color w:val="auto"/>
          <w:sz w:val="24"/>
          <w:szCs w:val="24"/>
          <w:highlight w:val="none"/>
        </w:rPr>
        <w:t>项目的投资为静态投资，其投资总额由静态投资和价差预备费组成。静态投资由工程施工费、其他费用、监测管护费、不可预见费组成。价差预备费是在方案编制年至矿山闭坑年期间，由于材料价格变化可能产生治理费用上浮而预留的费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年度治理计划书不涉及</w:t>
      </w:r>
      <w:r>
        <w:rPr>
          <w:rFonts w:hint="default" w:ascii="Times New Roman" w:hAnsi="Times New Roman" w:eastAsia="宋体" w:cs="Times New Roman"/>
          <w:color w:val="auto"/>
          <w:sz w:val="24"/>
          <w:szCs w:val="24"/>
          <w:highlight w:val="none"/>
        </w:rPr>
        <w:t>价差预备费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。具体计费标准如下：</w:t>
      </w:r>
    </w:p>
    <w:p w14:paraId="06A90F75">
      <w:pPr>
        <w:wordWrap/>
        <w:spacing w:line="360" w:lineRule="auto"/>
        <w:ind w:firstLine="480" w:firstLineChars="200"/>
        <w:jc w:val="left"/>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工程施工费</w:t>
      </w:r>
    </w:p>
    <w:p w14:paraId="207AC0B8">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工程施工费包括直接费、间接费、利润和税金。</w:t>
      </w:r>
    </w:p>
    <w:p w14:paraId="2FBFEA93">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直接费</w:t>
      </w:r>
    </w:p>
    <w:p w14:paraId="43A17204">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直接费指工程施工过程中直接消耗在工程项目上的活劳动和物化劳动。由直接工程费、措施费组成。</w:t>
      </w:r>
    </w:p>
    <w:p w14:paraId="35D3E8F4">
      <w:pPr>
        <w:numPr>
          <w:ilvl w:val="0"/>
          <w:numId w:val="1"/>
        </w:numPr>
        <w:wordWrap/>
        <w:spacing w:line="360" w:lineRule="auto"/>
        <w:ind w:firstLine="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直接工程费</w:t>
      </w:r>
    </w:p>
    <w:p w14:paraId="247AB5CE">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直接工程费由人工费、材料费、施工机械使用费组成。</w:t>
      </w:r>
    </w:p>
    <w:p w14:paraId="1FB58534">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人工费=定额劳动量（工日）×人工概算单价（元／工日），人工单价根据《内蒙古自治区矿山地质环境治理工程预算定额标准》的规定计取，</w:t>
      </w:r>
      <w:r>
        <w:rPr>
          <w:rFonts w:hint="default" w:ascii="Times New Roman" w:hAnsi="Times New Roman" w:eastAsia="宋体" w:cs="Times New Roman"/>
          <w:color w:val="auto"/>
          <w:sz w:val="24"/>
          <w:szCs w:val="24"/>
          <w:highlight w:val="none"/>
          <w:lang w:eastAsia="zh-CN"/>
        </w:rPr>
        <w:t>赤峰市松山区</w:t>
      </w:r>
      <w:r>
        <w:rPr>
          <w:rFonts w:hint="default" w:ascii="Times New Roman" w:hAnsi="Times New Roman" w:eastAsia="宋体" w:cs="Times New Roman"/>
          <w:color w:val="auto"/>
          <w:sz w:val="24"/>
          <w:szCs w:val="24"/>
          <w:highlight w:val="none"/>
        </w:rPr>
        <w:t>属于</w:t>
      </w:r>
      <w:r>
        <w:rPr>
          <w:rFonts w:hint="default" w:ascii="Times New Roman" w:hAnsi="Times New Roman" w:eastAsia="宋体" w:cs="Times New Roman"/>
          <w:color w:val="auto"/>
          <w:sz w:val="24"/>
          <w:szCs w:val="24"/>
          <w:highlight w:val="none"/>
          <w:lang w:eastAsia="zh-CN"/>
        </w:rPr>
        <w:t>二</w:t>
      </w:r>
      <w:r>
        <w:rPr>
          <w:rFonts w:hint="default" w:ascii="Times New Roman" w:hAnsi="Times New Roman" w:eastAsia="宋体" w:cs="Times New Roman"/>
          <w:color w:val="auto"/>
          <w:sz w:val="24"/>
          <w:szCs w:val="24"/>
          <w:highlight w:val="none"/>
        </w:rPr>
        <w:t>类区，甲类工</w:t>
      </w:r>
      <w:r>
        <w:rPr>
          <w:rFonts w:hint="default" w:ascii="Times New Roman" w:hAnsi="Times New Roman" w:eastAsia="宋体" w:cs="Times New Roman"/>
          <w:color w:val="auto"/>
          <w:sz w:val="24"/>
          <w:szCs w:val="24"/>
          <w:highlight w:val="none"/>
          <w:lang w:val="en-US" w:eastAsia="zh-CN"/>
        </w:rPr>
        <w:t>94.15</w:t>
      </w:r>
      <w:r>
        <w:rPr>
          <w:rFonts w:hint="default" w:ascii="Times New Roman" w:hAnsi="Times New Roman" w:eastAsia="宋体" w:cs="Times New Roman"/>
          <w:color w:val="auto"/>
          <w:sz w:val="24"/>
          <w:szCs w:val="24"/>
          <w:highlight w:val="none"/>
        </w:rPr>
        <w:t>元／工日，乙类工</w:t>
      </w:r>
      <w:r>
        <w:rPr>
          <w:rFonts w:hint="default" w:ascii="Times New Roman" w:hAnsi="Times New Roman" w:eastAsia="宋体" w:cs="Times New Roman"/>
          <w:color w:val="auto"/>
          <w:sz w:val="24"/>
          <w:szCs w:val="24"/>
          <w:highlight w:val="none"/>
          <w:lang w:val="en-US" w:eastAsia="zh-CN"/>
        </w:rPr>
        <w:t>69.11</w:t>
      </w:r>
      <w:r>
        <w:rPr>
          <w:rFonts w:hint="default" w:ascii="Times New Roman" w:hAnsi="Times New Roman" w:eastAsia="宋体" w:cs="Times New Roman"/>
          <w:color w:val="auto"/>
          <w:sz w:val="24"/>
          <w:szCs w:val="24"/>
          <w:highlight w:val="none"/>
        </w:rPr>
        <w:t>元／工日。</w:t>
      </w:r>
    </w:p>
    <w:p w14:paraId="67841705">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材料费=定额材料用量×材料单价，主要材料单价按照《内蒙古自治区矿山地质环境治理工程预算定额标准》编制，超出限价部分单独计算材料价差，主要材料以外的材料价格以赤峰市或</w:t>
      </w:r>
      <w:r>
        <w:rPr>
          <w:rFonts w:hint="default" w:ascii="Times New Roman" w:hAnsi="Times New Roman" w:eastAsia="宋体" w:cs="Times New Roman"/>
          <w:color w:val="auto"/>
          <w:sz w:val="24"/>
          <w:szCs w:val="24"/>
          <w:highlight w:val="none"/>
          <w:lang w:eastAsia="zh-CN"/>
        </w:rPr>
        <w:t>赤峰市松山区</w:t>
      </w:r>
      <w:r>
        <w:rPr>
          <w:rFonts w:hint="default" w:ascii="Times New Roman" w:hAnsi="Times New Roman" w:eastAsia="宋体"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季度市场价格计取并以材料到工地实际价格计。</w:t>
      </w:r>
    </w:p>
    <w:p w14:paraId="3C3D0FA4">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施工机械使用费=定额机械使用量（台班）×施工机械台班费（元／台班）。台班费定额依据《内蒙古自治区矿山地质环境治理工程预算定额标准》编制。</w:t>
      </w:r>
    </w:p>
    <w:p w14:paraId="0E0A075A">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②措施费</w:t>
      </w:r>
    </w:p>
    <w:p w14:paraId="5217D3A9">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措施费是指为完成工程项目施工，发生于该工程施工前和施工过程中非工程实体项目的费用，包括临时设施费、冬雨季施工增加费、施工辅助费和安全施工措施费，本项目不计夜间施工增加费。措施费按项目直接工程费×措施费费率进行计算。其费率依据《内蒙古自治区矿山地质环境治理工程预算定额标准》计取。</w:t>
      </w:r>
    </w:p>
    <w:p w14:paraId="382A614E">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-1  措施费费率表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267"/>
        <w:gridCol w:w="1180"/>
        <w:gridCol w:w="1606"/>
        <w:gridCol w:w="1189"/>
        <w:gridCol w:w="1403"/>
        <w:gridCol w:w="1107"/>
      </w:tblGrid>
      <w:tr w14:paraId="4E1B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0FC36A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序号</w:t>
            </w:r>
          </w:p>
        </w:tc>
        <w:tc>
          <w:tcPr>
            <w:tcW w:w="1267" w:type="dxa"/>
            <w:tcBorders>
              <w:top w:val="single" w:color="auto" w:sz="4" w:space="0"/>
              <w:left w:val="single" w:color="auto" w:sz="4" w:space="0"/>
              <w:bottom w:val="single" w:color="auto" w:sz="4" w:space="0"/>
              <w:right w:val="single" w:color="auto" w:sz="4" w:space="0"/>
            </w:tcBorders>
            <w:vAlign w:val="center"/>
          </w:tcPr>
          <w:p w14:paraId="034539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工程类别</w:t>
            </w:r>
          </w:p>
        </w:tc>
        <w:tc>
          <w:tcPr>
            <w:tcW w:w="1180" w:type="dxa"/>
            <w:tcBorders>
              <w:top w:val="single" w:color="auto" w:sz="4" w:space="0"/>
              <w:left w:val="single" w:color="auto" w:sz="4" w:space="0"/>
              <w:bottom w:val="single" w:color="auto" w:sz="4" w:space="0"/>
              <w:right w:val="single" w:color="auto" w:sz="4" w:space="0"/>
            </w:tcBorders>
            <w:vAlign w:val="center"/>
          </w:tcPr>
          <w:p w14:paraId="3F06C9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临时设施费率（%）</w:t>
            </w:r>
          </w:p>
        </w:tc>
        <w:tc>
          <w:tcPr>
            <w:tcW w:w="1606" w:type="dxa"/>
            <w:tcBorders>
              <w:top w:val="single" w:color="auto" w:sz="4" w:space="0"/>
              <w:left w:val="single" w:color="auto" w:sz="4" w:space="0"/>
              <w:bottom w:val="single" w:color="auto" w:sz="4" w:space="0"/>
              <w:right w:val="single" w:color="auto" w:sz="4" w:space="0"/>
            </w:tcBorders>
            <w:vAlign w:val="center"/>
          </w:tcPr>
          <w:p w14:paraId="7ADFA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冬雨季施工增加费率（%）</w:t>
            </w:r>
          </w:p>
        </w:tc>
        <w:tc>
          <w:tcPr>
            <w:tcW w:w="1189" w:type="dxa"/>
            <w:tcBorders>
              <w:top w:val="single" w:color="auto" w:sz="4" w:space="0"/>
              <w:left w:val="single" w:color="auto" w:sz="4" w:space="0"/>
              <w:bottom w:val="single" w:color="auto" w:sz="4" w:space="0"/>
              <w:right w:val="single" w:color="auto" w:sz="4" w:space="0"/>
            </w:tcBorders>
            <w:vAlign w:val="center"/>
          </w:tcPr>
          <w:p w14:paraId="20C651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施工辅助</w:t>
            </w:r>
          </w:p>
          <w:p w14:paraId="73BC4B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费率（%）</w:t>
            </w:r>
          </w:p>
        </w:tc>
        <w:tc>
          <w:tcPr>
            <w:tcW w:w="1403" w:type="dxa"/>
            <w:tcBorders>
              <w:top w:val="single" w:color="auto" w:sz="4" w:space="0"/>
              <w:left w:val="single" w:color="auto" w:sz="4" w:space="0"/>
              <w:bottom w:val="single" w:color="auto" w:sz="4" w:space="0"/>
              <w:right w:val="single" w:color="auto" w:sz="4" w:space="0"/>
            </w:tcBorders>
            <w:vAlign w:val="center"/>
          </w:tcPr>
          <w:p w14:paraId="0CBE40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安全施工措施费率（%）</w:t>
            </w:r>
          </w:p>
        </w:tc>
        <w:tc>
          <w:tcPr>
            <w:tcW w:w="1107" w:type="dxa"/>
            <w:tcBorders>
              <w:top w:val="single" w:color="auto" w:sz="4" w:space="0"/>
              <w:left w:val="single" w:color="auto" w:sz="4" w:space="0"/>
              <w:bottom w:val="single" w:color="auto" w:sz="4" w:space="0"/>
              <w:right w:val="single" w:color="auto" w:sz="4" w:space="0"/>
            </w:tcBorders>
            <w:vAlign w:val="center"/>
          </w:tcPr>
          <w:p w14:paraId="5F35C3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费率合计（%）</w:t>
            </w:r>
          </w:p>
        </w:tc>
      </w:tr>
      <w:tr w14:paraId="753D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4A4646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1</w:t>
            </w:r>
          </w:p>
        </w:tc>
        <w:tc>
          <w:tcPr>
            <w:tcW w:w="1267" w:type="dxa"/>
            <w:tcBorders>
              <w:top w:val="single" w:color="auto" w:sz="4" w:space="0"/>
              <w:left w:val="single" w:color="auto" w:sz="4" w:space="0"/>
              <w:bottom w:val="single" w:color="auto" w:sz="4" w:space="0"/>
              <w:right w:val="single" w:color="auto" w:sz="4" w:space="0"/>
            </w:tcBorders>
            <w:vAlign w:val="center"/>
          </w:tcPr>
          <w:p w14:paraId="1A3ED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土方工程</w:t>
            </w:r>
          </w:p>
        </w:tc>
        <w:tc>
          <w:tcPr>
            <w:tcW w:w="1180" w:type="dxa"/>
            <w:tcBorders>
              <w:top w:val="single" w:color="auto" w:sz="4" w:space="0"/>
              <w:left w:val="single" w:color="auto" w:sz="4" w:space="0"/>
              <w:bottom w:val="single" w:color="auto" w:sz="4" w:space="0"/>
              <w:right w:val="single" w:color="auto" w:sz="4" w:space="0"/>
            </w:tcBorders>
            <w:vAlign w:val="center"/>
          </w:tcPr>
          <w:p w14:paraId="6706A6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1606" w:type="dxa"/>
            <w:tcBorders>
              <w:top w:val="single" w:color="auto" w:sz="4" w:space="0"/>
              <w:left w:val="single" w:color="auto" w:sz="4" w:space="0"/>
              <w:bottom w:val="single" w:color="auto" w:sz="4" w:space="0"/>
              <w:right w:val="single" w:color="auto" w:sz="4" w:space="0"/>
            </w:tcBorders>
            <w:vAlign w:val="center"/>
          </w:tcPr>
          <w:p w14:paraId="6FD80A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0.7</w:t>
            </w:r>
          </w:p>
        </w:tc>
        <w:tc>
          <w:tcPr>
            <w:tcW w:w="1189" w:type="dxa"/>
            <w:tcBorders>
              <w:top w:val="single" w:color="auto" w:sz="4" w:space="0"/>
              <w:left w:val="single" w:color="auto" w:sz="4" w:space="0"/>
              <w:bottom w:val="single" w:color="auto" w:sz="4" w:space="0"/>
              <w:right w:val="single" w:color="auto" w:sz="4" w:space="0"/>
            </w:tcBorders>
            <w:vAlign w:val="center"/>
          </w:tcPr>
          <w:p w14:paraId="6B8952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0.7</w:t>
            </w:r>
          </w:p>
        </w:tc>
        <w:tc>
          <w:tcPr>
            <w:tcW w:w="1403" w:type="dxa"/>
            <w:tcBorders>
              <w:top w:val="single" w:color="auto" w:sz="4" w:space="0"/>
              <w:left w:val="single" w:color="auto" w:sz="4" w:space="0"/>
              <w:bottom w:val="single" w:color="auto" w:sz="4" w:space="0"/>
              <w:right w:val="single" w:color="auto" w:sz="4" w:space="0"/>
            </w:tcBorders>
            <w:vAlign w:val="center"/>
          </w:tcPr>
          <w:p w14:paraId="77A7D0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0.2</w:t>
            </w:r>
          </w:p>
        </w:tc>
        <w:tc>
          <w:tcPr>
            <w:tcW w:w="1107" w:type="dxa"/>
            <w:tcBorders>
              <w:top w:val="single" w:color="auto" w:sz="4" w:space="0"/>
              <w:left w:val="single" w:color="auto" w:sz="4" w:space="0"/>
              <w:bottom w:val="single" w:color="auto" w:sz="4" w:space="0"/>
              <w:right w:val="single" w:color="auto" w:sz="4" w:space="0"/>
            </w:tcBorders>
            <w:vAlign w:val="center"/>
          </w:tcPr>
          <w:p w14:paraId="0C1E8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3.6</w:t>
            </w:r>
          </w:p>
        </w:tc>
      </w:tr>
      <w:tr w14:paraId="7B7B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279550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1267" w:type="dxa"/>
            <w:tcBorders>
              <w:top w:val="single" w:color="auto" w:sz="4" w:space="0"/>
              <w:left w:val="single" w:color="auto" w:sz="4" w:space="0"/>
              <w:bottom w:val="single" w:color="auto" w:sz="4" w:space="0"/>
              <w:right w:val="single" w:color="auto" w:sz="4" w:space="0"/>
            </w:tcBorders>
            <w:vAlign w:val="center"/>
          </w:tcPr>
          <w:p w14:paraId="50AB17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石方工程</w:t>
            </w:r>
          </w:p>
        </w:tc>
        <w:tc>
          <w:tcPr>
            <w:tcW w:w="1180" w:type="dxa"/>
            <w:tcBorders>
              <w:top w:val="single" w:color="auto" w:sz="4" w:space="0"/>
              <w:left w:val="single" w:color="auto" w:sz="4" w:space="0"/>
              <w:bottom w:val="single" w:color="auto" w:sz="4" w:space="0"/>
              <w:right w:val="single" w:color="auto" w:sz="4" w:space="0"/>
            </w:tcBorders>
            <w:vAlign w:val="center"/>
          </w:tcPr>
          <w:p w14:paraId="2A853D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1606" w:type="dxa"/>
            <w:tcBorders>
              <w:top w:val="single" w:color="auto" w:sz="4" w:space="0"/>
              <w:left w:val="single" w:color="auto" w:sz="4" w:space="0"/>
              <w:bottom w:val="single" w:color="auto" w:sz="4" w:space="0"/>
              <w:right w:val="single" w:color="auto" w:sz="4" w:space="0"/>
            </w:tcBorders>
            <w:vAlign w:val="center"/>
          </w:tcPr>
          <w:p w14:paraId="6D8005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189" w:type="dxa"/>
            <w:tcBorders>
              <w:top w:val="single" w:color="auto" w:sz="4" w:space="0"/>
              <w:left w:val="single" w:color="auto" w:sz="4" w:space="0"/>
              <w:bottom w:val="single" w:color="auto" w:sz="4" w:space="0"/>
              <w:right w:val="single" w:color="auto" w:sz="4" w:space="0"/>
            </w:tcBorders>
            <w:vAlign w:val="center"/>
          </w:tcPr>
          <w:p w14:paraId="3F156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403" w:type="dxa"/>
            <w:tcBorders>
              <w:top w:val="single" w:color="auto" w:sz="4" w:space="0"/>
              <w:left w:val="single" w:color="auto" w:sz="4" w:space="0"/>
              <w:bottom w:val="single" w:color="auto" w:sz="4" w:space="0"/>
              <w:right w:val="single" w:color="auto" w:sz="4" w:space="0"/>
            </w:tcBorders>
            <w:vAlign w:val="center"/>
          </w:tcPr>
          <w:p w14:paraId="1A42D9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0.2</w:t>
            </w:r>
          </w:p>
        </w:tc>
        <w:tc>
          <w:tcPr>
            <w:tcW w:w="1107" w:type="dxa"/>
            <w:tcBorders>
              <w:top w:val="single" w:color="auto" w:sz="4" w:space="0"/>
              <w:left w:val="single" w:color="auto" w:sz="4" w:space="0"/>
              <w:bottom w:val="single" w:color="auto" w:sz="4" w:space="0"/>
              <w:right w:val="single" w:color="auto" w:sz="4" w:space="0"/>
            </w:tcBorders>
            <w:vAlign w:val="center"/>
          </w:tcPr>
          <w:p w14:paraId="622D95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3.6</w:t>
            </w:r>
          </w:p>
        </w:tc>
      </w:tr>
      <w:tr w14:paraId="6E99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5784AE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3</w:t>
            </w:r>
          </w:p>
        </w:tc>
        <w:tc>
          <w:tcPr>
            <w:tcW w:w="1267" w:type="dxa"/>
            <w:tcBorders>
              <w:top w:val="single" w:color="auto" w:sz="4" w:space="0"/>
              <w:left w:val="single" w:color="auto" w:sz="4" w:space="0"/>
              <w:bottom w:val="single" w:color="auto" w:sz="4" w:space="0"/>
              <w:right w:val="single" w:color="auto" w:sz="4" w:space="0"/>
            </w:tcBorders>
            <w:vAlign w:val="center"/>
          </w:tcPr>
          <w:p w14:paraId="499385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砌体工程</w:t>
            </w:r>
          </w:p>
        </w:tc>
        <w:tc>
          <w:tcPr>
            <w:tcW w:w="1180" w:type="dxa"/>
            <w:tcBorders>
              <w:top w:val="single" w:color="auto" w:sz="4" w:space="0"/>
              <w:left w:val="single" w:color="auto" w:sz="4" w:space="0"/>
              <w:bottom w:val="single" w:color="auto" w:sz="4" w:space="0"/>
              <w:right w:val="single" w:color="auto" w:sz="4" w:space="0"/>
            </w:tcBorders>
            <w:vAlign w:val="center"/>
          </w:tcPr>
          <w:p w14:paraId="5ABA98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1606" w:type="dxa"/>
            <w:tcBorders>
              <w:top w:val="single" w:color="auto" w:sz="4" w:space="0"/>
              <w:left w:val="single" w:color="auto" w:sz="4" w:space="0"/>
              <w:bottom w:val="single" w:color="auto" w:sz="4" w:space="0"/>
              <w:right w:val="single" w:color="auto" w:sz="4" w:space="0"/>
            </w:tcBorders>
            <w:vAlign w:val="center"/>
          </w:tcPr>
          <w:p w14:paraId="0DD31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189" w:type="dxa"/>
            <w:tcBorders>
              <w:top w:val="single" w:color="auto" w:sz="4" w:space="0"/>
              <w:left w:val="single" w:color="auto" w:sz="4" w:space="0"/>
              <w:bottom w:val="single" w:color="auto" w:sz="4" w:space="0"/>
              <w:right w:val="single" w:color="auto" w:sz="4" w:space="0"/>
            </w:tcBorders>
            <w:vAlign w:val="center"/>
          </w:tcPr>
          <w:p w14:paraId="35A1A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403" w:type="dxa"/>
            <w:tcBorders>
              <w:top w:val="single" w:color="auto" w:sz="4" w:space="0"/>
              <w:left w:val="single" w:color="auto" w:sz="4" w:space="0"/>
              <w:bottom w:val="single" w:color="auto" w:sz="4" w:space="0"/>
              <w:right w:val="single" w:color="auto" w:sz="4" w:space="0"/>
            </w:tcBorders>
            <w:vAlign w:val="center"/>
          </w:tcPr>
          <w:p w14:paraId="4E7C67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0.2</w:t>
            </w:r>
          </w:p>
        </w:tc>
        <w:tc>
          <w:tcPr>
            <w:tcW w:w="1107" w:type="dxa"/>
            <w:tcBorders>
              <w:top w:val="single" w:color="auto" w:sz="4" w:space="0"/>
              <w:left w:val="single" w:color="auto" w:sz="4" w:space="0"/>
              <w:bottom w:val="single" w:color="auto" w:sz="4" w:space="0"/>
              <w:right w:val="single" w:color="auto" w:sz="4" w:space="0"/>
            </w:tcBorders>
            <w:vAlign w:val="center"/>
          </w:tcPr>
          <w:p w14:paraId="1B10B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3.6</w:t>
            </w:r>
          </w:p>
        </w:tc>
      </w:tr>
      <w:tr w14:paraId="4E71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3F3F97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4</w:t>
            </w:r>
          </w:p>
        </w:tc>
        <w:tc>
          <w:tcPr>
            <w:tcW w:w="1267" w:type="dxa"/>
            <w:tcBorders>
              <w:top w:val="single" w:color="auto" w:sz="4" w:space="0"/>
              <w:left w:val="single" w:color="auto" w:sz="4" w:space="0"/>
              <w:bottom w:val="single" w:color="auto" w:sz="4" w:space="0"/>
              <w:right w:val="single" w:color="auto" w:sz="4" w:space="0"/>
            </w:tcBorders>
            <w:vAlign w:val="center"/>
          </w:tcPr>
          <w:p w14:paraId="4B688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混凝土工程</w:t>
            </w:r>
          </w:p>
        </w:tc>
        <w:tc>
          <w:tcPr>
            <w:tcW w:w="1180" w:type="dxa"/>
            <w:tcBorders>
              <w:top w:val="single" w:color="auto" w:sz="4" w:space="0"/>
              <w:left w:val="single" w:color="auto" w:sz="4" w:space="0"/>
              <w:bottom w:val="single" w:color="auto" w:sz="4" w:space="0"/>
              <w:right w:val="single" w:color="auto" w:sz="4" w:space="0"/>
            </w:tcBorders>
            <w:vAlign w:val="center"/>
          </w:tcPr>
          <w:p w14:paraId="5D08B6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3</w:t>
            </w:r>
          </w:p>
        </w:tc>
        <w:tc>
          <w:tcPr>
            <w:tcW w:w="1606" w:type="dxa"/>
            <w:tcBorders>
              <w:top w:val="single" w:color="auto" w:sz="4" w:space="0"/>
              <w:left w:val="single" w:color="auto" w:sz="4" w:space="0"/>
              <w:bottom w:val="single" w:color="auto" w:sz="4" w:space="0"/>
              <w:right w:val="single" w:color="auto" w:sz="4" w:space="0"/>
            </w:tcBorders>
            <w:vAlign w:val="center"/>
          </w:tcPr>
          <w:p w14:paraId="70770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189" w:type="dxa"/>
            <w:tcBorders>
              <w:top w:val="single" w:color="auto" w:sz="4" w:space="0"/>
              <w:left w:val="single" w:color="auto" w:sz="4" w:space="0"/>
              <w:bottom w:val="single" w:color="auto" w:sz="4" w:space="0"/>
              <w:right w:val="single" w:color="auto" w:sz="4" w:space="0"/>
            </w:tcBorders>
            <w:vAlign w:val="center"/>
          </w:tcPr>
          <w:p w14:paraId="1B02B2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403" w:type="dxa"/>
            <w:tcBorders>
              <w:top w:val="single" w:color="auto" w:sz="4" w:space="0"/>
              <w:left w:val="single" w:color="auto" w:sz="4" w:space="0"/>
              <w:bottom w:val="single" w:color="auto" w:sz="4" w:space="0"/>
              <w:right w:val="single" w:color="auto" w:sz="4" w:space="0"/>
            </w:tcBorders>
            <w:vAlign w:val="center"/>
          </w:tcPr>
          <w:p w14:paraId="7670A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0.2</w:t>
            </w:r>
          </w:p>
        </w:tc>
        <w:tc>
          <w:tcPr>
            <w:tcW w:w="1107" w:type="dxa"/>
            <w:tcBorders>
              <w:top w:val="single" w:color="auto" w:sz="4" w:space="0"/>
              <w:left w:val="single" w:color="auto" w:sz="4" w:space="0"/>
              <w:bottom w:val="single" w:color="auto" w:sz="4" w:space="0"/>
              <w:right w:val="single" w:color="auto" w:sz="4" w:space="0"/>
            </w:tcBorders>
            <w:vAlign w:val="center"/>
          </w:tcPr>
          <w:p w14:paraId="5E2E7F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4.6</w:t>
            </w:r>
          </w:p>
        </w:tc>
      </w:tr>
      <w:tr w14:paraId="1C93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1581EA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c>
          <w:tcPr>
            <w:tcW w:w="1267" w:type="dxa"/>
            <w:tcBorders>
              <w:top w:val="single" w:color="auto" w:sz="4" w:space="0"/>
              <w:left w:val="single" w:color="auto" w:sz="4" w:space="0"/>
              <w:bottom w:val="single" w:color="auto" w:sz="4" w:space="0"/>
              <w:right w:val="single" w:color="auto" w:sz="4" w:space="0"/>
            </w:tcBorders>
            <w:vAlign w:val="center"/>
          </w:tcPr>
          <w:p w14:paraId="2780F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植被工程</w:t>
            </w:r>
          </w:p>
        </w:tc>
        <w:tc>
          <w:tcPr>
            <w:tcW w:w="1180" w:type="dxa"/>
            <w:tcBorders>
              <w:top w:val="single" w:color="auto" w:sz="4" w:space="0"/>
              <w:left w:val="single" w:color="auto" w:sz="4" w:space="0"/>
              <w:bottom w:val="single" w:color="auto" w:sz="4" w:space="0"/>
              <w:right w:val="single" w:color="auto" w:sz="4" w:space="0"/>
            </w:tcBorders>
            <w:vAlign w:val="center"/>
          </w:tcPr>
          <w:p w14:paraId="60761D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1606" w:type="dxa"/>
            <w:tcBorders>
              <w:top w:val="single" w:color="auto" w:sz="4" w:space="0"/>
              <w:left w:val="single" w:color="auto" w:sz="4" w:space="0"/>
              <w:bottom w:val="single" w:color="auto" w:sz="4" w:space="0"/>
              <w:right w:val="single" w:color="auto" w:sz="4" w:space="0"/>
            </w:tcBorders>
            <w:vAlign w:val="center"/>
          </w:tcPr>
          <w:p w14:paraId="2CD19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189" w:type="dxa"/>
            <w:tcBorders>
              <w:top w:val="single" w:color="auto" w:sz="4" w:space="0"/>
              <w:left w:val="single" w:color="auto" w:sz="4" w:space="0"/>
              <w:bottom w:val="single" w:color="auto" w:sz="4" w:space="0"/>
              <w:right w:val="single" w:color="auto" w:sz="4" w:space="0"/>
            </w:tcBorders>
            <w:vAlign w:val="center"/>
          </w:tcPr>
          <w:p w14:paraId="191D2B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403" w:type="dxa"/>
            <w:tcBorders>
              <w:top w:val="single" w:color="auto" w:sz="4" w:space="0"/>
              <w:left w:val="single" w:color="auto" w:sz="4" w:space="0"/>
              <w:bottom w:val="single" w:color="auto" w:sz="4" w:space="0"/>
              <w:right w:val="single" w:color="auto" w:sz="4" w:space="0"/>
            </w:tcBorders>
            <w:vAlign w:val="center"/>
          </w:tcPr>
          <w:p w14:paraId="3F943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0.2</w:t>
            </w:r>
          </w:p>
        </w:tc>
        <w:tc>
          <w:tcPr>
            <w:tcW w:w="1107" w:type="dxa"/>
            <w:tcBorders>
              <w:top w:val="single" w:color="auto" w:sz="4" w:space="0"/>
              <w:left w:val="single" w:color="auto" w:sz="4" w:space="0"/>
              <w:bottom w:val="single" w:color="auto" w:sz="4" w:space="0"/>
              <w:right w:val="single" w:color="auto" w:sz="4" w:space="0"/>
            </w:tcBorders>
            <w:vAlign w:val="center"/>
          </w:tcPr>
          <w:p w14:paraId="1E6E7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3.6</w:t>
            </w:r>
          </w:p>
        </w:tc>
      </w:tr>
      <w:tr w14:paraId="22C1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74669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c>
          <w:tcPr>
            <w:tcW w:w="1267" w:type="dxa"/>
            <w:tcBorders>
              <w:top w:val="single" w:color="auto" w:sz="4" w:space="0"/>
              <w:left w:val="single" w:color="auto" w:sz="4" w:space="0"/>
              <w:bottom w:val="single" w:color="auto" w:sz="4" w:space="0"/>
              <w:right w:val="single" w:color="auto" w:sz="4" w:space="0"/>
            </w:tcBorders>
            <w:vAlign w:val="center"/>
          </w:tcPr>
          <w:p w14:paraId="63BA9C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辅助工程</w:t>
            </w:r>
          </w:p>
        </w:tc>
        <w:tc>
          <w:tcPr>
            <w:tcW w:w="1180" w:type="dxa"/>
            <w:tcBorders>
              <w:top w:val="single" w:color="auto" w:sz="4" w:space="0"/>
              <w:left w:val="single" w:color="auto" w:sz="4" w:space="0"/>
              <w:bottom w:val="single" w:color="auto" w:sz="4" w:space="0"/>
              <w:right w:val="single" w:color="auto" w:sz="4" w:space="0"/>
            </w:tcBorders>
            <w:vAlign w:val="center"/>
          </w:tcPr>
          <w:p w14:paraId="0BDC36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1606" w:type="dxa"/>
            <w:tcBorders>
              <w:top w:val="single" w:color="auto" w:sz="4" w:space="0"/>
              <w:left w:val="single" w:color="auto" w:sz="4" w:space="0"/>
              <w:bottom w:val="single" w:color="auto" w:sz="4" w:space="0"/>
              <w:right w:val="single" w:color="auto" w:sz="4" w:space="0"/>
            </w:tcBorders>
            <w:vAlign w:val="center"/>
          </w:tcPr>
          <w:p w14:paraId="295F3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189" w:type="dxa"/>
            <w:tcBorders>
              <w:top w:val="single" w:color="auto" w:sz="4" w:space="0"/>
              <w:left w:val="single" w:color="auto" w:sz="4" w:space="0"/>
              <w:bottom w:val="single" w:color="auto" w:sz="4" w:space="0"/>
              <w:right w:val="single" w:color="auto" w:sz="4" w:space="0"/>
            </w:tcBorders>
            <w:vAlign w:val="center"/>
          </w:tcPr>
          <w:p w14:paraId="2D7C78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0.7</w:t>
            </w:r>
          </w:p>
        </w:tc>
        <w:tc>
          <w:tcPr>
            <w:tcW w:w="1403" w:type="dxa"/>
            <w:tcBorders>
              <w:top w:val="single" w:color="auto" w:sz="4" w:space="0"/>
              <w:left w:val="single" w:color="auto" w:sz="4" w:space="0"/>
              <w:bottom w:val="single" w:color="auto" w:sz="4" w:space="0"/>
              <w:right w:val="single" w:color="auto" w:sz="4" w:space="0"/>
            </w:tcBorders>
            <w:vAlign w:val="center"/>
          </w:tcPr>
          <w:p w14:paraId="56E74D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0.2</w:t>
            </w:r>
          </w:p>
        </w:tc>
        <w:tc>
          <w:tcPr>
            <w:tcW w:w="1107" w:type="dxa"/>
            <w:tcBorders>
              <w:top w:val="single" w:color="auto" w:sz="4" w:space="0"/>
              <w:left w:val="single" w:color="auto" w:sz="4" w:space="0"/>
              <w:bottom w:val="single" w:color="auto" w:sz="4" w:space="0"/>
              <w:right w:val="single" w:color="auto" w:sz="4" w:space="0"/>
            </w:tcBorders>
            <w:vAlign w:val="center"/>
          </w:tcPr>
          <w:p w14:paraId="72EB2A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3.6</w:t>
            </w:r>
          </w:p>
        </w:tc>
      </w:tr>
    </w:tbl>
    <w:p w14:paraId="75017318">
      <w:pPr>
        <w:wordWrap/>
        <w:spacing w:before="120" w:beforeLines="50"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b</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间接费</w:t>
      </w:r>
    </w:p>
    <w:p w14:paraId="3A50CAD8">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间接费包括企业管理费和规费，依据《内蒙古自治区矿山地质环境治理工程预算定额标准》规定，间接费率按工程类别进行计取，间接费按项目直接费×间接费费率进行计算。</w:t>
      </w:r>
    </w:p>
    <w:p w14:paraId="52D78A96">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-2  间接费费率表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6"/>
        <w:gridCol w:w="2315"/>
        <w:gridCol w:w="2332"/>
        <w:gridCol w:w="1850"/>
      </w:tblGrid>
      <w:tr w14:paraId="71A3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2795C0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序号</w:t>
            </w:r>
          </w:p>
        </w:tc>
        <w:tc>
          <w:tcPr>
            <w:tcW w:w="2315" w:type="dxa"/>
            <w:tcBorders>
              <w:top w:val="single" w:color="auto" w:sz="4" w:space="0"/>
              <w:left w:val="single" w:color="auto" w:sz="4" w:space="0"/>
              <w:bottom w:val="single" w:color="auto" w:sz="4" w:space="0"/>
              <w:right w:val="single" w:color="auto" w:sz="4" w:space="0"/>
            </w:tcBorders>
            <w:vAlign w:val="center"/>
          </w:tcPr>
          <w:p w14:paraId="180D7F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工程类别</w:t>
            </w:r>
          </w:p>
        </w:tc>
        <w:tc>
          <w:tcPr>
            <w:tcW w:w="2332" w:type="dxa"/>
            <w:tcBorders>
              <w:top w:val="single" w:color="auto" w:sz="4" w:space="0"/>
              <w:left w:val="single" w:color="auto" w:sz="4" w:space="0"/>
              <w:bottom w:val="single" w:color="auto" w:sz="4" w:space="0"/>
              <w:right w:val="single" w:color="auto" w:sz="4" w:space="0"/>
            </w:tcBorders>
            <w:vAlign w:val="center"/>
          </w:tcPr>
          <w:p w14:paraId="18BD01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计算基础</w:t>
            </w:r>
          </w:p>
        </w:tc>
        <w:tc>
          <w:tcPr>
            <w:tcW w:w="1850" w:type="dxa"/>
            <w:tcBorders>
              <w:top w:val="single" w:color="auto" w:sz="4" w:space="0"/>
              <w:left w:val="single" w:color="auto" w:sz="4" w:space="0"/>
              <w:bottom w:val="single" w:color="auto" w:sz="4" w:space="0"/>
              <w:right w:val="single" w:color="auto" w:sz="4" w:space="0"/>
            </w:tcBorders>
            <w:vAlign w:val="center"/>
          </w:tcPr>
          <w:p w14:paraId="270F21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费率（%）</w:t>
            </w:r>
          </w:p>
        </w:tc>
      </w:tr>
      <w:tr w14:paraId="4C0F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60021D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l</w:t>
            </w:r>
          </w:p>
        </w:tc>
        <w:tc>
          <w:tcPr>
            <w:tcW w:w="2315" w:type="dxa"/>
            <w:tcBorders>
              <w:top w:val="single" w:color="auto" w:sz="4" w:space="0"/>
              <w:left w:val="single" w:color="auto" w:sz="4" w:space="0"/>
              <w:bottom w:val="single" w:color="auto" w:sz="4" w:space="0"/>
              <w:right w:val="single" w:color="auto" w:sz="4" w:space="0"/>
            </w:tcBorders>
            <w:vAlign w:val="center"/>
          </w:tcPr>
          <w:p w14:paraId="58F9DC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土方工程</w:t>
            </w:r>
          </w:p>
        </w:tc>
        <w:tc>
          <w:tcPr>
            <w:tcW w:w="2332" w:type="dxa"/>
            <w:tcBorders>
              <w:top w:val="single" w:color="auto" w:sz="4" w:space="0"/>
              <w:left w:val="single" w:color="auto" w:sz="4" w:space="0"/>
              <w:bottom w:val="single" w:color="auto" w:sz="4" w:space="0"/>
              <w:right w:val="single" w:color="auto" w:sz="4" w:space="0"/>
            </w:tcBorders>
            <w:vAlign w:val="center"/>
          </w:tcPr>
          <w:p w14:paraId="0E6DC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直接费</w:t>
            </w:r>
          </w:p>
        </w:tc>
        <w:tc>
          <w:tcPr>
            <w:tcW w:w="1850" w:type="dxa"/>
            <w:tcBorders>
              <w:top w:val="single" w:color="auto" w:sz="4" w:space="0"/>
              <w:left w:val="single" w:color="auto" w:sz="4" w:space="0"/>
              <w:bottom w:val="single" w:color="auto" w:sz="4" w:space="0"/>
              <w:right w:val="single" w:color="auto" w:sz="4" w:space="0"/>
            </w:tcBorders>
            <w:vAlign w:val="center"/>
          </w:tcPr>
          <w:p w14:paraId="01BE0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r>
      <w:tr w14:paraId="7210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45E86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2315" w:type="dxa"/>
            <w:tcBorders>
              <w:top w:val="single" w:color="auto" w:sz="4" w:space="0"/>
              <w:left w:val="single" w:color="auto" w:sz="4" w:space="0"/>
              <w:bottom w:val="single" w:color="auto" w:sz="4" w:space="0"/>
              <w:right w:val="single" w:color="auto" w:sz="4" w:space="0"/>
            </w:tcBorders>
            <w:vAlign w:val="center"/>
          </w:tcPr>
          <w:p w14:paraId="399CCF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石方工程</w:t>
            </w:r>
          </w:p>
        </w:tc>
        <w:tc>
          <w:tcPr>
            <w:tcW w:w="2332" w:type="dxa"/>
            <w:tcBorders>
              <w:top w:val="single" w:color="auto" w:sz="4" w:space="0"/>
              <w:left w:val="single" w:color="auto" w:sz="4" w:space="0"/>
              <w:bottom w:val="single" w:color="auto" w:sz="4" w:space="0"/>
              <w:right w:val="single" w:color="auto" w:sz="4" w:space="0"/>
            </w:tcBorders>
            <w:vAlign w:val="center"/>
          </w:tcPr>
          <w:p w14:paraId="3E8E3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直接费</w:t>
            </w:r>
          </w:p>
        </w:tc>
        <w:tc>
          <w:tcPr>
            <w:tcW w:w="1850" w:type="dxa"/>
            <w:tcBorders>
              <w:top w:val="single" w:color="auto" w:sz="4" w:space="0"/>
              <w:left w:val="single" w:color="auto" w:sz="4" w:space="0"/>
              <w:bottom w:val="single" w:color="auto" w:sz="4" w:space="0"/>
              <w:right w:val="single" w:color="auto" w:sz="4" w:space="0"/>
            </w:tcBorders>
            <w:vAlign w:val="center"/>
          </w:tcPr>
          <w:p w14:paraId="402DB4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6</w:t>
            </w:r>
          </w:p>
        </w:tc>
      </w:tr>
      <w:tr w14:paraId="153C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13503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3</w:t>
            </w:r>
          </w:p>
        </w:tc>
        <w:tc>
          <w:tcPr>
            <w:tcW w:w="2315" w:type="dxa"/>
            <w:tcBorders>
              <w:top w:val="single" w:color="auto" w:sz="4" w:space="0"/>
              <w:left w:val="single" w:color="auto" w:sz="4" w:space="0"/>
              <w:bottom w:val="single" w:color="auto" w:sz="4" w:space="0"/>
              <w:right w:val="single" w:color="auto" w:sz="4" w:space="0"/>
            </w:tcBorders>
            <w:vAlign w:val="center"/>
          </w:tcPr>
          <w:p w14:paraId="098E50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砌体工程</w:t>
            </w:r>
          </w:p>
        </w:tc>
        <w:tc>
          <w:tcPr>
            <w:tcW w:w="2332" w:type="dxa"/>
            <w:tcBorders>
              <w:top w:val="single" w:color="auto" w:sz="4" w:space="0"/>
              <w:left w:val="single" w:color="auto" w:sz="4" w:space="0"/>
              <w:bottom w:val="single" w:color="auto" w:sz="4" w:space="0"/>
              <w:right w:val="single" w:color="auto" w:sz="4" w:space="0"/>
            </w:tcBorders>
            <w:vAlign w:val="center"/>
          </w:tcPr>
          <w:p w14:paraId="5C9FF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直接费</w:t>
            </w:r>
          </w:p>
        </w:tc>
        <w:tc>
          <w:tcPr>
            <w:tcW w:w="1850" w:type="dxa"/>
            <w:tcBorders>
              <w:top w:val="single" w:color="auto" w:sz="4" w:space="0"/>
              <w:left w:val="single" w:color="auto" w:sz="4" w:space="0"/>
              <w:bottom w:val="single" w:color="auto" w:sz="4" w:space="0"/>
              <w:right w:val="single" w:color="auto" w:sz="4" w:space="0"/>
            </w:tcBorders>
            <w:vAlign w:val="center"/>
          </w:tcPr>
          <w:p w14:paraId="750BF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r>
      <w:tr w14:paraId="3348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1984C1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4</w:t>
            </w:r>
          </w:p>
        </w:tc>
        <w:tc>
          <w:tcPr>
            <w:tcW w:w="2315" w:type="dxa"/>
            <w:tcBorders>
              <w:top w:val="single" w:color="auto" w:sz="4" w:space="0"/>
              <w:left w:val="single" w:color="auto" w:sz="4" w:space="0"/>
              <w:bottom w:val="single" w:color="auto" w:sz="4" w:space="0"/>
              <w:right w:val="single" w:color="auto" w:sz="4" w:space="0"/>
            </w:tcBorders>
            <w:vAlign w:val="center"/>
          </w:tcPr>
          <w:p w14:paraId="60B913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混凝土工程</w:t>
            </w:r>
          </w:p>
        </w:tc>
        <w:tc>
          <w:tcPr>
            <w:tcW w:w="2332" w:type="dxa"/>
            <w:tcBorders>
              <w:top w:val="single" w:color="auto" w:sz="4" w:space="0"/>
              <w:left w:val="single" w:color="auto" w:sz="4" w:space="0"/>
              <w:bottom w:val="single" w:color="auto" w:sz="4" w:space="0"/>
              <w:right w:val="single" w:color="auto" w:sz="4" w:space="0"/>
            </w:tcBorders>
            <w:vAlign w:val="center"/>
          </w:tcPr>
          <w:p w14:paraId="5EC66B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直接费</w:t>
            </w:r>
          </w:p>
        </w:tc>
        <w:tc>
          <w:tcPr>
            <w:tcW w:w="1850" w:type="dxa"/>
            <w:tcBorders>
              <w:top w:val="single" w:color="auto" w:sz="4" w:space="0"/>
              <w:left w:val="single" w:color="auto" w:sz="4" w:space="0"/>
              <w:bottom w:val="single" w:color="auto" w:sz="4" w:space="0"/>
              <w:right w:val="single" w:color="auto" w:sz="4" w:space="0"/>
            </w:tcBorders>
            <w:vAlign w:val="center"/>
          </w:tcPr>
          <w:p w14:paraId="48581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6</w:t>
            </w:r>
          </w:p>
        </w:tc>
      </w:tr>
      <w:tr w14:paraId="7040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2F34ED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c>
          <w:tcPr>
            <w:tcW w:w="2315" w:type="dxa"/>
            <w:tcBorders>
              <w:top w:val="single" w:color="auto" w:sz="4" w:space="0"/>
              <w:left w:val="single" w:color="auto" w:sz="4" w:space="0"/>
              <w:bottom w:val="single" w:color="auto" w:sz="4" w:space="0"/>
              <w:right w:val="single" w:color="auto" w:sz="4" w:space="0"/>
            </w:tcBorders>
            <w:vAlign w:val="center"/>
          </w:tcPr>
          <w:p w14:paraId="3BD13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植被工程</w:t>
            </w:r>
          </w:p>
        </w:tc>
        <w:tc>
          <w:tcPr>
            <w:tcW w:w="2332" w:type="dxa"/>
            <w:tcBorders>
              <w:top w:val="single" w:color="auto" w:sz="4" w:space="0"/>
              <w:left w:val="single" w:color="auto" w:sz="4" w:space="0"/>
              <w:bottom w:val="single" w:color="auto" w:sz="4" w:space="0"/>
              <w:right w:val="single" w:color="auto" w:sz="4" w:space="0"/>
            </w:tcBorders>
            <w:vAlign w:val="center"/>
          </w:tcPr>
          <w:p w14:paraId="6211EE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直接费</w:t>
            </w:r>
          </w:p>
        </w:tc>
        <w:tc>
          <w:tcPr>
            <w:tcW w:w="1850" w:type="dxa"/>
            <w:tcBorders>
              <w:top w:val="single" w:color="auto" w:sz="4" w:space="0"/>
              <w:left w:val="single" w:color="auto" w:sz="4" w:space="0"/>
              <w:bottom w:val="single" w:color="auto" w:sz="4" w:space="0"/>
              <w:right w:val="single" w:color="auto" w:sz="4" w:space="0"/>
            </w:tcBorders>
            <w:vAlign w:val="center"/>
          </w:tcPr>
          <w:p w14:paraId="59835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r>
      <w:tr w14:paraId="3E35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17EF45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6</w:t>
            </w:r>
          </w:p>
        </w:tc>
        <w:tc>
          <w:tcPr>
            <w:tcW w:w="2315" w:type="dxa"/>
            <w:tcBorders>
              <w:top w:val="single" w:color="auto" w:sz="4" w:space="0"/>
              <w:left w:val="single" w:color="auto" w:sz="4" w:space="0"/>
              <w:bottom w:val="single" w:color="auto" w:sz="4" w:space="0"/>
              <w:right w:val="single" w:color="auto" w:sz="4" w:space="0"/>
            </w:tcBorders>
            <w:vAlign w:val="center"/>
          </w:tcPr>
          <w:p w14:paraId="0FBD97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辅助工程</w:t>
            </w:r>
          </w:p>
        </w:tc>
        <w:tc>
          <w:tcPr>
            <w:tcW w:w="2332" w:type="dxa"/>
            <w:tcBorders>
              <w:top w:val="single" w:color="auto" w:sz="4" w:space="0"/>
              <w:left w:val="single" w:color="auto" w:sz="4" w:space="0"/>
              <w:bottom w:val="single" w:color="auto" w:sz="4" w:space="0"/>
              <w:right w:val="single" w:color="auto" w:sz="4" w:space="0"/>
            </w:tcBorders>
            <w:vAlign w:val="center"/>
          </w:tcPr>
          <w:p w14:paraId="0C5427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lang w:val="zh-CN"/>
              </w:rPr>
              <w:t>直接费</w:t>
            </w:r>
          </w:p>
        </w:tc>
        <w:tc>
          <w:tcPr>
            <w:tcW w:w="1850" w:type="dxa"/>
            <w:tcBorders>
              <w:top w:val="single" w:color="auto" w:sz="4" w:space="0"/>
              <w:left w:val="single" w:color="auto" w:sz="4" w:space="0"/>
              <w:bottom w:val="single" w:color="auto" w:sz="4" w:space="0"/>
              <w:right w:val="single" w:color="auto" w:sz="4" w:space="0"/>
            </w:tcBorders>
            <w:vAlign w:val="center"/>
          </w:tcPr>
          <w:p w14:paraId="13E546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r>
    </w:tbl>
    <w:p w14:paraId="58006F4E">
      <w:pPr>
        <w:wordWrap/>
        <w:spacing w:before="120" w:beforeLines="50"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c</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利润</w:t>
      </w:r>
    </w:p>
    <w:p w14:paraId="2A57E9E6">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依据《内蒙古自治区矿山地质环境治理工程预算定额标准》规定，利润按直接费与间接费之和的3%计取。</w:t>
      </w:r>
    </w:p>
    <w:p w14:paraId="482D98F5">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税金</w:t>
      </w:r>
    </w:p>
    <w:p w14:paraId="6736245B">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依据《内蒙古自治区矿山地质环境治理工程预算定额标准》，税金按直接费、间接费、利润之和的3.28%计取。</w:t>
      </w:r>
    </w:p>
    <w:p w14:paraId="7A34F451">
      <w:pPr>
        <w:wordWrap/>
        <w:spacing w:line="360" w:lineRule="auto"/>
        <w:ind w:firstLine="480" w:firstLineChars="200"/>
        <w:jc w:val="left"/>
        <w:rPr>
          <w:rFonts w:hint="default" w:ascii="Times New Roman" w:hAnsi="Times New Roman" w:eastAsia="宋体" w:cs="Times New Roman"/>
          <w:b w:val="0"/>
          <w:bCs/>
          <w:color w:val="auto"/>
          <w:sz w:val="24"/>
          <w:szCs w:val="24"/>
          <w:highlight w:val="none"/>
        </w:rPr>
      </w:pP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rPr>
        <w:t>其他费用</w:t>
      </w:r>
    </w:p>
    <w:p w14:paraId="246F9261">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其他费用包括前期工作费、工程监理费、竣工验收费、项目管理费。</w:t>
      </w:r>
    </w:p>
    <w:p w14:paraId="3177C5D1">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前期工作费</w:t>
      </w:r>
    </w:p>
    <w:p w14:paraId="2C54B163">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包括项目可研论证费、项目勘测与设计费、项目招标代理费。</w:t>
      </w:r>
    </w:p>
    <w:p w14:paraId="51894792">
      <w:pPr>
        <w:wordWrap/>
        <w:spacing w:before="120" w:beforeLines="50" w:line="360" w:lineRule="auto"/>
        <w:ind w:firstLine="48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4"/>
          <w:szCs w:val="24"/>
          <w:highlight w:val="none"/>
        </w:rPr>
        <w:t>项目可研论证费以工程施工费作为计费基数，采用分档定额计费方式计算，各区间按内插法确定。</w:t>
      </w:r>
    </w:p>
    <w:p w14:paraId="7C253CEE">
      <w:pPr>
        <w:keepNext w:val="0"/>
        <w:keepLines w:val="0"/>
        <w:pageBreakBefore w:val="0"/>
        <w:widowControl w:val="0"/>
        <w:kinsoku/>
        <w:wordWrap/>
        <w:overflowPunct/>
        <w:topLinePunct w:val="0"/>
        <w:autoSpaceDE/>
        <w:autoSpaceDN/>
        <w:bidi w:val="0"/>
        <w:adjustRightInd w:val="0"/>
        <w:snapToGrid w:val="0"/>
        <w:spacing w:before="120" w:beforeLines="50"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-3  项目可研论证费计费标准</w:t>
      </w:r>
    </w:p>
    <w:tbl>
      <w:tblPr>
        <w:tblStyle w:val="12"/>
        <w:tblW w:w="0" w:type="auto"/>
        <w:jc w:val="center"/>
        <w:tblLayout w:type="fixed"/>
        <w:tblCellMar>
          <w:top w:w="0" w:type="dxa"/>
          <w:left w:w="108" w:type="dxa"/>
          <w:bottom w:w="0" w:type="dxa"/>
          <w:right w:w="108" w:type="dxa"/>
        </w:tblCellMar>
      </w:tblPr>
      <w:tblGrid>
        <w:gridCol w:w="1336"/>
        <w:gridCol w:w="3644"/>
        <w:gridCol w:w="3410"/>
      </w:tblGrid>
      <w:tr w14:paraId="0E0E2605">
        <w:tblPrEx>
          <w:tblCellMar>
            <w:top w:w="0" w:type="dxa"/>
            <w:left w:w="108" w:type="dxa"/>
            <w:bottom w:w="0" w:type="dxa"/>
            <w:right w:w="108" w:type="dxa"/>
          </w:tblCellMar>
        </w:tblPrEx>
        <w:trPr>
          <w:trHeight w:val="397" w:hRule="atLeast"/>
          <w:jc w:val="center"/>
        </w:trPr>
        <w:tc>
          <w:tcPr>
            <w:tcW w:w="1336" w:type="dxa"/>
            <w:tcBorders>
              <w:top w:val="single" w:color="auto" w:sz="4" w:space="0"/>
              <w:left w:val="single" w:color="auto" w:sz="4" w:space="0"/>
              <w:bottom w:val="single" w:color="auto" w:sz="4" w:space="0"/>
              <w:right w:val="single" w:color="auto" w:sz="4" w:space="0"/>
            </w:tcBorders>
            <w:vAlign w:val="center"/>
          </w:tcPr>
          <w:p w14:paraId="0F1D99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3644" w:type="dxa"/>
            <w:tcBorders>
              <w:top w:val="single" w:color="auto" w:sz="4" w:space="0"/>
              <w:left w:val="single" w:color="auto" w:sz="4" w:space="0"/>
              <w:bottom w:val="single" w:color="auto" w:sz="4" w:space="0"/>
              <w:right w:val="single" w:color="auto" w:sz="4" w:space="0"/>
            </w:tcBorders>
            <w:vAlign w:val="center"/>
          </w:tcPr>
          <w:p w14:paraId="502A9E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计费基数（万元）</w:t>
            </w:r>
          </w:p>
        </w:tc>
        <w:tc>
          <w:tcPr>
            <w:tcW w:w="3410" w:type="dxa"/>
            <w:tcBorders>
              <w:top w:val="single" w:color="auto" w:sz="4" w:space="0"/>
              <w:left w:val="single" w:color="auto" w:sz="4" w:space="0"/>
              <w:bottom w:val="single" w:color="auto" w:sz="4" w:space="0"/>
              <w:right w:val="single" w:color="auto" w:sz="4" w:space="0"/>
            </w:tcBorders>
            <w:vAlign w:val="center"/>
          </w:tcPr>
          <w:p w14:paraId="0BC9C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项目可研论证费（万元）</w:t>
            </w:r>
          </w:p>
        </w:tc>
      </w:tr>
      <w:tr w14:paraId="2D2CA2F0">
        <w:tblPrEx>
          <w:tblCellMar>
            <w:top w:w="0" w:type="dxa"/>
            <w:left w:w="108" w:type="dxa"/>
            <w:bottom w:w="0" w:type="dxa"/>
            <w:right w:w="108" w:type="dxa"/>
          </w:tblCellMar>
        </w:tblPrEx>
        <w:trPr>
          <w:trHeight w:val="397" w:hRule="atLeast"/>
          <w:jc w:val="center"/>
        </w:trPr>
        <w:tc>
          <w:tcPr>
            <w:tcW w:w="1336" w:type="dxa"/>
            <w:tcBorders>
              <w:top w:val="nil"/>
              <w:left w:val="single" w:color="auto" w:sz="4" w:space="0"/>
              <w:bottom w:val="single" w:color="auto" w:sz="4" w:space="0"/>
              <w:right w:val="single" w:color="auto" w:sz="4" w:space="0"/>
            </w:tcBorders>
            <w:vAlign w:val="center"/>
          </w:tcPr>
          <w:p w14:paraId="5D0D3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644" w:type="dxa"/>
            <w:tcBorders>
              <w:top w:val="nil"/>
              <w:left w:val="nil"/>
              <w:bottom w:val="single" w:color="auto" w:sz="4" w:space="0"/>
              <w:right w:val="single" w:color="auto" w:sz="4" w:space="0"/>
            </w:tcBorders>
            <w:vAlign w:val="center"/>
          </w:tcPr>
          <w:p w14:paraId="1DD81B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3410" w:type="dxa"/>
            <w:tcBorders>
              <w:top w:val="nil"/>
              <w:left w:val="nil"/>
              <w:bottom w:val="single" w:color="auto" w:sz="4" w:space="0"/>
              <w:right w:val="single" w:color="auto" w:sz="4" w:space="0"/>
            </w:tcBorders>
            <w:vAlign w:val="center"/>
          </w:tcPr>
          <w:p w14:paraId="2F21CA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6297E8E0">
        <w:tblPrEx>
          <w:tblCellMar>
            <w:top w:w="0" w:type="dxa"/>
            <w:left w:w="108" w:type="dxa"/>
            <w:bottom w:w="0" w:type="dxa"/>
            <w:right w:w="108" w:type="dxa"/>
          </w:tblCellMar>
        </w:tblPrEx>
        <w:trPr>
          <w:trHeight w:val="397" w:hRule="atLeast"/>
          <w:jc w:val="center"/>
        </w:trPr>
        <w:tc>
          <w:tcPr>
            <w:tcW w:w="1336" w:type="dxa"/>
            <w:tcBorders>
              <w:top w:val="single" w:color="auto" w:sz="4" w:space="0"/>
              <w:left w:val="single" w:color="auto" w:sz="4" w:space="0"/>
              <w:bottom w:val="single" w:color="auto" w:sz="4" w:space="0"/>
              <w:right w:val="single" w:color="auto" w:sz="4" w:space="0"/>
            </w:tcBorders>
            <w:vAlign w:val="center"/>
          </w:tcPr>
          <w:p w14:paraId="0561F9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644" w:type="dxa"/>
            <w:tcBorders>
              <w:top w:val="single" w:color="auto" w:sz="4" w:space="0"/>
              <w:left w:val="nil"/>
              <w:bottom w:val="single" w:color="auto" w:sz="4" w:space="0"/>
              <w:right w:val="single" w:color="auto" w:sz="4" w:space="0"/>
            </w:tcBorders>
            <w:vAlign w:val="center"/>
          </w:tcPr>
          <w:p w14:paraId="740B21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3410" w:type="dxa"/>
            <w:tcBorders>
              <w:top w:val="single" w:color="auto" w:sz="4" w:space="0"/>
              <w:left w:val="nil"/>
              <w:bottom w:val="single" w:color="auto" w:sz="4" w:space="0"/>
              <w:right w:val="single" w:color="auto" w:sz="4" w:space="0"/>
            </w:tcBorders>
            <w:vAlign w:val="center"/>
          </w:tcPr>
          <w:p w14:paraId="4C49A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14:paraId="1AB574AC">
        <w:tblPrEx>
          <w:tblCellMar>
            <w:top w:w="0" w:type="dxa"/>
            <w:left w:w="108" w:type="dxa"/>
            <w:bottom w:w="0" w:type="dxa"/>
            <w:right w:w="108" w:type="dxa"/>
          </w:tblCellMar>
        </w:tblPrEx>
        <w:trPr>
          <w:trHeight w:val="397" w:hRule="atLeast"/>
          <w:jc w:val="center"/>
        </w:trPr>
        <w:tc>
          <w:tcPr>
            <w:tcW w:w="1336" w:type="dxa"/>
            <w:tcBorders>
              <w:top w:val="single" w:color="auto" w:sz="4" w:space="0"/>
              <w:left w:val="single" w:color="auto" w:sz="4" w:space="0"/>
              <w:bottom w:val="single" w:color="auto" w:sz="4" w:space="0"/>
              <w:right w:val="single" w:color="auto" w:sz="4" w:space="0"/>
            </w:tcBorders>
            <w:vAlign w:val="center"/>
          </w:tcPr>
          <w:p w14:paraId="2CAE1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644" w:type="dxa"/>
            <w:tcBorders>
              <w:top w:val="single" w:color="auto" w:sz="4" w:space="0"/>
              <w:left w:val="nil"/>
              <w:bottom w:val="single" w:color="auto" w:sz="4" w:space="0"/>
              <w:right w:val="single" w:color="auto" w:sz="4" w:space="0"/>
            </w:tcBorders>
            <w:vAlign w:val="center"/>
          </w:tcPr>
          <w:p w14:paraId="7CBBA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3410" w:type="dxa"/>
            <w:tcBorders>
              <w:top w:val="single" w:color="auto" w:sz="4" w:space="0"/>
              <w:left w:val="nil"/>
              <w:bottom w:val="single" w:color="auto" w:sz="4" w:space="0"/>
              <w:right w:val="single" w:color="auto" w:sz="4" w:space="0"/>
            </w:tcBorders>
            <w:vAlign w:val="center"/>
          </w:tcPr>
          <w:p w14:paraId="0B7643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r>
      <w:tr w14:paraId="5BFE0B50">
        <w:tblPrEx>
          <w:tblCellMar>
            <w:top w:w="0" w:type="dxa"/>
            <w:left w:w="108" w:type="dxa"/>
            <w:bottom w:w="0" w:type="dxa"/>
            <w:right w:w="108" w:type="dxa"/>
          </w:tblCellMar>
        </w:tblPrEx>
        <w:trPr>
          <w:trHeight w:val="397" w:hRule="atLeast"/>
          <w:jc w:val="center"/>
        </w:trPr>
        <w:tc>
          <w:tcPr>
            <w:tcW w:w="1336" w:type="dxa"/>
            <w:tcBorders>
              <w:top w:val="single" w:color="auto" w:sz="4" w:space="0"/>
              <w:left w:val="single" w:color="auto" w:sz="4" w:space="0"/>
              <w:bottom w:val="single" w:color="auto" w:sz="4" w:space="0"/>
              <w:right w:val="single" w:color="auto" w:sz="4" w:space="0"/>
            </w:tcBorders>
            <w:vAlign w:val="center"/>
          </w:tcPr>
          <w:p w14:paraId="69280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644" w:type="dxa"/>
            <w:tcBorders>
              <w:top w:val="single" w:color="auto" w:sz="4" w:space="0"/>
              <w:left w:val="nil"/>
              <w:bottom w:val="single" w:color="auto" w:sz="4" w:space="0"/>
              <w:right w:val="single" w:color="auto" w:sz="4" w:space="0"/>
            </w:tcBorders>
            <w:vAlign w:val="center"/>
          </w:tcPr>
          <w:p w14:paraId="2FA48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3410" w:type="dxa"/>
            <w:tcBorders>
              <w:top w:val="single" w:color="auto" w:sz="4" w:space="0"/>
              <w:left w:val="nil"/>
              <w:bottom w:val="single" w:color="auto" w:sz="4" w:space="0"/>
              <w:right w:val="single" w:color="auto" w:sz="4" w:space="0"/>
            </w:tcBorders>
            <w:vAlign w:val="center"/>
          </w:tcPr>
          <w:p w14:paraId="363D2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r>
      <w:tr w14:paraId="682E96FB">
        <w:tblPrEx>
          <w:tblCellMar>
            <w:top w:w="0" w:type="dxa"/>
            <w:left w:w="108" w:type="dxa"/>
            <w:bottom w:w="0" w:type="dxa"/>
            <w:right w:w="108" w:type="dxa"/>
          </w:tblCellMar>
        </w:tblPrEx>
        <w:trPr>
          <w:trHeight w:val="397" w:hRule="atLeast"/>
          <w:jc w:val="center"/>
        </w:trPr>
        <w:tc>
          <w:tcPr>
            <w:tcW w:w="1336" w:type="dxa"/>
            <w:tcBorders>
              <w:top w:val="single" w:color="auto" w:sz="4" w:space="0"/>
              <w:left w:val="single" w:color="auto" w:sz="4" w:space="0"/>
              <w:bottom w:val="single" w:color="auto" w:sz="4" w:space="0"/>
              <w:right w:val="single" w:color="auto" w:sz="4" w:space="0"/>
            </w:tcBorders>
            <w:vAlign w:val="center"/>
          </w:tcPr>
          <w:p w14:paraId="62E097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644" w:type="dxa"/>
            <w:tcBorders>
              <w:top w:val="single" w:color="auto" w:sz="4" w:space="0"/>
              <w:left w:val="nil"/>
              <w:bottom w:val="single" w:color="auto" w:sz="4" w:space="0"/>
              <w:right w:val="single" w:color="auto" w:sz="4" w:space="0"/>
            </w:tcBorders>
            <w:vAlign w:val="center"/>
          </w:tcPr>
          <w:p w14:paraId="49FF56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3410" w:type="dxa"/>
            <w:tcBorders>
              <w:top w:val="single" w:color="auto" w:sz="4" w:space="0"/>
              <w:left w:val="nil"/>
              <w:bottom w:val="single" w:color="auto" w:sz="4" w:space="0"/>
              <w:right w:val="single" w:color="auto" w:sz="4" w:space="0"/>
            </w:tcBorders>
            <w:vAlign w:val="center"/>
          </w:tcPr>
          <w:p w14:paraId="20C54C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14:paraId="56492616">
        <w:tblPrEx>
          <w:tblCellMar>
            <w:top w:w="0" w:type="dxa"/>
            <w:left w:w="108" w:type="dxa"/>
            <w:bottom w:w="0" w:type="dxa"/>
            <w:right w:w="108" w:type="dxa"/>
          </w:tblCellMar>
        </w:tblPrEx>
        <w:trPr>
          <w:trHeight w:val="397" w:hRule="atLeast"/>
          <w:jc w:val="center"/>
        </w:trPr>
        <w:tc>
          <w:tcPr>
            <w:tcW w:w="1336" w:type="dxa"/>
            <w:tcBorders>
              <w:top w:val="single" w:color="auto" w:sz="4" w:space="0"/>
              <w:left w:val="single" w:color="auto" w:sz="4" w:space="0"/>
              <w:bottom w:val="single" w:color="auto" w:sz="4" w:space="0"/>
              <w:right w:val="single" w:color="auto" w:sz="4" w:space="0"/>
            </w:tcBorders>
            <w:vAlign w:val="center"/>
          </w:tcPr>
          <w:p w14:paraId="6B150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644" w:type="dxa"/>
            <w:tcBorders>
              <w:top w:val="single" w:color="auto" w:sz="4" w:space="0"/>
              <w:left w:val="nil"/>
              <w:bottom w:val="single" w:color="auto" w:sz="4" w:space="0"/>
              <w:right w:val="single" w:color="auto" w:sz="4" w:space="0"/>
            </w:tcBorders>
            <w:vAlign w:val="center"/>
          </w:tcPr>
          <w:p w14:paraId="4D70C3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3410" w:type="dxa"/>
            <w:tcBorders>
              <w:top w:val="single" w:color="auto" w:sz="4" w:space="0"/>
              <w:left w:val="nil"/>
              <w:bottom w:val="single" w:color="auto" w:sz="4" w:space="0"/>
              <w:right w:val="single" w:color="auto" w:sz="4" w:space="0"/>
            </w:tcBorders>
            <w:vAlign w:val="center"/>
          </w:tcPr>
          <w:p w14:paraId="51E2FB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r>
    </w:tbl>
    <w:p w14:paraId="296355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注：计费基数大于1亿元时，按计费基数的0.25%计取。</w:t>
      </w:r>
    </w:p>
    <w:p w14:paraId="0E97B525">
      <w:pPr>
        <w:wordWrap/>
        <w:spacing w:before="120" w:beforeLines="5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项目勘测与设计费以工程施工费作为计费基数，采用分档定额计费方式计算，各区间按内插法确定。其中勘测费可按不超过工程施工费的1.5%单独计算，剩余部分可计为项目设计与预算编制费。</w:t>
      </w:r>
    </w:p>
    <w:p w14:paraId="56564931">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right="-518" w:rightChars="-216"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6-4</w:t>
      </w:r>
      <w:r>
        <w:rPr>
          <w:rFonts w:hint="default" w:ascii="Times New Roman" w:hAnsi="Times New Roman" w:eastAsia="宋体" w:cs="Times New Roman"/>
          <w:b/>
          <w:color w:val="auto"/>
          <w:sz w:val="21"/>
          <w:szCs w:val="21"/>
          <w:highlight w:val="none"/>
        </w:rPr>
        <w:t xml:space="preserve">  项目勘测与设计计费标准</w:t>
      </w:r>
    </w:p>
    <w:tbl>
      <w:tblPr>
        <w:tblStyle w:val="12"/>
        <w:tblW w:w="0" w:type="auto"/>
        <w:jc w:val="center"/>
        <w:tblLayout w:type="fixed"/>
        <w:tblCellMar>
          <w:top w:w="0" w:type="dxa"/>
          <w:left w:w="108" w:type="dxa"/>
          <w:bottom w:w="0" w:type="dxa"/>
          <w:right w:w="108" w:type="dxa"/>
        </w:tblCellMar>
      </w:tblPr>
      <w:tblGrid>
        <w:gridCol w:w="1367"/>
        <w:gridCol w:w="4236"/>
        <w:gridCol w:w="2981"/>
      </w:tblGrid>
      <w:tr w14:paraId="2D801CFA">
        <w:tblPrEx>
          <w:tblCellMar>
            <w:top w:w="0" w:type="dxa"/>
            <w:left w:w="108" w:type="dxa"/>
            <w:bottom w:w="0" w:type="dxa"/>
            <w:right w:w="108" w:type="dxa"/>
          </w:tblCellMar>
        </w:tblPrEx>
        <w:trPr>
          <w:trHeight w:val="397"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25C589E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236" w:type="dxa"/>
            <w:tcBorders>
              <w:top w:val="single" w:color="auto" w:sz="4" w:space="0"/>
              <w:left w:val="single" w:color="auto" w:sz="4" w:space="0"/>
              <w:bottom w:val="single" w:color="auto" w:sz="4" w:space="0"/>
              <w:right w:val="single" w:color="auto" w:sz="4" w:space="0"/>
            </w:tcBorders>
            <w:vAlign w:val="center"/>
          </w:tcPr>
          <w:p w14:paraId="4420B22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计费基数（万元）</w:t>
            </w:r>
          </w:p>
        </w:tc>
        <w:tc>
          <w:tcPr>
            <w:tcW w:w="2981" w:type="dxa"/>
            <w:tcBorders>
              <w:top w:val="single" w:color="auto" w:sz="4" w:space="0"/>
              <w:left w:val="single" w:color="auto" w:sz="4" w:space="0"/>
              <w:bottom w:val="single" w:color="auto" w:sz="4" w:space="0"/>
              <w:right w:val="single" w:color="auto" w:sz="4" w:space="0"/>
            </w:tcBorders>
            <w:vAlign w:val="center"/>
          </w:tcPr>
          <w:p w14:paraId="501EC54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项目勘测与设计计费（万元）</w:t>
            </w:r>
          </w:p>
        </w:tc>
      </w:tr>
      <w:tr w14:paraId="194CFD72">
        <w:tblPrEx>
          <w:tblCellMar>
            <w:top w:w="0" w:type="dxa"/>
            <w:left w:w="108" w:type="dxa"/>
            <w:bottom w:w="0" w:type="dxa"/>
            <w:right w:w="108" w:type="dxa"/>
          </w:tblCellMar>
        </w:tblPrEx>
        <w:trPr>
          <w:trHeight w:val="397" w:hRule="atLeast"/>
          <w:jc w:val="center"/>
        </w:trPr>
        <w:tc>
          <w:tcPr>
            <w:tcW w:w="1367" w:type="dxa"/>
            <w:tcBorders>
              <w:top w:val="nil"/>
              <w:left w:val="single" w:color="auto" w:sz="4" w:space="0"/>
              <w:bottom w:val="single" w:color="auto" w:sz="4" w:space="0"/>
              <w:right w:val="single" w:color="auto" w:sz="4" w:space="0"/>
            </w:tcBorders>
            <w:vAlign w:val="center"/>
          </w:tcPr>
          <w:p w14:paraId="1A2A7EE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236" w:type="dxa"/>
            <w:tcBorders>
              <w:top w:val="nil"/>
              <w:left w:val="nil"/>
              <w:bottom w:val="single" w:color="auto" w:sz="4" w:space="0"/>
              <w:right w:val="single" w:color="auto" w:sz="4" w:space="0"/>
            </w:tcBorders>
            <w:vAlign w:val="center"/>
          </w:tcPr>
          <w:p w14:paraId="107D28C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2981" w:type="dxa"/>
            <w:tcBorders>
              <w:top w:val="nil"/>
              <w:left w:val="nil"/>
              <w:bottom w:val="single" w:color="auto" w:sz="4" w:space="0"/>
              <w:right w:val="single" w:color="auto" w:sz="4" w:space="0"/>
            </w:tcBorders>
            <w:vAlign w:val="center"/>
          </w:tcPr>
          <w:p w14:paraId="4D1D48F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r>
      <w:tr w14:paraId="69F09B1D">
        <w:tblPrEx>
          <w:tblCellMar>
            <w:top w:w="0" w:type="dxa"/>
            <w:left w:w="108" w:type="dxa"/>
            <w:bottom w:w="0" w:type="dxa"/>
            <w:right w:w="108" w:type="dxa"/>
          </w:tblCellMar>
        </w:tblPrEx>
        <w:trPr>
          <w:trHeight w:val="397"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6CD0F1C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236" w:type="dxa"/>
            <w:tcBorders>
              <w:top w:val="single" w:color="auto" w:sz="4" w:space="0"/>
              <w:left w:val="nil"/>
              <w:bottom w:val="single" w:color="auto" w:sz="4" w:space="0"/>
              <w:right w:val="single" w:color="auto" w:sz="4" w:space="0"/>
            </w:tcBorders>
            <w:vAlign w:val="center"/>
          </w:tcPr>
          <w:p w14:paraId="0C86740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2981" w:type="dxa"/>
            <w:tcBorders>
              <w:top w:val="single" w:color="auto" w:sz="4" w:space="0"/>
              <w:left w:val="nil"/>
              <w:bottom w:val="single" w:color="auto" w:sz="4" w:space="0"/>
              <w:right w:val="single" w:color="auto" w:sz="4" w:space="0"/>
            </w:tcBorders>
            <w:vAlign w:val="center"/>
          </w:tcPr>
          <w:p w14:paraId="4D095EC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r w14:paraId="49DADCEF">
        <w:tblPrEx>
          <w:tblCellMar>
            <w:top w:w="0" w:type="dxa"/>
            <w:left w:w="108" w:type="dxa"/>
            <w:bottom w:w="0" w:type="dxa"/>
            <w:right w:w="108" w:type="dxa"/>
          </w:tblCellMar>
        </w:tblPrEx>
        <w:trPr>
          <w:trHeight w:val="397"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741D6F1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236" w:type="dxa"/>
            <w:tcBorders>
              <w:top w:val="single" w:color="auto" w:sz="4" w:space="0"/>
              <w:left w:val="nil"/>
              <w:bottom w:val="single" w:color="auto" w:sz="4" w:space="0"/>
              <w:right w:val="single" w:color="auto" w:sz="4" w:space="0"/>
            </w:tcBorders>
            <w:vAlign w:val="center"/>
          </w:tcPr>
          <w:p w14:paraId="30B4CD3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2981" w:type="dxa"/>
            <w:tcBorders>
              <w:top w:val="single" w:color="auto" w:sz="4" w:space="0"/>
              <w:left w:val="nil"/>
              <w:bottom w:val="single" w:color="auto" w:sz="4" w:space="0"/>
              <w:right w:val="single" w:color="auto" w:sz="4" w:space="0"/>
            </w:tcBorders>
            <w:vAlign w:val="center"/>
          </w:tcPr>
          <w:p w14:paraId="2FC5EBE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r>
      <w:tr w14:paraId="3C87C882">
        <w:tblPrEx>
          <w:tblCellMar>
            <w:top w:w="0" w:type="dxa"/>
            <w:left w:w="108" w:type="dxa"/>
            <w:bottom w:w="0" w:type="dxa"/>
            <w:right w:w="108" w:type="dxa"/>
          </w:tblCellMar>
        </w:tblPrEx>
        <w:trPr>
          <w:trHeight w:val="397"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18300DA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236" w:type="dxa"/>
            <w:tcBorders>
              <w:top w:val="single" w:color="auto" w:sz="4" w:space="0"/>
              <w:left w:val="nil"/>
              <w:bottom w:val="single" w:color="auto" w:sz="4" w:space="0"/>
              <w:right w:val="single" w:color="auto" w:sz="4" w:space="0"/>
            </w:tcBorders>
            <w:vAlign w:val="center"/>
          </w:tcPr>
          <w:p w14:paraId="12BB39D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2981" w:type="dxa"/>
            <w:tcBorders>
              <w:top w:val="single" w:color="auto" w:sz="4" w:space="0"/>
              <w:left w:val="nil"/>
              <w:bottom w:val="single" w:color="auto" w:sz="4" w:space="0"/>
              <w:right w:val="single" w:color="auto" w:sz="4" w:space="0"/>
            </w:tcBorders>
            <w:vAlign w:val="center"/>
          </w:tcPr>
          <w:p w14:paraId="6E5E988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p>
        </w:tc>
      </w:tr>
      <w:tr w14:paraId="63C152CC">
        <w:tblPrEx>
          <w:tblCellMar>
            <w:top w:w="0" w:type="dxa"/>
            <w:left w:w="108" w:type="dxa"/>
            <w:bottom w:w="0" w:type="dxa"/>
            <w:right w:w="108" w:type="dxa"/>
          </w:tblCellMar>
        </w:tblPrEx>
        <w:trPr>
          <w:trHeight w:val="397"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12F2EDB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236" w:type="dxa"/>
            <w:tcBorders>
              <w:top w:val="single" w:color="auto" w:sz="4" w:space="0"/>
              <w:left w:val="nil"/>
              <w:bottom w:val="single" w:color="auto" w:sz="4" w:space="0"/>
              <w:right w:val="single" w:color="auto" w:sz="4" w:space="0"/>
            </w:tcBorders>
            <w:vAlign w:val="center"/>
          </w:tcPr>
          <w:p w14:paraId="53D06FA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2981" w:type="dxa"/>
            <w:tcBorders>
              <w:top w:val="single" w:color="auto" w:sz="4" w:space="0"/>
              <w:left w:val="nil"/>
              <w:bottom w:val="single" w:color="auto" w:sz="4" w:space="0"/>
              <w:right w:val="single" w:color="auto" w:sz="4" w:space="0"/>
            </w:tcBorders>
            <w:vAlign w:val="center"/>
          </w:tcPr>
          <w:p w14:paraId="6D4EDD8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w:t>
            </w:r>
          </w:p>
        </w:tc>
      </w:tr>
      <w:tr w14:paraId="22783680">
        <w:tblPrEx>
          <w:tblCellMar>
            <w:top w:w="0" w:type="dxa"/>
            <w:left w:w="108" w:type="dxa"/>
            <w:bottom w:w="0" w:type="dxa"/>
            <w:right w:w="108" w:type="dxa"/>
          </w:tblCellMar>
        </w:tblPrEx>
        <w:trPr>
          <w:trHeight w:val="397"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514A6DB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236" w:type="dxa"/>
            <w:tcBorders>
              <w:top w:val="single" w:color="auto" w:sz="4" w:space="0"/>
              <w:left w:val="nil"/>
              <w:bottom w:val="single" w:color="auto" w:sz="4" w:space="0"/>
              <w:right w:val="single" w:color="auto" w:sz="4" w:space="0"/>
            </w:tcBorders>
            <w:vAlign w:val="center"/>
          </w:tcPr>
          <w:p w14:paraId="293E9B3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2981" w:type="dxa"/>
            <w:tcBorders>
              <w:top w:val="single" w:color="auto" w:sz="4" w:space="0"/>
              <w:left w:val="nil"/>
              <w:bottom w:val="single" w:color="auto" w:sz="4" w:space="0"/>
              <w:right w:val="single" w:color="auto" w:sz="4" w:space="0"/>
            </w:tcBorders>
            <w:vAlign w:val="center"/>
          </w:tcPr>
          <w:p w14:paraId="5E76008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w:t>
            </w:r>
          </w:p>
        </w:tc>
      </w:tr>
    </w:tbl>
    <w:p w14:paraId="0C7A4D6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1"/>
          <w:szCs w:val="21"/>
          <w:highlight w:val="none"/>
        </w:rPr>
        <w:t>注：计费基数大于1亿元时，按计费基数的2.70%计取。</w:t>
      </w:r>
    </w:p>
    <w:p w14:paraId="1B66424D">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项目招标代理费以工程施工费作为计费基数，采用差额定率累进法计算。</w:t>
      </w:r>
    </w:p>
    <w:p w14:paraId="45141043">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right="-518" w:rightChars="-216"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6-5</w:t>
      </w:r>
      <w:r>
        <w:rPr>
          <w:rFonts w:hint="default" w:ascii="Times New Roman" w:hAnsi="Times New Roman" w:eastAsia="宋体" w:cs="Times New Roman"/>
          <w:b/>
          <w:color w:val="auto"/>
          <w:sz w:val="21"/>
          <w:szCs w:val="21"/>
          <w:highlight w:val="none"/>
        </w:rPr>
        <w:t xml:space="preserve">  项目招标代理费计费标准</w:t>
      </w:r>
    </w:p>
    <w:tbl>
      <w:tblPr>
        <w:tblStyle w:val="12"/>
        <w:tblW w:w="8562" w:type="dxa"/>
        <w:jc w:val="center"/>
        <w:tblLayout w:type="fixed"/>
        <w:tblCellMar>
          <w:top w:w="0" w:type="dxa"/>
          <w:left w:w="108" w:type="dxa"/>
          <w:bottom w:w="0" w:type="dxa"/>
          <w:right w:w="108" w:type="dxa"/>
        </w:tblCellMar>
      </w:tblPr>
      <w:tblGrid>
        <w:gridCol w:w="675"/>
        <w:gridCol w:w="1512"/>
        <w:gridCol w:w="990"/>
        <w:gridCol w:w="1785"/>
        <w:gridCol w:w="3600"/>
      </w:tblGrid>
      <w:tr w14:paraId="307A9663">
        <w:tblPrEx>
          <w:tblCellMar>
            <w:top w:w="0" w:type="dxa"/>
            <w:left w:w="108" w:type="dxa"/>
            <w:bottom w:w="0" w:type="dxa"/>
            <w:right w:w="108" w:type="dxa"/>
          </w:tblCellMar>
        </w:tblPrEx>
        <w:trPr>
          <w:trHeight w:val="397" w:hRule="atLeast"/>
          <w:jc w:val="center"/>
        </w:trPr>
        <w:tc>
          <w:tcPr>
            <w:tcW w:w="675" w:type="dxa"/>
            <w:vMerge w:val="restart"/>
            <w:tcBorders>
              <w:top w:val="single" w:color="auto" w:sz="4" w:space="0"/>
              <w:left w:val="single" w:color="auto" w:sz="4" w:space="0"/>
              <w:right w:val="single" w:color="auto" w:sz="4" w:space="0"/>
            </w:tcBorders>
            <w:vAlign w:val="center"/>
          </w:tcPr>
          <w:p w14:paraId="5D8C580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12" w:type="dxa"/>
            <w:vMerge w:val="restart"/>
            <w:tcBorders>
              <w:top w:val="single" w:color="auto" w:sz="4" w:space="0"/>
              <w:left w:val="single" w:color="auto" w:sz="4" w:space="0"/>
              <w:right w:val="single" w:color="auto" w:sz="4" w:space="0"/>
            </w:tcBorders>
            <w:vAlign w:val="center"/>
          </w:tcPr>
          <w:p w14:paraId="3C0D441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w:t>
            </w:r>
          </w:p>
          <w:p w14:paraId="2CA0595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（万元）</w:t>
            </w:r>
          </w:p>
        </w:tc>
        <w:tc>
          <w:tcPr>
            <w:tcW w:w="990" w:type="dxa"/>
            <w:vMerge w:val="restart"/>
            <w:tcBorders>
              <w:top w:val="single" w:color="auto" w:sz="4" w:space="0"/>
              <w:left w:val="single" w:color="auto" w:sz="4" w:space="0"/>
              <w:right w:val="single" w:color="auto" w:sz="4" w:space="0"/>
            </w:tcBorders>
            <w:vAlign w:val="center"/>
          </w:tcPr>
          <w:p w14:paraId="42A71BE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费率</w:t>
            </w:r>
          </w:p>
          <w:p w14:paraId="7E73C98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85" w:type="dxa"/>
            <w:gridSpan w:val="2"/>
            <w:tcBorders>
              <w:top w:val="single" w:color="auto" w:sz="4" w:space="0"/>
              <w:left w:val="single" w:color="auto" w:sz="4" w:space="0"/>
              <w:bottom w:val="single" w:color="auto" w:sz="4" w:space="0"/>
              <w:right w:val="single" w:color="auto" w:sz="4" w:space="0"/>
            </w:tcBorders>
            <w:vAlign w:val="center"/>
          </w:tcPr>
          <w:p w14:paraId="353C0C0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算例</w:t>
            </w:r>
          </w:p>
        </w:tc>
      </w:tr>
      <w:tr w14:paraId="42AE2C30">
        <w:tblPrEx>
          <w:tblCellMar>
            <w:top w:w="0" w:type="dxa"/>
            <w:left w:w="108" w:type="dxa"/>
            <w:bottom w:w="0" w:type="dxa"/>
            <w:right w:w="108" w:type="dxa"/>
          </w:tblCellMar>
        </w:tblPrEx>
        <w:trPr>
          <w:trHeight w:val="397" w:hRule="atLeast"/>
          <w:jc w:val="center"/>
        </w:trPr>
        <w:tc>
          <w:tcPr>
            <w:tcW w:w="675" w:type="dxa"/>
            <w:vMerge w:val="continue"/>
            <w:tcBorders>
              <w:left w:val="single" w:color="auto" w:sz="4" w:space="0"/>
              <w:bottom w:val="single" w:color="auto" w:sz="4" w:space="0"/>
              <w:right w:val="single" w:color="auto" w:sz="4" w:space="0"/>
            </w:tcBorders>
            <w:vAlign w:val="center"/>
          </w:tcPr>
          <w:p w14:paraId="10E9DB4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12" w:type="dxa"/>
            <w:vMerge w:val="continue"/>
            <w:tcBorders>
              <w:left w:val="single" w:color="auto" w:sz="4" w:space="0"/>
              <w:bottom w:val="single" w:color="auto" w:sz="4" w:space="0"/>
              <w:right w:val="single" w:color="auto" w:sz="4" w:space="0"/>
            </w:tcBorders>
            <w:vAlign w:val="center"/>
          </w:tcPr>
          <w:p w14:paraId="53969BB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990" w:type="dxa"/>
            <w:vMerge w:val="continue"/>
            <w:tcBorders>
              <w:left w:val="single" w:color="auto" w:sz="4" w:space="0"/>
              <w:bottom w:val="single" w:color="auto" w:sz="4" w:space="0"/>
              <w:right w:val="single" w:color="auto" w:sz="4" w:space="0"/>
            </w:tcBorders>
            <w:vAlign w:val="center"/>
          </w:tcPr>
          <w:p w14:paraId="4ADE199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785" w:type="dxa"/>
            <w:tcBorders>
              <w:top w:val="single" w:color="auto" w:sz="4" w:space="0"/>
              <w:left w:val="single" w:color="auto" w:sz="4" w:space="0"/>
              <w:bottom w:val="single" w:color="auto" w:sz="4" w:space="0"/>
              <w:right w:val="single" w:color="auto" w:sz="4" w:space="0"/>
            </w:tcBorders>
            <w:vAlign w:val="center"/>
          </w:tcPr>
          <w:p w14:paraId="000990C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计费基础（万元）</w:t>
            </w:r>
          </w:p>
        </w:tc>
        <w:tc>
          <w:tcPr>
            <w:tcW w:w="3600" w:type="dxa"/>
            <w:tcBorders>
              <w:top w:val="single" w:color="auto" w:sz="4" w:space="0"/>
              <w:left w:val="single" w:color="auto" w:sz="4" w:space="0"/>
              <w:bottom w:val="single" w:color="auto" w:sz="4" w:space="0"/>
              <w:right w:val="single" w:color="auto" w:sz="4" w:space="0"/>
            </w:tcBorders>
            <w:vAlign w:val="center"/>
          </w:tcPr>
          <w:p w14:paraId="73EE805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项目招标代理费（万元）</w:t>
            </w:r>
          </w:p>
        </w:tc>
      </w:tr>
      <w:tr w14:paraId="30DD01C3">
        <w:tblPrEx>
          <w:tblCellMar>
            <w:top w:w="0" w:type="dxa"/>
            <w:left w:w="108" w:type="dxa"/>
            <w:bottom w:w="0" w:type="dxa"/>
            <w:right w:w="108" w:type="dxa"/>
          </w:tblCellMar>
        </w:tblPrEx>
        <w:trPr>
          <w:trHeight w:val="397" w:hRule="atLeast"/>
          <w:jc w:val="center"/>
        </w:trPr>
        <w:tc>
          <w:tcPr>
            <w:tcW w:w="675" w:type="dxa"/>
            <w:tcBorders>
              <w:top w:val="nil"/>
              <w:left w:val="single" w:color="auto" w:sz="4" w:space="0"/>
              <w:bottom w:val="single" w:color="auto" w:sz="4" w:space="0"/>
              <w:right w:val="single" w:color="auto" w:sz="4" w:space="0"/>
            </w:tcBorders>
            <w:vAlign w:val="center"/>
          </w:tcPr>
          <w:p w14:paraId="189885F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12" w:type="dxa"/>
            <w:tcBorders>
              <w:top w:val="nil"/>
              <w:left w:val="nil"/>
              <w:bottom w:val="single" w:color="auto" w:sz="4" w:space="0"/>
              <w:right w:val="single" w:color="auto" w:sz="4" w:space="0"/>
            </w:tcBorders>
            <w:vAlign w:val="center"/>
          </w:tcPr>
          <w:p w14:paraId="49CAEF3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990" w:type="dxa"/>
            <w:tcBorders>
              <w:top w:val="nil"/>
              <w:left w:val="nil"/>
              <w:bottom w:val="single" w:color="auto" w:sz="4" w:space="0"/>
              <w:right w:val="single" w:color="auto" w:sz="4" w:space="0"/>
            </w:tcBorders>
            <w:vAlign w:val="center"/>
          </w:tcPr>
          <w:p w14:paraId="67A9BFD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1785" w:type="dxa"/>
            <w:tcBorders>
              <w:top w:val="nil"/>
              <w:left w:val="nil"/>
              <w:bottom w:val="single" w:color="auto" w:sz="4" w:space="0"/>
              <w:right w:val="single" w:color="auto" w:sz="4" w:space="0"/>
            </w:tcBorders>
            <w:vAlign w:val="center"/>
          </w:tcPr>
          <w:p w14:paraId="129CE12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3600" w:type="dxa"/>
            <w:tcBorders>
              <w:top w:val="nil"/>
              <w:left w:val="nil"/>
              <w:bottom w:val="single" w:color="auto" w:sz="4" w:space="0"/>
              <w:right w:val="single" w:color="auto" w:sz="4" w:space="0"/>
            </w:tcBorders>
            <w:vAlign w:val="center"/>
          </w:tcPr>
          <w:p w14:paraId="264CD2B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500×0.5%=2.5</w:t>
            </w:r>
          </w:p>
        </w:tc>
      </w:tr>
      <w:tr w14:paraId="39C35AFC">
        <w:tblPrEx>
          <w:tblCellMar>
            <w:top w:w="0" w:type="dxa"/>
            <w:left w:w="108" w:type="dxa"/>
            <w:bottom w:w="0" w:type="dxa"/>
            <w:right w:w="108" w:type="dxa"/>
          </w:tblCellMar>
        </w:tblPrEx>
        <w:trPr>
          <w:trHeight w:val="397" w:hRule="atLeast"/>
          <w:jc w:val="center"/>
        </w:trPr>
        <w:tc>
          <w:tcPr>
            <w:tcW w:w="675" w:type="dxa"/>
            <w:tcBorders>
              <w:top w:val="nil"/>
              <w:left w:val="single" w:color="auto" w:sz="4" w:space="0"/>
              <w:bottom w:val="single" w:color="auto" w:sz="4" w:space="0"/>
              <w:right w:val="single" w:color="auto" w:sz="4" w:space="0"/>
            </w:tcBorders>
            <w:vAlign w:val="center"/>
          </w:tcPr>
          <w:p w14:paraId="1198C1C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12" w:type="dxa"/>
            <w:tcBorders>
              <w:top w:val="nil"/>
              <w:left w:val="nil"/>
              <w:bottom w:val="single" w:color="auto" w:sz="4" w:space="0"/>
              <w:right w:val="single" w:color="auto" w:sz="4" w:space="0"/>
            </w:tcBorders>
            <w:vAlign w:val="center"/>
          </w:tcPr>
          <w:p w14:paraId="7E11E94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500-1000</w:t>
            </w:r>
          </w:p>
        </w:tc>
        <w:tc>
          <w:tcPr>
            <w:tcW w:w="990" w:type="dxa"/>
            <w:tcBorders>
              <w:top w:val="nil"/>
              <w:left w:val="nil"/>
              <w:bottom w:val="single" w:color="auto" w:sz="4" w:space="0"/>
              <w:right w:val="single" w:color="auto" w:sz="4" w:space="0"/>
            </w:tcBorders>
            <w:vAlign w:val="center"/>
          </w:tcPr>
          <w:p w14:paraId="45BD628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785" w:type="dxa"/>
            <w:tcBorders>
              <w:top w:val="nil"/>
              <w:left w:val="nil"/>
              <w:bottom w:val="single" w:color="auto" w:sz="4" w:space="0"/>
              <w:right w:val="single" w:color="auto" w:sz="4" w:space="0"/>
            </w:tcBorders>
            <w:vAlign w:val="center"/>
          </w:tcPr>
          <w:p w14:paraId="3C320C0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3600" w:type="dxa"/>
            <w:tcBorders>
              <w:top w:val="nil"/>
              <w:left w:val="nil"/>
              <w:bottom w:val="single" w:color="auto" w:sz="4" w:space="0"/>
              <w:right w:val="single" w:color="auto" w:sz="4" w:space="0"/>
            </w:tcBorders>
            <w:vAlign w:val="center"/>
          </w:tcPr>
          <w:p w14:paraId="3C9681C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2.5+（1000-500）×0.4%=4.5</w:t>
            </w:r>
          </w:p>
        </w:tc>
      </w:tr>
      <w:tr w14:paraId="61638818">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0705F6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12" w:type="dxa"/>
            <w:tcBorders>
              <w:top w:val="single" w:color="auto" w:sz="4" w:space="0"/>
              <w:left w:val="nil"/>
              <w:bottom w:val="single" w:color="auto" w:sz="4" w:space="0"/>
              <w:right w:val="single" w:color="auto" w:sz="4" w:space="0"/>
            </w:tcBorders>
            <w:vAlign w:val="center"/>
          </w:tcPr>
          <w:p w14:paraId="7A62023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1000-3000</w:t>
            </w:r>
          </w:p>
        </w:tc>
        <w:tc>
          <w:tcPr>
            <w:tcW w:w="990" w:type="dxa"/>
            <w:tcBorders>
              <w:top w:val="single" w:color="auto" w:sz="4" w:space="0"/>
              <w:left w:val="nil"/>
              <w:bottom w:val="single" w:color="auto" w:sz="4" w:space="0"/>
              <w:right w:val="single" w:color="auto" w:sz="4" w:space="0"/>
            </w:tcBorders>
            <w:vAlign w:val="center"/>
          </w:tcPr>
          <w:p w14:paraId="556D85F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785" w:type="dxa"/>
            <w:tcBorders>
              <w:top w:val="single" w:color="auto" w:sz="4" w:space="0"/>
              <w:left w:val="nil"/>
              <w:bottom w:val="single" w:color="auto" w:sz="4" w:space="0"/>
              <w:right w:val="single" w:color="auto" w:sz="4" w:space="0"/>
            </w:tcBorders>
            <w:vAlign w:val="center"/>
          </w:tcPr>
          <w:p w14:paraId="2CFA27E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3600" w:type="dxa"/>
            <w:tcBorders>
              <w:top w:val="single" w:color="auto" w:sz="4" w:space="0"/>
              <w:left w:val="nil"/>
              <w:bottom w:val="single" w:color="auto" w:sz="4" w:space="0"/>
              <w:right w:val="single" w:color="auto" w:sz="4" w:space="0"/>
            </w:tcBorders>
            <w:vAlign w:val="center"/>
          </w:tcPr>
          <w:p w14:paraId="4C23F4C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4.5+（3000-1000）×0.3%=10.5</w:t>
            </w:r>
          </w:p>
        </w:tc>
      </w:tr>
      <w:tr w14:paraId="697177C9">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E968AF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12" w:type="dxa"/>
            <w:tcBorders>
              <w:top w:val="single" w:color="auto" w:sz="4" w:space="0"/>
              <w:left w:val="nil"/>
              <w:bottom w:val="single" w:color="auto" w:sz="4" w:space="0"/>
              <w:right w:val="single" w:color="auto" w:sz="4" w:space="0"/>
            </w:tcBorders>
            <w:vAlign w:val="center"/>
          </w:tcPr>
          <w:p w14:paraId="201BCD5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3000-5000</w:t>
            </w:r>
          </w:p>
        </w:tc>
        <w:tc>
          <w:tcPr>
            <w:tcW w:w="990" w:type="dxa"/>
            <w:tcBorders>
              <w:top w:val="single" w:color="auto" w:sz="4" w:space="0"/>
              <w:left w:val="nil"/>
              <w:bottom w:val="single" w:color="auto" w:sz="4" w:space="0"/>
              <w:right w:val="single" w:color="auto" w:sz="4" w:space="0"/>
            </w:tcBorders>
            <w:vAlign w:val="center"/>
          </w:tcPr>
          <w:p w14:paraId="78E1A30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1785" w:type="dxa"/>
            <w:tcBorders>
              <w:top w:val="single" w:color="auto" w:sz="4" w:space="0"/>
              <w:left w:val="nil"/>
              <w:bottom w:val="single" w:color="auto" w:sz="4" w:space="0"/>
              <w:right w:val="single" w:color="auto" w:sz="4" w:space="0"/>
            </w:tcBorders>
            <w:vAlign w:val="center"/>
          </w:tcPr>
          <w:p w14:paraId="62867A8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3600" w:type="dxa"/>
            <w:tcBorders>
              <w:top w:val="single" w:color="auto" w:sz="4" w:space="0"/>
              <w:left w:val="nil"/>
              <w:bottom w:val="single" w:color="auto" w:sz="4" w:space="0"/>
              <w:right w:val="single" w:color="auto" w:sz="4" w:space="0"/>
            </w:tcBorders>
            <w:vAlign w:val="center"/>
          </w:tcPr>
          <w:p w14:paraId="7E26DEC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10.5+（5000-3000）×0.2%=13.5</w:t>
            </w:r>
          </w:p>
        </w:tc>
      </w:tr>
      <w:tr w14:paraId="0F6253F4">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7CCC2B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12" w:type="dxa"/>
            <w:tcBorders>
              <w:top w:val="single" w:color="auto" w:sz="4" w:space="0"/>
              <w:left w:val="nil"/>
              <w:bottom w:val="single" w:color="auto" w:sz="4" w:space="0"/>
              <w:right w:val="single" w:color="auto" w:sz="4" w:space="0"/>
            </w:tcBorders>
            <w:vAlign w:val="center"/>
          </w:tcPr>
          <w:p w14:paraId="3718CC5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5000-10000</w:t>
            </w:r>
          </w:p>
        </w:tc>
        <w:tc>
          <w:tcPr>
            <w:tcW w:w="990" w:type="dxa"/>
            <w:tcBorders>
              <w:top w:val="single" w:color="auto" w:sz="4" w:space="0"/>
              <w:left w:val="nil"/>
              <w:bottom w:val="single" w:color="auto" w:sz="4" w:space="0"/>
              <w:right w:val="single" w:color="auto" w:sz="4" w:space="0"/>
            </w:tcBorders>
            <w:vAlign w:val="center"/>
          </w:tcPr>
          <w:p w14:paraId="36F8BB4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785" w:type="dxa"/>
            <w:tcBorders>
              <w:top w:val="single" w:color="auto" w:sz="4" w:space="0"/>
              <w:left w:val="nil"/>
              <w:bottom w:val="single" w:color="auto" w:sz="4" w:space="0"/>
              <w:right w:val="single" w:color="auto" w:sz="4" w:space="0"/>
            </w:tcBorders>
            <w:vAlign w:val="center"/>
          </w:tcPr>
          <w:p w14:paraId="6DD44CF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3600" w:type="dxa"/>
            <w:tcBorders>
              <w:top w:val="single" w:color="auto" w:sz="4" w:space="0"/>
              <w:left w:val="nil"/>
              <w:bottom w:val="single" w:color="auto" w:sz="4" w:space="0"/>
              <w:right w:val="single" w:color="auto" w:sz="4" w:space="0"/>
            </w:tcBorders>
            <w:vAlign w:val="center"/>
          </w:tcPr>
          <w:p w14:paraId="6AAFB9D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13.5+（10000-5000）×0.1%=18.5</w:t>
            </w:r>
          </w:p>
        </w:tc>
      </w:tr>
      <w:tr w14:paraId="3814BD42">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1A97933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12" w:type="dxa"/>
            <w:tcBorders>
              <w:top w:val="single" w:color="auto" w:sz="4" w:space="0"/>
              <w:left w:val="nil"/>
              <w:bottom w:val="single" w:color="auto" w:sz="4" w:space="0"/>
              <w:right w:val="single" w:color="auto" w:sz="4" w:space="0"/>
            </w:tcBorders>
            <w:vAlign w:val="center"/>
          </w:tcPr>
          <w:p w14:paraId="41BD29D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10000以上</w:t>
            </w:r>
          </w:p>
        </w:tc>
        <w:tc>
          <w:tcPr>
            <w:tcW w:w="990" w:type="dxa"/>
            <w:tcBorders>
              <w:top w:val="single" w:color="auto" w:sz="4" w:space="0"/>
              <w:left w:val="nil"/>
              <w:bottom w:val="single" w:color="auto" w:sz="4" w:space="0"/>
              <w:right w:val="single" w:color="auto" w:sz="4" w:space="0"/>
            </w:tcBorders>
            <w:vAlign w:val="center"/>
          </w:tcPr>
          <w:p w14:paraId="05C0EB9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1785" w:type="dxa"/>
            <w:tcBorders>
              <w:top w:val="single" w:color="auto" w:sz="4" w:space="0"/>
              <w:left w:val="nil"/>
              <w:bottom w:val="single" w:color="auto" w:sz="4" w:space="0"/>
              <w:right w:val="single" w:color="auto" w:sz="4" w:space="0"/>
            </w:tcBorders>
            <w:vAlign w:val="center"/>
          </w:tcPr>
          <w:p w14:paraId="651A654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15000</w:t>
            </w:r>
          </w:p>
        </w:tc>
        <w:tc>
          <w:tcPr>
            <w:tcW w:w="3600" w:type="dxa"/>
            <w:tcBorders>
              <w:top w:val="single" w:color="auto" w:sz="4" w:space="0"/>
              <w:left w:val="nil"/>
              <w:bottom w:val="single" w:color="auto" w:sz="4" w:space="0"/>
              <w:right w:val="single" w:color="auto" w:sz="4" w:space="0"/>
            </w:tcBorders>
            <w:vAlign w:val="center"/>
          </w:tcPr>
          <w:p w14:paraId="7CACF52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18.5+（15000-10000）×0.05%=21</w:t>
            </w:r>
          </w:p>
        </w:tc>
      </w:tr>
    </w:tbl>
    <w:p w14:paraId="5F4AD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1"/>
          <w:szCs w:val="21"/>
          <w:highlight w:val="none"/>
        </w:rPr>
        <w:t>注：计费基数小于100万元时，按计费基数的1.0%计取。</w:t>
      </w:r>
    </w:p>
    <w:p w14:paraId="70AB9011">
      <w:pPr>
        <w:wordWrap/>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b</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工程监理费</w:t>
      </w:r>
    </w:p>
    <w:p w14:paraId="55231840">
      <w:pPr>
        <w:wordWrap/>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以工程施工费作为计费基数，采用分档定额计算方式计算，各区间按内插法确定。</w:t>
      </w:r>
    </w:p>
    <w:p w14:paraId="5DD93217">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right="-518" w:rightChars="-216"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6-6</w:t>
      </w:r>
      <w:r>
        <w:rPr>
          <w:rFonts w:hint="default" w:ascii="Times New Roman" w:hAnsi="Times New Roman" w:eastAsia="宋体" w:cs="Times New Roman"/>
          <w:b/>
          <w:color w:val="auto"/>
          <w:sz w:val="21"/>
          <w:szCs w:val="21"/>
          <w:highlight w:val="none"/>
        </w:rPr>
        <w:t xml:space="preserve"> 工程监理费计费标准</w:t>
      </w:r>
    </w:p>
    <w:tbl>
      <w:tblPr>
        <w:tblStyle w:val="12"/>
        <w:tblW w:w="0" w:type="auto"/>
        <w:jc w:val="center"/>
        <w:tblLayout w:type="fixed"/>
        <w:tblCellMar>
          <w:top w:w="0" w:type="dxa"/>
          <w:left w:w="108" w:type="dxa"/>
          <w:bottom w:w="0" w:type="dxa"/>
          <w:right w:w="108" w:type="dxa"/>
        </w:tblCellMar>
      </w:tblPr>
      <w:tblGrid>
        <w:gridCol w:w="1358"/>
        <w:gridCol w:w="4522"/>
        <w:gridCol w:w="2648"/>
      </w:tblGrid>
      <w:tr w14:paraId="13455FBE">
        <w:tblPrEx>
          <w:tblCellMar>
            <w:top w:w="0" w:type="dxa"/>
            <w:left w:w="108" w:type="dxa"/>
            <w:bottom w:w="0" w:type="dxa"/>
            <w:right w:w="108" w:type="dxa"/>
          </w:tblCellMar>
        </w:tblPrEx>
        <w:trPr>
          <w:trHeight w:val="397" w:hRule="atLeast"/>
          <w:jc w:val="center"/>
        </w:trPr>
        <w:tc>
          <w:tcPr>
            <w:tcW w:w="1358" w:type="dxa"/>
            <w:tcBorders>
              <w:top w:val="single" w:color="auto" w:sz="4" w:space="0"/>
              <w:left w:val="single" w:color="auto" w:sz="4" w:space="0"/>
              <w:bottom w:val="single" w:color="auto" w:sz="4" w:space="0"/>
              <w:right w:val="single" w:color="auto" w:sz="4" w:space="0"/>
            </w:tcBorders>
            <w:vAlign w:val="center"/>
          </w:tcPr>
          <w:p w14:paraId="2E04630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522" w:type="dxa"/>
            <w:tcBorders>
              <w:top w:val="single" w:color="auto" w:sz="4" w:space="0"/>
              <w:left w:val="single" w:color="auto" w:sz="4" w:space="0"/>
              <w:bottom w:val="single" w:color="auto" w:sz="4" w:space="0"/>
              <w:right w:val="single" w:color="auto" w:sz="4" w:space="0"/>
            </w:tcBorders>
            <w:vAlign w:val="center"/>
          </w:tcPr>
          <w:p w14:paraId="5194D38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计费基数（万元）</w:t>
            </w:r>
          </w:p>
        </w:tc>
        <w:tc>
          <w:tcPr>
            <w:tcW w:w="2648" w:type="dxa"/>
            <w:tcBorders>
              <w:top w:val="single" w:color="auto" w:sz="4" w:space="0"/>
              <w:left w:val="single" w:color="auto" w:sz="4" w:space="0"/>
              <w:bottom w:val="single" w:color="auto" w:sz="4" w:space="0"/>
              <w:right w:val="single" w:color="auto" w:sz="4" w:space="0"/>
            </w:tcBorders>
            <w:vAlign w:val="center"/>
          </w:tcPr>
          <w:p w14:paraId="679EC4F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工程监理费（万元）</w:t>
            </w:r>
          </w:p>
        </w:tc>
      </w:tr>
      <w:tr w14:paraId="1CA9AEC4">
        <w:tblPrEx>
          <w:tblCellMar>
            <w:top w:w="0" w:type="dxa"/>
            <w:left w:w="108" w:type="dxa"/>
            <w:bottom w:w="0" w:type="dxa"/>
            <w:right w:w="108" w:type="dxa"/>
          </w:tblCellMar>
        </w:tblPrEx>
        <w:trPr>
          <w:trHeight w:val="397" w:hRule="atLeast"/>
          <w:jc w:val="center"/>
        </w:trPr>
        <w:tc>
          <w:tcPr>
            <w:tcW w:w="1358" w:type="dxa"/>
            <w:tcBorders>
              <w:top w:val="nil"/>
              <w:left w:val="single" w:color="auto" w:sz="4" w:space="0"/>
              <w:bottom w:val="single" w:color="auto" w:sz="4" w:space="0"/>
              <w:right w:val="single" w:color="auto" w:sz="4" w:space="0"/>
            </w:tcBorders>
            <w:vAlign w:val="center"/>
          </w:tcPr>
          <w:p w14:paraId="0A312E4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522" w:type="dxa"/>
            <w:tcBorders>
              <w:top w:val="nil"/>
              <w:left w:val="nil"/>
              <w:bottom w:val="single" w:color="auto" w:sz="4" w:space="0"/>
              <w:right w:val="single" w:color="auto" w:sz="4" w:space="0"/>
            </w:tcBorders>
            <w:vAlign w:val="center"/>
          </w:tcPr>
          <w:p w14:paraId="47BA336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2648" w:type="dxa"/>
            <w:tcBorders>
              <w:top w:val="nil"/>
              <w:left w:val="nil"/>
              <w:bottom w:val="single" w:color="auto" w:sz="4" w:space="0"/>
              <w:right w:val="single" w:color="auto" w:sz="4" w:space="0"/>
            </w:tcBorders>
            <w:vAlign w:val="center"/>
          </w:tcPr>
          <w:p w14:paraId="7656963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14:paraId="7B04319E">
        <w:tblPrEx>
          <w:tblCellMar>
            <w:top w:w="0" w:type="dxa"/>
            <w:left w:w="108" w:type="dxa"/>
            <w:bottom w:w="0" w:type="dxa"/>
            <w:right w:w="108" w:type="dxa"/>
          </w:tblCellMar>
        </w:tblPrEx>
        <w:trPr>
          <w:trHeight w:val="397" w:hRule="atLeast"/>
          <w:jc w:val="center"/>
        </w:trPr>
        <w:tc>
          <w:tcPr>
            <w:tcW w:w="1358" w:type="dxa"/>
            <w:tcBorders>
              <w:top w:val="single" w:color="auto" w:sz="4" w:space="0"/>
              <w:left w:val="single" w:color="auto" w:sz="4" w:space="0"/>
              <w:bottom w:val="single" w:color="auto" w:sz="4" w:space="0"/>
              <w:right w:val="single" w:color="auto" w:sz="4" w:space="0"/>
            </w:tcBorders>
            <w:vAlign w:val="center"/>
          </w:tcPr>
          <w:p w14:paraId="71D0075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522" w:type="dxa"/>
            <w:tcBorders>
              <w:top w:val="single" w:color="auto" w:sz="4" w:space="0"/>
              <w:left w:val="nil"/>
              <w:bottom w:val="single" w:color="auto" w:sz="4" w:space="0"/>
              <w:right w:val="single" w:color="auto" w:sz="4" w:space="0"/>
            </w:tcBorders>
            <w:vAlign w:val="center"/>
          </w:tcPr>
          <w:p w14:paraId="66E1915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2648" w:type="dxa"/>
            <w:tcBorders>
              <w:top w:val="single" w:color="auto" w:sz="4" w:space="0"/>
              <w:left w:val="nil"/>
              <w:bottom w:val="single" w:color="auto" w:sz="4" w:space="0"/>
              <w:right w:val="single" w:color="auto" w:sz="4" w:space="0"/>
            </w:tcBorders>
            <w:vAlign w:val="center"/>
          </w:tcPr>
          <w:p w14:paraId="0FFFA21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5D31B9FC">
        <w:tblPrEx>
          <w:tblCellMar>
            <w:top w:w="0" w:type="dxa"/>
            <w:left w:w="108" w:type="dxa"/>
            <w:bottom w:w="0" w:type="dxa"/>
            <w:right w:w="108" w:type="dxa"/>
          </w:tblCellMar>
        </w:tblPrEx>
        <w:trPr>
          <w:trHeight w:val="397" w:hRule="atLeast"/>
          <w:jc w:val="center"/>
        </w:trPr>
        <w:tc>
          <w:tcPr>
            <w:tcW w:w="1358" w:type="dxa"/>
            <w:tcBorders>
              <w:top w:val="single" w:color="auto" w:sz="4" w:space="0"/>
              <w:left w:val="single" w:color="auto" w:sz="4" w:space="0"/>
              <w:bottom w:val="single" w:color="auto" w:sz="4" w:space="0"/>
              <w:right w:val="single" w:color="auto" w:sz="4" w:space="0"/>
            </w:tcBorders>
            <w:vAlign w:val="center"/>
          </w:tcPr>
          <w:p w14:paraId="4D461F7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522" w:type="dxa"/>
            <w:tcBorders>
              <w:top w:val="single" w:color="auto" w:sz="4" w:space="0"/>
              <w:left w:val="nil"/>
              <w:bottom w:val="single" w:color="auto" w:sz="4" w:space="0"/>
              <w:right w:val="single" w:color="auto" w:sz="4" w:space="0"/>
            </w:tcBorders>
            <w:vAlign w:val="center"/>
          </w:tcPr>
          <w:p w14:paraId="4B84598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2648" w:type="dxa"/>
            <w:tcBorders>
              <w:top w:val="single" w:color="auto" w:sz="4" w:space="0"/>
              <w:left w:val="nil"/>
              <w:bottom w:val="single" w:color="auto" w:sz="4" w:space="0"/>
              <w:right w:val="single" w:color="auto" w:sz="4" w:space="0"/>
            </w:tcBorders>
            <w:vAlign w:val="center"/>
          </w:tcPr>
          <w:p w14:paraId="6B0DD16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r>
      <w:tr w14:paraId="4F276336">
        <w:tblPrEx>
          <w:tblCellMar>
            <w:top w:w="0" w:type="dxa"/>
            <w:left w:w="108" w:type="dxa"/>
            <w:bottom w:w="0" w:type="dxa"/>
            <w:right w:w="108" w:type="dxa"/>
          </w:tblCellMar>
        </w:tblPrEx>
        <w:trPr>
          <w:trHeight w:val="397" w:hRule="atLeast"/>
          <w:jc w:val="center"/>
        </w:trPr>
        <w:tc>
          <w:tcPr>
            <w:tcW w:w="1358" w:type="dxa"/>
            <w:tcBorders>
              <w:top w:val="single" w:color="auto" w:sz="4" w:space="0"/>
              <w:left w:val="single" w:color="auto" w:sz="4" w:space="0"/>
              <w:bottom w:val="single" w:color="auto" w:sz="4" w:space="0"/>
              <w:right w:val="single" w:color="auto" w:sz="4" w:space="0"/>
            </w:tcBorders>
            <w:vAlign w:val="center"/>
          </w:tcPr>
          <w:p w14:paraId="5D2958D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522" w:type="dxa"/>
            <w:tcBorders>
              <w:top w:val="single" w:color="auto" w:sz="4" w:space="0"/>
              <w:left w:val="nil"/>
              <w:bottom w:val="single" w:color="auto" w:sz="4" w:space="0"/>
              <w:right w:val="single" w:color="auto" w:sz="4" w:space="0"/>
            </w:tcBorders>
            <w:vAlign w:val="center"/>
          </w:tcPr>
          <w:p w14:paraId="13F2064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2648" w:type="dxa"/>
            <w:tcBorders>
              <w:top w:val="single" w:color="auto" w:sz="4" w:space="0"/>
              <w:left w:val="nil"/>
              <w:bottom w:val="single" w:color="auto" w:sz="4" w:space="0"/>
              <w:right w:val="single" w:color="auto" w:sz="4" w:space="0"/>
            </w:tcBorders>
            <w:vAlign w:val="center"/>
          </w:tcPr>
          <w:p w14:paraId="0AC73BC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r>
      <w:tr w14:paraId="14F3504E">
        <w:tblPrEx>
          <w:tblCellMar>
            <w:top w:w="0" w:type="dxa"/>
            <w:left w:w="108" w:type="dxa"/>
            <w:bottom w:w="0" w:type="dxa"/>
            <w:right w:w="108" w:type="dxa"/>
          </w:tblCellMar>
        </w:tblPrEx>
        <w:trPr>
          <w:trHeight w:val="397" w:hRule="atLeast"/>
          <w:jc w:val="center"/>
        </w:trPr>
        <w:tc>
          <w:tcPr>
            <w:tcW w:w="1358" w:type="dxa"/>
            <w:tcBorders>
              <w:top w:val="single" w:color="auto" w:sz="4" w:space="0"/>
              <w:left w:val="single" w:color="auto" w:sz="4" w:space="0"/>
              <w:bottom w:val="single" w:color="auto" w:sz="4" w:space="0"/>
              <w:right w:val="single" w:color="auto" w:sz="4" w:space="0"/>
            </w:tcBorders>
            <w:vAlign w:val="center"/>
          </w:tcPr>
          <w:p w14:paraId="12F4F34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522" w:type="dxa"/>
            <w:tcBorders>
              <w:top w:val="single" w:color="auto" w:sz="4" w:space="0"/>
              <w:left w:val="nil"/>
              <w:bottom w:val="single" w:color="auto" w:sz="4" w:space="0"/>
              <w:right w:val="single" w:color="auto" w:sz="4" w:space="0"/>
            </w:tcBorders>
            <w:vAlign w:val="center"/>
          </w:tcPr>
          <w:p w14:paraId="1B97A6D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2648" w:type="dxa"/>
            <w:tcBorders>
              <w:top w:val="single" w:color="auto" w:sz="4" w:space="0"/>
              <w:left w:val="nil"/>
              <w:bottom w:val="single" w:color="auto" w:sz="4" w:space="0"/>
              <w:right w:val="single" w:color="auto" w:sz="4" w:space="0"/>
            </w:tcBorders>
            <w:vAlign w:val="center"/>
          </w:tcPr>
          <w:p w14:paraId="65A88E9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r>
      <w:tr w14:paraId="09F6779D">
        <w:tblPrEx>
          <w:tblCellMar>
            <w:top w:w="0" w:type="dxa"/>
            <w:left w:w="108" w:type="dxa"/>
            <w:bottom w:w="0" w:type="dxa"/>
            <w:right w:w="108" w:type="dxa"/>
          </w:tblCellMar>
        </w:tblPrEx>
        <w:trPr>
          <w:trHeight w:val="397" w:hRule="atLeast"/>
          <w:jc w:val="center"/>
        </w:trPr>
        <w:tc>
          <w:tcPr>
            <w:tcW w:w="1358" w:type="dxa"/>
            <w:tcBorders>
              <w:top w:val="single" w:color="auto" w:sz="4" w:space="0"/>
              <w:left w:val="single" w:color="auto" w:sz="4" w:space="0"/>
              <w:bottom w:val="single" w:color="auto" w:sz="4" w:space="0"/>
              <w:right w:val="single" w:color="auto" w:sz="4" w:space="0"/>
            </w:tcBorders>
            <w:vAlign w:val="center"/>
          </w:tcPr>
          <w:p w14:paraId="4EB2BF9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522" w:type="dxa"/>
            <w:tcBorders>
              <w:top w:val="single" w:color="auto" w:sz="4" w:space="0"/>
              <w:left w:val="nil"/>
              <w:bottom w:val="single" w:color="auto" w:sz="4" w:space="0"/>
              <w:right w:val="single" w:color="auto" w:sz="4" w:space="0"/>
            </w:tcBorders>
            <w:vAlign w:val="center"/>
          </w:tcPr>
          <w:p w14:paraId="504C386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2648" w:type="dxa"/>
            <w:tcBorders>
              <w:top w:val="single" w:color="auto" w:sz="4" w:space="0"/>
              <w:left w:val="nil"/>
              <w:bottom w:val="single" w:color="auto" w:sz="4" w:space="0"/>
              <w:right w:val="single" w:color="auto" w:sz="4" w:space="0"/>
            </w:tcBorders>
            <w:vAlign w:val="center"/>
          </w:tcPr>
          <w:p w14:paraId="32FCA9A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r>
    </w:tbl>
    <w:p w14:paraId="6116771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注：计费基数大于1亿元时，按计费基数的1.20%计取。</w:t>
      </w:r>
    </w:p>
    <w:p w14:paraId="01683C41">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c</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竣工验收费</w:t>
      </w:r>
    </w:p>
    <w:p w14:paraId="3B743AA8">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竣工验收费包括工程验收费、项目决算编制与审计费，工程验收费以工程施工费作为计费基数，采用差额定率累进法计算。</w:t>
      </w:r>
    </w:p>
    <w:p w14:paraId="78B40B03">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right="-518" w:rightChars="-216"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6-7</w:t>
      </w:r>
      <w:r>
        <w:rPr>
          <w:rFonts w:hint="default" w:ascii="Times New Roman" w:hAnsi="Times New Roman" w:eastAsia="宋体" w:cs="Times New Roman"/>
          <w:b/>
          <w:color w:val="auto"/>
          <w:sz w:val="21"/>
          <w:szCs w:val="21"/>
          <w:highlight w:val="none"/>
        </w:rPr>
        <w:t xml:space="preserve"> 工程验收费计费标准</w:t>
      </w:r>
    </w:p>
    <w:tbl>
      <w:tblPr>
        <w:tblStyle w:val="12"/>
        <w:tblW w:w="0" w:type="auto"/>
        <w:jc w:val="center"/>
        <w:tblLayout w:type="fixed"/>
        <w:tblCellMar>
          <w:top w:w="0" w:type="dxa"/>
          <w:left w:w="108" w:type="dxa"/>
          <w:bottom w:w="0" w:type="dxa"/>
          <w:right w:w="108" w:type="dxa"/>
        </w:tblCellMar>
      </w:tblPr>
      <w:tblGrid>
        <w:gridCol w:w="673"/>
        <w:gridCol w:w="1837"/>
        <w:gridCol w:w="1272"/>
        <w:gridCol w:w="1713"/>
        <w:gridCol w:w="3233"/>
      </w:tblGrid>
      <w:tr w14:paraId="7891E5E8">
        <w:tblPrEx>
          <w:tblCellMar>
            <w:top w:w="0" w:type="dxa"/>
            <w:left w:w="108" w:type="dxa"/>
            <w:bottom w:w="0" w:type="dxa"/>
            <w:right w:w="108" w:type="dxa"/>
          </w:tblCellMar>
        </w:tblPrEx>
        <w:trPr>
          <w:trHeight w:val="397" w:hRule="atLeast"/>
          <w:jc w:val="center"/>
        </w:trPr>
        <w:tc>
          <w:tcPr>
            <w:tcW w:w="673" w:type="dxa"/>
            <w:vMerge w:val="restart"/>
            <w:tcBorders>
              <w:top w:val="single" w:color="auto" w:sz="4" w:space="0"/>
              <w:left w:val="single" w:color="auto" w:sz="4" w:space="0"/>
              <w:right w:val="single" w:color="auto" w:sz="4" w:space="0"/>
            </w:tcBorders>
            <w:vAlign w:val="center"/>
          </w:tcPr>
          <w:p w14:paraId="55ECFC5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837" w:type="dxa"/>
            <w:vMerge w:val="restart"/>
            <w:tcBorders>
              <w:top w:val="single" w:color="auto" w:sz="4" w:space="0"/>
              <w:left w:val="single" w:color="auto" w:sz="4" w:space="0"/>
              <w:right w:val="single" w:color="auto" w:sz="4" w:space="0"/>
            </w:tcBorders>
            <w:vAlign w:val="center"/>
          </w:tcPr>
          <w:p w14:paraId="768EB30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计费基础（万元）</w:t>
            </w:r>
          </w:p>
        </w:tc>
        <w:tc>
          <w:tcPr>
            <w:tcW w:w="1272" w:type="dxa"/>
            <w:vMerge w:val="restart"/>
            <w:tcBorders>
              <w:top w:val="single" w:color="auto" w:sz="4" w:space="0"/>
              <w:left w:val="single" w:color="auto" w:sz="4" w:space="0"/>
              <w:right w:val="single" w:color="auto" w:sz="4" w:space="0"/>
            </w:tcBorders>
            <w:vAlign w:val="center"/>
          </w:tcPr>
          <w:p w14:paraId="36BC195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费率（%）</w:t>
            </w:r>
          </w:p>
        </w:tc>
        <w:tc>
          <w:tcPr>
            <w:tcW w:w="4946" w:type="dxa"/>
            <w:gridSpan w:val="2"/>
            <w:tcBorders>
              <w:top w:val="single" w:color="auto" w:sz="4" w:space="0"/>
              <w:left w:val="single" w:color="auto" w:sz="4" w:space="0"/>
              <w:bottom w:val="single" w:color="auto" w:sz="4" w:space="0"/>
              <w:right w:val="single" w:color="auto" w:sz="4" w:space="0"/>
            </w:tcBorders>
            <w:vAlign w:val="center"/>
          </w:tcPr>
          <w:p w14:paraId="5AE45DB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算例</w:t>
            </w:r>
          </w:p>
        </w:tc>
      </w:tr>
      <w:tr w14:paraId="43535B2C">
        <w:tblPrEx>
          <w:tblCellMar>
            <w:top w:w="0" w:type="dxa"/>
            <w:left w:w="108" w:type="dxa"/>
            <w:bottom w:w="0" w:type="dxa"/>
            <w:right w:w="108" w:type="dxa"/>
          </w:tblCellMar>
        </w:tblPrEx>
        <w:trPr>
          <w:trHeight w:val="397" w:hRule="atLeast"/>
          <w:jc w:val="center"/>
        </w:trPr>
        <w:tc>
          <w:tcPr>
            <w:tcW w:w="673" w:type="dxa"/>
            <w:vMerge w:val="continue"/>
            <w:tcBorders>
              <w:left w:val="single" w:color="auto" w:sz="4" w:space="0"/>
              <w:bottom w:val="single" w:color="auto" w:sz="4" w:space="0"/>
              <w:right w:val="single" w:color="auto" w:sz="4" w:space="0"/>
            </w:tcBorders>
            <w:vAlign w:val="center"/>
          </w:tcPr>
          <w:p w14:paraId="5266223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37" w:type="dxa"/>
            <w:vMerge w:val="continue"/>
            <w:tcBorders>
              <w:left w:val="single" w:color="auto" w:sz="4" w:space="0"/>
              <w:bottom w:val="single" w:color="auto" w:sz="4" w:space="0"/>
              <w:right w:val="single" w:color="auto" w:sz="4" w:space="0"/>
            </w:tcBorders>
            <w:vAlign w:val="center"/>
          </w:tcPr>
          <w:p w14:paraId="6686BB0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72" w:type="dxa"/>
            <w:vMerge w:val="continue"/>
            <w:tcBorders>
              <w:left w:val="single" w:color="auto" w:sz="4" w:space="0"/>
              <w:bottom w:val="single" w:color="auto" w:sz="4" w:space="0"/>
              <w:right w:val="single" w:color="auto" w:sz="4" w:space="0"/>
            </w:tcBorders>
            <w:vAlign w:val="center"/>
          </w:tcPr>
          <w:p w14:paraId="37010D7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vAlign w:val="center"/>
          </w:tcPr>
          <w:p w14:paraId="384B0C7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计费基础（万元）</w:t>
            </w:r>
          </w:p>
        </w:tc>
        <w:tc>
          <w:tcPr>
            <w:tcW w:w="3233" w:type="dxa"/>
            <w:tcBorders>
              <w:top w:val="single" w:color="auto" w:sz="4" w:space="0"/>
              <w:left w:val="single" w:color="auto" w:sz="4" w:space="0"/>
              <w:bottom w:val="single" w:color="auto" w:sz="4" w:space="0"/>
              <w:right w:val="single" w:color="auto" w:sz="4" w:space="0"/>
            </w:tcBorders>
            <w:vAlign w:val="center"/>
          </w:tcPr>
          <w:p w14:paraId="0D3807A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工程验收费（万元）</w:t>
            </w:r>
          </w:p>
        </w:tc>
      </w:tr>
      <w:tr w14:paraId="6312CB40">
        <w:tblPrEx>
          <w:tblCellMar>
            <w:top w:w="0" w:type="dxa"/>
            <w:left w:w="108" w:type="dxa"/>
            <w:bottom w:w="0" w:type="dxa"/>
            <w:right w:w="108" w:type="dxa"/>
          </w:tblCellMar>
        </w:tblPrEx>
        <w:trPr>
          <w:trHeight w:val="397" w:hRule="atLeast"/>
          <w:jc w:val="center"/>
        </w:trPr>
        <w:tc>
          <w:tcPr>
            <w:tcW w:w="673" w:type="dxa"/>
            <w:tcBorders>
              <w:top w:val="nil"/>
              <w:left w:val="single" w:color="auto" w:sz="4" w:space="0"/>
              <w:bottom w:val="single" w:color="auto" w:sz="4" w:space="0"/>
              <w:right w:val="single" w:color="auto" w:sz="4" w:space="0"/>
            </w:tcBorders>
            <w:vAlign w:val="center"/>
          </w:tcPr>
          <w:p w14:paraId="1DAF603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37" w:type="dxa"/>
            <w:tcBorders>
              <w:top w:val="nil"/>
              <w:left w:val="nil"/>
              <w:bottom w:val="single" w:color="auto" w:sz="4" w:space="0"/>
              <w:right w:val="single" w:color="auto" w:sz="4" w:space="0"/>
            </w:tcBorders>
            <w:vAlign w:val="center"/>
          </w:tcPr>
          <w:p w14:paraId="329971B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1272" w:type="dxa"/>
            <w:tcBorders>
              <w:top w:val="nil"/>
              <w:left w:val="nil"/>
              <w:bottom w:val="single" w:color="auto" w:sz="4" w:space="0"/>
              <w:right w:val="single" w:color="auto" w:sz="4" w:space="0"/>
            </w:tcBorders>
            <w:vAlign w:val="center"/>
          </w:tcPr>
          <w:p w14:paraId="1FB30AD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713" w:type="dxa"/>
            <w:tcBorders>
              <w:top w:val="nil"/>
              <w:left w:val="nil"/>
              <w:bottom w:val="single" w:color="auto" w:sz="4" w:space="0"/>
              <w:right w:val="single" w:color="auto" w:sz="4" w:space="0"/>
            </w:tcBorders>
            <w:vAlign w:val="center"/>
          </w:tcPr>
          <w:p w14:paraId="02BFB18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3233" w:type="dxa"/>
            <w:tcBorders>
              <w:top w:val="nil"/>
              <w:left w:val="nil"/>
              <w:bottom w:val="single" w:color="auto" w:sz="4" w:space="0"/>
              <w:right w:val="single" w:color="auto" w:sz="4" w:space="0"/>
            </w:tcBorders>
            <w:vAlign w:val="center"/>
          </w:tcPr>
          <w:p w14:paraId="6A425B5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180×1.7%=3.06</w:t>
            </w:r>
          </w:p>
        </w:tc>
      </w:tr>
      <w:tr w14:paraId="1D161E2A">
        <w:tblPrEx>
          <w:tblCellMar>
            <w:top w:w="0" w:type="dxa"/>
            <w:left w:w="108" w:type="dxa"/>
            <w:bottom w:w="0" w:type="dxa"/>
            <w:right w:w="108" w:type="dxa"/>
          </w:tblCellMar>
        </w:tblPrEx>
        <w:trPr>
          <w:trHeight w:val="397" w:hRule="atLeast"/>
          <w:jc w:val="center"/>
        </w:trPr>
        <w:tc>
          <w:tcPr>
            <w:tcW w:w="673" w:type="dxa"/>
            <w:tcBorders>
              <w:top w:val="nil"/>
              <w:left w:val="single" w:color="auto" w:sz="4" w:space="0"/>
              <w:bottom w:val="single" w:color="auto" w:sz="4" w:space="0"/>
              <w:right w:val="single" w:color="auto" w:sz="4" w:space="0"/>
            </w:tcBorders>
            <w:vAlign w:val="center"/>
          </w:tcPr>
          <w:p w14:paraId="2C4F2D1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37" w:type="dxa"/>
            <w:tcBorders>
              <w:top w:val="nil"/>
              <w:left w:val="nil"/>
              <w:bottom w:val="single" w:color="auto" w:sz="4" w:space="0"/>
              <w:right w:val="single" w:color="auto" w:sz="4" w:space="0"/>
            </w:tcBorders>
            <w:vAlign w:val="center"/>
          </w:tcPr>
          <w:p w14:paraId="3839B6D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180-500</w:t>
            </w:r>
          </w:p>
        </w:tc>
        <w:tc>
          <w:tcPr>
            <w:tcW w:w="1272" w:type="dxa"/>
            <w:tcBorders>
              <w:top w:val="nil"/>
              <w:left w:val="nil"/>
              <w:bottom w:val="single" w:color="auto" w:sz="4" w:space="0"/>
              <w:right w:val="single" w:color="auto" w:sz="4" w:space="0"/>
            </w:tcBorders>
            <w:vAlign w:val="center"/>
          </w:tcPr>
          <w:p w14:paraId="7198778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713" w:type="dxa"/>
            <w:tcBorders>
              <w:top w:val="nil"/>
              <w:left w:val="nil"/>
              <w:bottom w:val="single" w:color="auto" w:sz="4" w:space="0"/>
              <w:right w:val="single" w:color="auto" w:sz="4" w:space="0"/>
            </w:tcBorders>
            <w:vAlign w:val="center"/>
          </w:tcPr>
          <w:p w14:paraId="5A06475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3233" w:type="dxa"/>
            <w:tcBorders>
              <w:top w:val="nil"/>
              <w:left w:val="nil"/>
              <w:bottom w:val="single" w:color="auto" w:sz="4" w:space="0"/>
              <w:right w:val="single" w:color="auto" w:sz="4" w:space="0"/>
            </w:tcBorders>
            <w:vAlign w:val="center"/>
          </w:tcPr>
          <w:p w14:paraId="502599C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3.06+（500-180）×1.2%=6.9</w:t>
            </w:r>
          </w:p>
        </w:tc>
      </w:tr>
      <w:tr w14:paraId="177878B9">
        <w:tblPrEx>
          <w:tblCellMar>
            <w:top w:w="0" w:type="dxa"/>
            <w:left w:w="108" w:type="dxa"/>
            <w:bottom w:w="0" w:type="dxa"/>
            <w:right w:w="108" w:type="dxa"/>
          </w:tblCellMar>
        </w:tblPrEx>
        <w:trPr>
          <w:trHeight w:val="39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13FFF3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837" w:type="dxa"/>
            <w:tcBorders>
              <w:top w:val="single" w:color="auto" w:sz="4" w:space="0"/>
              <w:left w:val="nil"/>
              <w:bottom w:val="single" w:color="auto" w:sz="4" w:space="0"/>
              <w:right w:val="single" w:color="auto" w:sz="4" w:space="0"/>
            </w:tcBorders>
            <w:vAlign w:val="center"/>
          </w:tcPr>
          <w:p w14:paraId="24A5F73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500-1000</w:t>
            </w:r>
          </w:p>
        </w:tc>
        <w:tc>
          <w:tcPr>
            <w:tcW w:w="1272" w:type="dxa"/>
            <w:tcBorders>
              <w:top w:val="single" w:color="auto" w:sz="4" w:space="0"/>
              <w:left w:val="nil"/>
              <w:bottom w:val="single" w:color="auto" w:sz="4" w:space="0"/>
              <w:right w:val="single" w:color="auto" w:sz="4" w:space="0"/>
            </w:tcBorders>
            <w:vAlign w:val="center"/>
          </w:tcPr>
          <w:p w14:paraId="1D60E2F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713" w:type="dxa"/>
            <w:tcBorders>
              <w:top w:val="single" w:color="auto" w:sz="4" w:space="0"/>
              <w:left w:val="nil"/>
              <w:bottom w:val="single" w:color="auto" w:sz="4" w:space="0"/>
              <w:right w:val="single" w:color="auto" w:sz="4" w:space="0"/>
            </w:tcBorders>
            <w:vAlign w:val="center"/>
          </w:tcPr>
          <w:p w14:paraId="76081BB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3233" w:type="dxa"/>
            <w:tcBorders>
              <w:top w:val="single" w:color="auto" w:sz="4" w:space="0"/>
              <w:left w:val="nil"/>
              <w:bottom w:val="single" w:color="auto" w:sz="4" w:space="0"/>
              <w:right w:val="single" w:color="auto" w:sz="4" w:space="0"/>
            </w:tcBorders>
            <w:vAlign w:val="center"/>
          </w:tcPr>
          <w:p w14:paraId="3386A97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6.9+（1000-500）×1.1%=12.4</w:t>
            </w:r>
          </w:p>
        </w:tc>
      </w:tr>
      <w:tr w14:paraId="6D9333F2">
        <w:tblPrEx>
          <w:tblCellMar>
            <w:top w:w="0" w:type="dxa"/>
            <w:left w:w="108" w:type="dxa"/>
            <w:bottom w:w="0" w:type="dxa"/>
            <w:right w:w="108" w:type="dxa"/>
          </w:tblCellMar>
        </w:tblPrEx>
        <w:trPr>
          <w:trHeight w:val="39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0646DD6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837" w:type="dxa"/>
            <w:tcBorders>
              <w:top w:val="single" w:color="auto" w:sz="4" w:space="0"/>
              <w:left w:val="nil"/>
              <w:bottom w:val="single" w:color="auto" w:sz="4" w:space="0"/>
              <w:right w:val="single" w:color="auto" w:sz="4" w:space="0"/>
            </w:tcBorders>
            <w:vAlign w:val="center"/>
          </w:tcPr>
          <w:p w14:paraId="2F66726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1000-3000</w:t>
            </w:r>
          </w:p>
        </w:tc>
        <w:tc>
          <w:tcPr>
            <w:tcW w:w="1272" w:type="dxa"/>
            <w:tcBorders>
              <w:top w:val="single" w:color="auto" w:sz="4" w:space="0"/>
              <w:left w:val="nil"/>
              <w:bottom w:val="single" w:color="auto" w:sz="4" w:space="0"/>
              <w:right w:val="single" w:color="auto" w:sz="4" w:space="0"/>
            </w:tcBorders>
            <w:vAlign w:val="center"/>
          </w:tcPr>
          <w:p w14:paraId="4B25741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713" w:type="dxa"/>
            <w:tcBorders>
              <w:top w:val="single" w:color="auto" w:sz="4" w:space="0"/>
              <w:left w:val="nil"/>
              <w:bottom w:val="single" w:color="auto" w:sz="4" w:space="0"/>
              <w:right w:val="single" w:color="auto" w:sz="4" w:space="0"/>
            </w:tcBorders>
            <w:vAlign w:val="center"/>
          </w:tcPr>
          <w:p w14:paraId="4460FF2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3233" w:type="dxa"/>
            <w:tcBorders>
              <w:top w:val="single" w:color="auto" w:sz="4" w:space="0"/>
              <w:left w:val="nil"/>
              <w:bottom w:val="single" w:color="auto" w:sz="4" w:space="0"/>
              <w:right w:val="single" w:color="auto" w:sz="4" w:space="0"/>
            </w:tcBorders>
            <w:vAlign w:val="center"/>
          </w:tcPr>
          <w:p w14:paraId="1ADF6B5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12.4+（3000-1000）×1.0%=32.4</w:t>
            </w:r>
          </w:p>
        </w:tc>
      </w:tr>
      <w:tr w14:paraId="7C884DDA">
        <w:tblPrEx>
          <w:tblCellMar>
            <w:top w:w="0" w:type="dxa"/>
            <w:left w:w="108" w:type="dxa"/>
            <w:bottom w:w="0" w:type="dxa"/>
            <w:right w:w="108" w:type="dxa"/>
          </w:tblCellMar>
        </w:tblPrEx>
        <w:trPr>
          <w:trHeight w:val="39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5D5942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837" w:type="dxa"/>
            <w:tcBorders>
              <w:top w:val="single" w:color="auto" w:sz="4" w:space="0"/>
              <w:left w:val="nil"/>
              <w:bottom w:val="single" w:color="auto" w:sz="4" w:space="0"/>
              <w:right w:val="single" w:color="auto" w:sz="4" w:space="0"/>
            </w:tcBorders>
            <w:vAlign w:val="center"/>
          </w:tcPr>
          <w:p w14:paraId="3607702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3000-5000</w:t>
            </w:r>
          </w:p>
        </w:tc>
        <w:tc>
          <w:tcPr>
            <w:tcW w:w="1272" w:type="dxa"/>
            <w:tcBorders>
              <w:top w:val="single" w:color="auto" w:sz="4" w:space="0"/>
              <w:left w:val="nil"/>
              <w:bottom w:val="single" w:color="auto" w:sz="4" w:space="0"/>
              <w:right w:val="single" w:color="auto" w:sz="4" w:space="0"/>
            </w:tcBorders>
            <w:vAlign w:val="center"/>
          </w:tcPr>
          <w:p w14:paraId="496461E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1713" w:type="dxa"/>
            <w:tcBorders>
              <w:top w:val="single" w:color="auto" w:sz="4" w:space="0"/>
              <w:left w:val="nil"/>
              <w:bottom w:val="single" w:color="auto" w:sz="4" w:space="0"/>
              <w:right w:val="single" w:color="auto" w:sz="4" w:space="0"/>
            </w:tcBorders>
            <w:vAlign w:val="center"/>
          </w:tcPr>
          <w:p w14:paraId="51C670E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3233" w:type="dxa"/>
            <w:tcBorders>
              <w:top w:val="single" w:color="auto" w:sz="4" w:space="0"/>
              <w:left w:val="nil"/>
              <w:bottom w:val="single" w:color="auto" w:sz="4" w:space="0"/>
              <w:right w:val="single" w:color="auto" w:sz="4" w:space="0"/>
            </w:tcBorders>
            <w:vAlign w:val="center"/>
          </w:tcPr>
          <w:p w14:paraId="79D62B4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32.4+（5000-3000）×0.9%=50.4</w:t>
            </w:r>
          </w:p>
        </w:tc>
      </w:tr>
      <w:tr w14:paraId="4A385E79">
        <w:tblPrEx>
          <w:tblCellMar>
            <w:top w:w="0" w:type="dxa"/>
            <w:left w:w="108" w:type="dxa"/>
            <w:bottom w:w="0" w:type="dxa"/>
            <w:right w:w="108" w:type="dxa"/>
          </w:tblCellMar>
        </w:tblPrEx>
        <w:trPr>
          <w:trHeight w:val="39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7BF292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837" w:type="dxa"/>
            <w:tcBorders>
              <w:top w:val="single" w:color="auto" w:sz="4" w:space="0"/>
              <w:left w:val="nil"/>
              <w:bottom w:val="single" w:color="auto" w:sz="4" w:space="0"/>
              <w:right w:val="single" w:color="auto" w:sz="4" w:space="0"/>
            </w:tcBorders>
            <w:vAlign w:val="center"/>
          </w:tcPr>
          <w:p w14:paraId="7A485D1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5000-10000</w:t>
            </w:r>
          </w:p>
        </w:tc>
        <w:tc>
          <w:tcPr>
            <w:tcW w:w="1272" w:type="dxa"/>
            <w:tcBorders>
              <w:top w:val="single" w:color="auto" w:sz="4" w:space="0"/>
              <w:left w:val="nil"/>
              <w:bottom w:val="single" w:color="auto" w:sz="4" w:space="0"/>
              <w:right w:val="single" w:color="auto" w:sz="4" w:space="0"/>
            </w:tcBorders>
            <w:vAlign w:val="center"/>
          </w:tcPr>
          <w:p w14:paraId="03E9145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1713" w:type="dxa"/>
            <w:tcBorders>
              <w:top w:val="single" w:color="auto" w:sz="4" w:space="0"/>
              <w:left w:val="nil"/>
              <w:bottom w:val="single" w:color="auto" w:sz="4" w:space="0"/>
              <w:right w:val="single" w:color="auto" w:sz="4" w:space="0"/>
            </w:tcBorders>
            <w:vAlign w:val="center"/>
          </w:tcPr>
          <w:p w14:paraId="137B45E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3233" w:type="dxa"/>
            <w:tcBorders>
              <w:top w:val="single" w:color="auto" w:sz="4" w:space="0"/>
              <w:left w:val="nil"/>
              <w:bottom w:val="single" w:color="auto" w:sz="4" w:space="0"/>
              <w:right w:val="single" w:color="auto" w:sz="4" w:space="0"/>
            </w:tcBorders>
            <w:vAlign w:val="center"/>
          </w:tcPr>
          <w:p w14:paraId="2032839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50.4+（10000-5000）×0.8%=90.4</w:t>
            </w:r>
          </w:p>
        </w:tc>
      </w:tr>
      <w:tr w14:paraId="41D8927B">
        <w:tblPrEx>
          <w:tblCellMar>
            <w:top w:w="0" w:type="dxa"/>
            <w:left w:w="108" w:type="dxa"/>
            <w:bottom w:w="0" w:type="dxa"/>
            <w:right w:w="108" w:type="dxa"/>
          </w:tblCellMar>
        </w:tblPrEx>
        <w:trPr>
          <w:trHeight w:val="39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76C71D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837" w:type="dxa"/>
            <w:tcBorders>
              <w:top w:val="single" w:color="auto" w:sz="4" w:space="0"/>
              <w:left w:val="nil"/>
              <w:bottom w:val="single" w:color="auto" w:sz="4" w:space="0"/>
              <w:right w:val="single" w:color="auto" w:sz="4" w:space="0"/>
            </w:tcBorders>
            <w:vAlign w:val="center"/>
          </w:tcPr>
          <w:p w14:paraId="2BA66E0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10000以上</w:t>
            </w:r>
          </w:p>
        </w:tc>
        <w:tc>
          <w:tcPr>
            <w:tcW w:w="1272" w:type="dxa"/>
            <w:tcBorders>
              <w:top w:val="single" w:color="auto" w:sz="4" w:space="0"/>
              <w:left w:val="nil"/>
              <w:bottom w:val="single" w:color="auto" w:sz="4" w:space="0"/>
              <w:right w:val="single" w:color="auto" w:sz="4" w:space="0"/>
            </w:tcBorders>
            <w:vAlign w:val="center"/>
          </w:tcPr>
          <w:p w14:paraId="1C96E72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w:t>
            </w:r>
          </w:p>
        </w:tc>
        <w:tc>
          <w:tcPr>
            <w:tcW w:w="1713" w:type="dxa"/>
            <w:tcBorders>
              <w:top w:val="single" w:color="auto" w:sz="4" w:space="0"/>
              <w:left w:val="nil"/>
              <w:bottom w:val="single" w:color="auto" w:sz="4" w:space="0"/>
              <w:right w:val="single" w:color="auto" w:sz="4" w:space="0"/>
            </w:tcBorders>
            <w:vAlign w:val="center"/>
          </w:tcPr>
          <w:p w14:paraId="2096336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15000</w:t>
            </w:r>
          </w:p>
        </w:tc>
        <w:tc>
          <w:tcPr>
            <w:tcW w:w="3233" w:type="dxa"/>
            <w:tcBorders>
              <w:top w:val="single" w:color="auto" w:sz="4" w:space="0"/>
              <w:left w:val="nil"/>
              <w:bottom w:val="single" w:color="auto" w:sz="4" w:space="0"/>
              <w:right w:val="single" w:color="auto" w:sz="4" w:space="0"/>
            </w:tcBorders>
            <w:vAlign w:val="center"/>
          </w:tcPr>
          <w:p w14:paraId="5A6FE1E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90.4+（15000-10000）×0.7%=125.4</w:t>
            </w:r>
          </w:p>
        </w:tc>
      </w:tr>
    </w:tbl>
    <w:p w14:paraId="5739A510">
      <w:pPr>
        <w:keepNext w:val="0"/>
        <w:keepLines w:val="0"/>
        <w:pageBreakBefore w:val="0"/>
        <w:widowControl w:val="0"/>
        <w:kinsoku/>
        <w:wordWrap/>
        <w:overflowPunct/>
        <w:topLinePunct w:val="0"/>
        <w:autoSpaceDE/>
        <w:autoSpaceDN/>
        <w:bidi w:val="0"/>
        <w:adjustRightInd w:val="0"/>
        <w:snapToGrid w:val="0"/>
        <w:spacing w:line="240" w:lineRule="exact"/>
        <w:ind w:firstLine="480" w:firstLineChars="200"/>
        <w:jc w:val="left"/>
        <w:textAlignment w:val="auto"/>
        <w:rPr>
          <w:rFonts w:hint="default" w:ascii="Times New Roman" w:hAnsi="Times New Roman" w:eastAsia="宋体" w:cs="Times New Roman"/>
          <w:color w:val="auto"/>
          <w:sz w:val="24"/>
          <w:szCs w:val="24"/>
          <w:highlight w:val="none"/>
        </w:rPr>
      </w:pPr>
    </w:p>
    <w:p w14:paraId="051C47A5">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项目决算编制与审计费以工程施工费作为计费基数，采用差额定率累进法计算。</w:t>
      </w:r>
    </w:p>
    <w:p w14:paraId="5F27265D">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right="-518" w:rightChars="-216"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6-8</w:t>
      </w:r>
      <w:r>
        <w:rPr>
          <w:rFonts w:hint="default" w:ascii="Times New Roman" w:hAnsi="Times New Roman" w:eastAsia="宋体" w:cs="Times New Roman"/>
          <w:b/>
          <w:color w:val="auto"/>
          <w:sz w:val="21"/>
          <w:szCs w:val="21"/>
          <w:highlight w:val="none"/>
        </w:rPr>
        <w:t xml:space="preserve">  项目决算编制与审计费标准</w:t>
      </w:r>
    </w:p>
    <w:tbl>
      <w:tblPr>
        <w:tblStyle w:val="12"/>
        <w:tblW w:w="8755" w:type="dxa"/>
        <w:jc w:val="center"/>
        <w:tblLayout w:type="fixed"/>
        <w:tblCellMar>
          <w:top w:w="0" w:type="dxa"/>
          <w:left w:w="108" w:type="dxa"/>
          <w:bottom w:w="0" w:type="dxa"/>
          <w:right w:w="108" w:type="dxa"/>
        </w:tblCellMar>
      </w:tblPr>
      <w:tblGrid>
        <w:gridCol w:w="675"/>
        <w:gridCol w:w="1511"/>
        <w:gridCol w:w="960"/>
        <w:gridCol w:w="1875"/>
        <w:gridCol w:w="3734"/>
      </w:tblGrid>
      <w:tr w14:paraId="6D028551">
        <w:tblPrEx>
          <w:tblCellMar>
            <w:top w:w="0" w:type="dxa"/>
            <w:left w:w="108" w:type="dxa"/>
            <w:bottom w:w="0" w:type="dxa"/>
            <w:right w:w="108" w:type="dxa"/>
          </w:tblCellMar>
        </w:tblPrEx>
        <w:trPr>
          <w:trHeight w:val="340" w:hRule="atLeast"/>
          <w:jc w:val="center"/>
        </w:trPr>
        <w:tc>
          <w:tcPr>
            <w:tcW w:w="675" w:type="dxa"/>
            <w:vMerge w:val="restart"/>
            <w:tcBorders>
              <w:top w:val="single" w:color="auto" w:sz="4" w:space="0"/>
              <w:left w:val="single" w:color="auto" w:sz="4" w:space="0"/>
              <w:right w:val="single" w:color="auto" w:sz="4" w:space="0"/>
            </w:tcBorders>
            <w:vAlign w:val="center"/>
          </w:tcPr>
          <w:p w14:paraId="2E1612B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11" w:type="dxa"/>
            <w:vMerge w:val="restart"/>
            <w:tcBorders>
              <w:top w:val="single" w:color="auto" w:sz="4" w:space="0"/>
              <w:left w:val="single" w:color="auto" w:sz="4" w:space="0"/>
              <w:right w:val="single" w:color="auto" w:sz="4" w:space="0"/>
            </w:tcBorders>
            <w:vAlign w:val="center"/>
          </w:tcPr>
          <w:p w14:paraId="039BBF0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w:t>
            </w:r>
          </w:p>
          <w:p w14:paraId="1368651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（万元）</w:t>
            </w:r>
          </w:p>
        </w:tc>
        <w:tc>
          <w:tcPr>
            <w:tcW w:w="960" w:type="dxa"/>
            <w:vMerge w:val="restart"/>
            <w:tcBorders>
              <w:top w:val="single" w:color="auto" w:sz="4" w:space="0"/>
              <w:left w:val="single" w:color="auto" w:sz="4" w:space="0"/>
              <w:right w:val="single" w:color="auto" w:sz="4" w:space="0"/>
            </w:tcBorders>
            <w:vAlign w:val="center"/>
          </w:tcPr>
          <w:p w14:paraId="39FEEEC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费率</w:t>
            </w:r>
          </w:p>
          <w:p w14:paraId="0576C19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09" w:type="dxa"/>
            <w:gridSpan w:val="2"/>
            <w:tcBorders>
              <w:top w:val="single" w:color="auto" w:sz="4" w:space="0"/>
              <w:left w:val="single" w:color="auto" w:sz="4" w:space="0"/>
              <w:bottom w:val="single" w:color="auto" w:sz="4" w:space="0"/>
              <w:right w:val="single" w:color="auto" w:sz="4" w:space="0"/>
            </w:tcBorders>
            <w:vAlign w:val="center"/>
          </w:tcPr>
          <w:p w14:paraId="59A189C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算例</w:t>
            </w:r>
          </w:p>
        </w:tc>
      </w:tr>
      <w:tr w14:paraId="357EB110">
        <w:tblPrEx>
          <w:tblCellMar>
            <w:top w:w="0" w:type="dxa"/>
            <w:left w:w="108" w:type="dxa"/>
            <w:bottom w:w="0" w:type="dxa"/>
            <w:right w:w="108" w:type="dxa"/>
          </w:tblCellMar>
        </w:tblPrEx>
        <w:trPr>
          <w:trHeight w:val="340" w:hRule="atLeast"/>
          <w:jc w:val="center"/>
        </w:trPr>
        <w:tc>
          <w:tcPr>
            <w:tcW w:w="675" w:type="dxa"/>
            <w:vMerge w:val="continue"/>
            <w:tcBorders>
              <w:left w:val="single" w:color="auto" w:sz="4" w:space="0"/>
              <w:bottom w:val="single" w:color="auto" w:sz="4" w:space="0"/>
              <w:right w:val="single" w:color="auto" w:sz="4" w:space="0"/>
            </w:tcBorders>
            <w:vAlign w:val="center"/>
          </w:tcPr>
          <w:p w14:paraId="56E0DA7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11" w:type="dxa"/>
            <w:vMerge w:val="continue"/>
            <w:tcBorders>
              <w:left w:val="single" w:color="auto" w:sz="4" w:space="0"/>
              <w:bottom w:val="single" w:color="auto" w:sz="4" w:space="0"/>
              <w:right w:val="single" w:color="auto" w:sz="4" w:space="0"/>
            </w:tcBorders>
            <w:vAlign w:val="center"/>
          </w:tcPr>
          <w:p w14:paraId="5947C5F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960" w:type="dxa"/>
            <w:vMerge w:val="continue"/>
            <w:tcBorders>
              <w:left w:val="single" w:color="auto" w:sz="4" w:space="0"/>
              <w:bottom w:val="single" w:color="auto" w:sz="4" w:space="0"/>
              <w:right w:val="single" w:color="auto" w:sz="4" w:space="0"/>
            </w:tcBorders>
            <w:vAlign w:val="center"/>
          </w:tcPr>
          <w:p w14:paraId="0CDBCB9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7B9039F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计费基础（万元）</w:t>
            </w:r>
          </w:p>
        </w:tc>
        <w:tc>
          <w:tcPr>
            <w:tcW w:w="3734" w:type="dxa"/>
            <w:tcBorders>
              <w:top w:val="single" w:color="auto" w:sz="4" w:space="0"/>
              <w:left w:val="single" w:color="auto" w:sz="4" w:space="0"/>
              <w:bottom w:val="single" w:color="auto" w:sz="4" w:space="0"/>
              <w:right w:val="single" w:color="auto" w:sz="4" w:space="0"/>
            </w:tcBorders>
            <w:vAlign w:val="center"/>
          </w:tcPr>
          <w:p w14:paraId="7F8053A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项目决算编制与审计费（万元）</w:t>
            </w:r>
          </w:p>
        </w:tc>
      </w:tr>
      <w:tr w14:paraId="4E592144">
        <w:tblPrEx>
          <w:tblCellMar>
            <w:top w:w="0" w:type="dxa"/>
            <w:left w:w="108" w:type="dxa"/>
            <w:bottom w:w="0"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vAlign w:val="center"/>
          </w:tcPr>
          <w:p w14:paraId="3DBE596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11" w:type="dxa"/>
            <w:tcBorders>
              <w:top w:val="nil"/>
              <w:left w:val="nil"/>
              <w:bottom w:val="single" w:color="auto" w:sz="4" w:space="0"/>
              <w:right w:val="single" w:color="auto" w:sz="4" w:space="0"/>
            </w:tcBorders>
            <w:vAlign w:val="center"/>
          </w:tcPr>
          <w:p w14:paraId="17E4921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960" w:type="dxa"/>
            <w:tcBorders>
              <w:top w:val="nil"/>
              <w:left w:val="nil"/>
              <w:bottom w:val="single" w:color="auto" w:sz="4" w:space="0"/>
              <w:right w:val="single" w:color="auto" w:sz="4" w:space="0"/>
            </w:tcBorders>
            <w:vAlign w:val="center"/>
          </w:tcPr>
          <w:p w14:paraId="5528CEF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875" w:type="dxa"/>
            <w:tcBorders>
              <w:top w:val="nil"/>
              <w:left w:val="nil"/>
              <w:bottom w:val="single" w:color="auto" w:sz="4" w:space="0"/>
              <w:right w:val="single" w:color="auto" w:sz="4" w:space="0"/>
            </w:tcBorders>
            <w:vAlign w:val="center"/>
          </w:tcPr>
          <w:p w14:paraId="1C2DE87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3734" w:type="dxa"/>
            <w:tcBorders>
              <w:top w:val="nil"/>
              <w:left w:val="nil"/>
              <w:bottom w:val="single" w:color="auto" w:sz="4" w:space="0"/>
              <w:right w:val="single" w:color="auto" w:sz="4" w:space="0"/>
            </w:tcBorders>
            <w:vAlign w:val="center"/>
          </w:tcPr>
          <w:p w14:paraId="7BC2E24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500×1.0%=5</w:t>
            </w:r>
          </w:p>
        </w:tc>
      </w:tr>
      <w:tr w14:paraId="0943B4D3">
        <w:tblPrEx>
          <w:tblCellMar>
            <w:top w:w="0" w:type="dxa"/>
            <w:left w:w="108" w:type="dxa"/>
            <w:bottom w:w="0"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vAlign w:val="center"/>
          </w:tcPr>
          <w:p w14:paraId="47D1EBF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11" w:type="dxa"/>
            <w:tcBorders>
              <w:top w:val="nil"/>
              <w:left w:val="nil"/>
              <w:bottom w:val="single" w:color="auto" w:sz="4" w:space="0"/>
              <w:right w:val="single" w:color="auto" w:sz="4" w:space="0"/>
            </w:tcBorders>
            <w:vAlign w:val="center"/>
          </w:tcPr>
          <w:p w14:paraId="47DCF96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500-1000</w:t>
            </w:r>
          </w:p>
        </w:tc>
        <w:tc>
          <w:tcPr>
            <w:tcW w:w="960" w:type="dxa"/>
            <w:tcBorders>
              <w:top w:val="nil"/>
              <w:left w:val="nil"/>
              <w:bottom w:val="single" w:color="auto" w:sz="4" w:space="0"/>
              <w:right w:val="single" w:color="auto" w:sz="4" w:space="0"/>
            </w:tcBorders>
            <w:vAlign w:val="center"/>
          </w:tcPr>
          <w:p w14:paraId="62B01F6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1875" w:type="dxa"/>
            <w:tcBorders>
              <w:top w:val="nil"/>
              <w:left w:val="nil"/>
              <w:bottom w:val="single" w:color="auto" w:sz="4" w:space="0"/>
              <w:right w:val="single" w:color="auto" w:sz="4" w:space="0"/>
            </w:tcBorders>
            <w:vAlign w:val="center"/>
          </w:tcPr>
          <w:p w14:paraId="7C218A1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3734" w:type="dxa"/>
            <w:tcBorders>
              <w:top w:val="nil"/>
              <w:left w:val="nil"/>
              <w:bottom w:val="single" w:color="auto" w:sz="4" w:space="0"/>
              <w:right w:val="single" w:color="auto" w:sz="4" w:space="0"/>
            </w:tcBorders>
            <w:vAlign w:val="center"/>
          </w:tcPr>
          <w:p w14:paraId="13EEB43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5+（1000-500）×0.9%=9.5</w:t>
            </w:r>
          </w:p>
        </w:tc>
      </w:tr>
      <w:tr w14:paraId="58F46EC6">
        <w:tblPrEx>
          <w:tblCellMar>
            <w:top w:w="0" w:type="dxa"/>
            <w:left w:w="108" w:type="dxa"/>
            <w:bottom w:w="0"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070E3D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11" w:type="dxa"/>
            <w:tcBorders>
              <w:top w:val="single" w:color="auto" w:sz="4" w:space="0"/>
              <w:left w:val="nil"/>
              <w:bottom w:val="single" w:color="auto" w:sz="4" w:space="0"/>
              <w:right w:val="single" w:color="auto" w:sz="4" w:space="0"/>
            </w:tcBorders>
            <w:vAlign w:val="center"/>
          </w:tcPr>
          <w:p w14:paraId="46D7E46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1000-3000</w:t>
            </w:r>
          </w:p>
        </w:tc>
        <w:tc>
          <w:tcPr>
            <w:tcW w:w="960" w:type="dxa"/>
            <w:tcBorders>
              <w:top w:val="single" w:color="auto" w:sz="4" w:space="0"/>
              <w:left w:val="nil"/>
              <w:bottom w:val="single" w:color="auto" w:sz="4" w:space="0"/>
              <w:right w:val="single" w:color="auto" w:sz="4" w:space="0"/>
            </w:tcBorders>
            <w:vAlign w:val="center"/>
          </w:tcPr>
          <w:p w14:paraId="09376E5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1875" w:type="dxa"/>
            <w:tcBorders>
              <w:top w:val="single" w:color="auto" w:sz="4" w:space="0"/>
              <w:left w:val="nil"/>
              <w:bottom w:val="single" w:color="auto" w:sz="4" w:space="0"/>
              <w:right w:val="single" w:color="auto" w:sz="4" w:space="0"/>
            </w:tcBorders>
            <w:vAlign w:val="center"/>
          </w:tcPr>
          <w:p w14:paraId="070E335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3734" w:type="dxa"/>
            <w:tcBorders>
              <w:top w:val="single" w:color="auto" w:sz="4" w:space="0"/>
              <w:left w:val="nil"/>
              <w:bottom w:val="single" w:color="auto" w:sz="4" w:space="0"/>
              <w:right w:val="single" w:color="auto" w:sz="4" w:space="0"/>
            </w:tcBorders>
            <w:vAlign w:val="center"/>
          </w:tcPr>
          <w:p w14:paraId="23CBC0D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9.5+（3000-1000）×0.8%=25.5</w:t>
            </w:r>
          </w:p>
        </w:tc>
      </w:tr>
      <w:tr w14:paraId="67BC5A6E">
        <w:tblPrEx>
          <w:tblCellMar>
            <w:top w:w="0" w:type="dxa"/>
            <w:left w:w="108" w:type="dxa"/>
            <w:bottom w:w="0"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1AB1D0A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11" w:type="dxa"/>
            <w:tcBorders>
              <w:top w:val="single" w:color="auto" w:sz="4" w:space="0"/>
              <w:left w:val="nil"/>
              <w:bottom w:val="single" w:color="auto" w:sz="4" w:space="0"/>
              <w:right w:val="single" w:color="auto" w:sz="4" w:space="0"/>
            </w:tcBorders>
            <w:vAlign w:val="center"/>
          </w:tcPr>
          <w:p w14:paraId="28D4874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3000-5000</w:t>
            </w:r>
          </w:p>
        </w:tc>
        <w:tc>
          <w:tcPr>
            <w:tcW w:w="960" w:type="dxa"/>
            <w:tcBorders>
              <w:top w:val="single" w:color="auto" w:sz="4" w:space="0"/>
              <w:left w:val="nil"/>
              <w:bottom w:val="single" w:color="auto" w:sz="4" w:space="0"/>
              <w:right w:val="single" w:color="auto" w:sz="4" w:space="0"/>
            </w:tcBorders>
            <w:vAlign w:val="center"/>
          </w:tcPr>
          <w:p w14:paraId="6C03217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w:t>
            </w:r>
          </w:p>
        </w:tc>
        <w:tc>
          <w:tcPr>
            <w:tcW w:w="1875" w:type="dxa"/>
            <w:tcBorders>
              <w:top w:val="single" w:color="auto" w:sz="4" w:space="0"/>
              <w:left w:val="nil"/>
              <w:bottom w:val="single" w:color="auto" w:sz="4" w:space="0"/>
              <w:right w:val="single" w:color="auto" w:sz="4" w:space="0"/>
            </w:tcBorders>
            <w:vAlign w:val="center"/>
          </w:tcPr>
          <w:p w14:paraId="24911EC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3734" w:type="dxa"/>
            <w:tcBorders>
              <w:top w:val="single" w:color="auto" w:sz="4" w:space="0"/>
              <w:left w:val="nil"/>
              <w:bottom w:val="single" w:color="auto" w:sz="4" w:space="0"/>
              <w:right w:val="single" w:color="auto" w:sz="4" w:space="0"/>
            </w:tcBorders>
            <w:vAlign w:val="center"/>
          </w:tcPr>
          <w:p w14:paraId="2F29583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25.5+（5000-3000）×0.7%=39.5</w:t>
            </w:r>
          </w:p>
        </w:tc>
      </w:tr>
      <w:tr w14:paraId="6B5E836C">
        <w:tblPrEx>
          <w:tblCellMar>
            <w:top w:w="0" w:type="dxa"/>
            <w:left w:w="108" w:type="dxa"/>
            <w:bottom w:w="0"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2A13ED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11" w:type="dxa"/>
            <w:tcBorders>
              <w:top w:val="single" w:color="auto" w:sz="4" w:space="0"/>
              <w:left w:val="nil"/>
              <w:bottom w:val="single" w:color="auto" w:sz="4" w:space="0"/>
              <w:right w:val="single" w:color="auto" w:sz="4" w:space="0"/>
            </w:tcBorders>
            <w:vAlign w:val="center"/>
          </w:tcPr>
          <w:p w14:paraId="5CD5C0C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5000-10000</w:t>
            </w:r>
          </w:p>
        </w:tc>
        <w:tc>
          <w:tcPr>
            <w:tcW w:w="960" w:type="dxa"/>
            <w:tcBorders>
              <w:top w:val="single" w:color="auto" w:sz="4" w:space="0"/>
              <w:left w:val="nil"/>
              <w:bottom w:val="single" w:color="auto" w:sz="4" w:space="0"/>
              <w:right w:val="single" w:color="auto" w:sz="4" w:space="0"/>
            </w:tcBorders>
            <w:vAlign w:val="center"/>
          </w:tcPr>
          <w:p w14:paraId="02CD857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1875" w:type="dxa"/>
            <w:tcBorders>
              <w:top w:val="single" w:color="auto" w:sz="4" w:space="0"/>
              <w:left w:val="nil"/>
              <w:bottom w:val="single" w:color="auto" w:sz="4" w:space="0"/>
              <w:right w:val="single" w:color="auto" w:sz="4" w:space="0"/>
            </w:tcBorders>
            <w:vAlign w:val="center"/>
          </w:tcPr>
          <w:p w14:paraId="451C2EF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3734" w:type="dxa"/>
            <w:tcBorders>
              <w:top w:val="single" w:color="auto" w:sz="4" w:space="0"/>
              <w:left w:val="nil"/>
              <w:bottom w:val="single" w:color="auto" w:sz="4" w:space="0"/>
              <w:right w:val="single" w:color="auto" w:sz="4" w:space="0"/>
            </w:tcBorders>
            <w:vAlign w:val="center"/>
          </w:tcPr>
          <w:p w14:paraId="51D40C1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39.5+（10000-5000）×0.6%=69.5</w:t>
            </w:r>
          </w:p>
        </w:tc>
      </w:tr>
      <w:tr w14:paraId="6465EC11">
        <w:tblPrEx>
          <w:tblCellMar>
            <w:top w:w="0" w:type="dxa"/>
            <w:left w:w="108" w:type="dxa"/>
            <w:bottom w:w="0"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1E6AB2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11" w:type="dxa"/>
            <w:tcBorders>
              <w:top w:val="single" w:color="auto" w:sz="4" w:space="0"/>
              <w:left w:val="nil"/>
              <w:bottom w:val="single" w:color="auto" w:sz="4" w:space="0"/>
              <w:right w:val="single" w:color="auto" w:sz="4" w:space="0"/>
            </w:tcBorders>
            <w:vAlign w:val="center"/>
          </w:tcPr>
          <w:p w14:paraId="4B197EF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10000以上</w:t>
            </w:r>
          </w:p>
        </w:tc>
        <w:tc>
          <w:tcPr>
            <w:tcW w:w="960" w:type="dxa"/>
            <w:tcBorders>
              <w:top w:val="single" w:color="auto" w:sz="4" w:space="0"/>
              <w:left w:val="nil"/>
              <w:bottom w:val="single" w:color="auto" w:sz="4" w:space="0"/>
              <w:right w:val="single" w:color="auto" w:sz="4" w:space="0"/>
            </w:tcBorders>
            <w:vAlign w:val="center"/>
          </w:tcPr>
          <w:p w14:paraId="477A0EB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1875" w:type="dxa"/>
            <w:tcBorders>
              <w:top w:val="single" w:color="auto" w:sz="4" w:space="0"/>
              <w:left w:val="nil"/>
              <w:bottom w:val="single" w:color="auto" w:sz="4" w:space="0"/>
              <w:right w:val="single" w:color="auto" w:sz="4" w:space="0"/>
            </w:tcBorders>
            <w:vAlign w:val="center"/>
          </w:tcPr>
          <w:p w14:paraId="74AF207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15000</w:t>
            </w:r>
          </w:p>
        </w:tc>
        <w:tc>
          <w:tcPr>
            <w:tcW w:w="3734" w:type="dxa"/>
            <w:tcBorders>
              <w:top w:val="single" w:color="auto" w:sz="4" w:space="0"/>
              <w:left w:val="nil"/>
              <w:bottom w:val="single" w:color="auto" w:sz="4" w:space="0"/>
              <w:right w:val="single" w:color="auto" w:sz="4" w:space="0"/>
            </w:tcBorders>
            <w:vAlign w:val="center"/>
          </w:tcPr>
          <w:p w14:paraId="3FBF8CE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69.5+（15000-10000）×0.5%=94.5</w:t>
            </w:r>
          </w:p>
        </w:tc>
      </w:tr>
    </w:tbl>
    <w:p w14:paraId="24927C5E">
      <w:pPr>
        <w:keepNext w:val="0"/>
        <w:keepLines w:val="0"/>
        <w:pageBreakBefore w:val="0"/>
        <w:widowControl w:val="0"/>
        <w:kinsoku/>
        <w:wordWrap/>
        <w:overflowPunct/>
        <w:topLinePunct w:val="0"/>
        <w:autoSpaceDE/>
        <w:autoSpaceDN/>
        <w:bidi w:val="0"/>
        <w:adjustRightInd w:val="0"/>
        <w:snapToGrid w:val="0"/>
        <w:spacing w:line="240" w:lineRule="exact"/>
        <w:ind w:firstLine="480" w:firstLineChars="200"/>
        <w:jc w:val="left"/>
        <w:textAlignment w:val="auto"/>
        <w:rPr>
          <w:rFonts w:hint="eastAsia" w:ascii="Times New Roman" w:hAnsi="Times New Roman" w:cs="Times New Roman"/>
          <w:color w:val="auto"/>
          <w:sz w:val="24"/>
          <w:szCs w:val="24"/>
          <w:highlight w:val="none"/>
          <w:lang w:val="en-US" w:eastAsia="zh-CN"/>
        </w:rPr>
      </w:pPr>
    </w:p>
    <w:p w14:paraId="3D3C2A91">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项目管理费</w:t>
      </w:r>
    </w:p>
    <w:p w14:paraId="2EB2FB4E">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以工程施工费、前期工作费、工程监理费和竣工验收费之和作为计费基数，采用差额定率累进法计算。</w:t>
      </w:r>
    </w:p>
    <w:p w14:paraId="73483D7B">
      <w:pPr>
        <w:keepNext w:val="0"/>
        <w:keepLines w:val="0"/>
        <w:pageBreakBefore w:val="0"/>
        <w:widowControl w:val="0"/>
        <w:tabs>
          <w:tab w:val="left" w:pos="7235"/>
        </w:tabs>
        <w:kinsoku/>
        <w:wordWrap/>
        <w:overflowPunct/>
        <w:topLinePunct w:val="0"/>
        <w:autoSpaceDE/>
        <w:autoSpaceDN/>
        <w:bidi w:val="0"/>
        <w:adjustRightInd w:val="0"/>
        <w:snapToGrid w:val="0"/>
        <w:spacing w:line="360" w:lineRule="auto"/>
        <w:ind w:right="-518" w:rightChars="-216"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6-9</w:t>
      </w:r>
      <w:r>
        <w:rPr>
          <w:rFonts w:hint="default" w:ascii="Times New Roman" w:hAnsi="Times New Roman" w:eastAsia="宋体" w:cs="Times New Roman"/>
          <w:b/>
          <w:color w:val="auto"/>
          <w:sz w:val="21"/>
          <w:szCs w:val="21"/>
          <w:highlight w:val="none"/>
        </w:rPr>
        <w:t xml:space="preserve">  项目管理费计费标准</w:t>
      </w:r>
    </w:p>
    <w:tbl>
      <w:tblPr>
        <w:tblStyle w:val="12"/>
        <w:tblW w:w="8755" w:type="dxa"/>
        <w:jc w:val="center"/>
        <w:tblLayout w:type="fixed"/>
        <w:tblCellMar>
          <w:top w:w="0" w:type="dxa"/>
          <w:left w:w="108" w:type="dxa"/>
          <w:bottom w:w="0" w:type="dxa"/>
          <w:right w:w="108" w:type="dxa"/>
        </w:tblCellMar>
      </w:tblPr>
      <w:tblGrid>
        <w:gridCol w:w="675"/>
        <w:gridCol w:w="1376"/>
        <w:gridCol w:w="1170"/>
        <w:gridCol w:w="1860"/>
        <w:gridCol w:w="3674"/>
      </w:tblGrid>
      <w:tr w14:paraId="1AF40225">
        <w:tblPrEx>
          <w:tblCellMar>
            <w:top w:w="0" w:type="dxa"/>
            <w:left w:w="108" w:type="dxa"/>
            <w:bottom w:w="0" w:type="dxa"/>
            <w:right w:w="108" w:type="dxa"/>
          </w:tblCellMar>
        </w:tblPrEx>
        <w:trPr>
          <w:trHeight w:val="397" w:hRule="atLeast"/>
          <w:jc w:val="center"/>
        </w:trPr>
        <w:tc>
          <w:tcPr>
            <w:tcW w:w="675" w:type="dxa"/>
            <w:vMerge w:val="restart"/>
            <w:tcBorders>
              <w:top w:val="single" w:color="auto" w:sz="4" w:space="0"/>
              <w:left w:val="single" w:color="auto" w:sz="4" w:space="0"/>
              <w:right w:val="single" w:color="auto" w:sz="4" w:space="0"/>
            </w:tcBorders>
            <w:vAlign w:val="center"/>
          </w:tcPr>
          <w:p w14:paraId="6C54E2B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76" w:type="dxa"/>
            <w:vMerge w:val="restart"/>
            <w:tcBorders>
              <w:top w:val="single" w:color="auto" w:sz="4" w:space="0"/>
              <w:left w:val="single" w:color="auto" w:sz="4" w:space="0"/>
              <w:right w:val="single" w:color="auto" w:sz="4" w:space="0"/>
            </w:tcBorders>
            <w:vAlign w:val="center"/>
          </w:tcPr>
          <w:p w14:paraId="7E99D31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w:t>
            </w:r>
          </w:p>
          <w:p w14:paraId="042F196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（万元）</w:t>
            </w:r>
          </w:p>
        </w:tc>
        <w:tc>
          <w:tcPr>
            <w:tcW w:w="1170" w:type="dxa"/>
            <w:vMerge w:val="restart"/>
            <w:tcBorders>
              <w:top w:val="single" w:color="auto" w:sz="4" w:space="0"/>
              <w:left w:val="single" w:color="auto" w:sz="4" w:space="0"/>
              <w:right w:val="single" w:color="auto" w:sz="4" w:space="0"/>
            </w:tcBorders>
            <w:vAlign w:val="center"/>
          </w:tcPr>
          <w:p w14:paraId="1988448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费率</w:t>
            </w:r>
          </w:p>
          <w:p w14:paraId="499E552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534" w:type="dxa"/>
            <w:gridSpan w:val="2"/>
            <w:tcBorders>
              <w:top w:val="single" w:color="auto" w:sz="4" w:space="0"/>
              <w:left w:val="single" w:color="auto" w:sz="4" w:space="0"/>
              <w:bottom w:val="single" w:color="auto" w:sz="4" w:space="0"/>
              <w:right w:val="single" w:color="auto" w:sz="4" w:space="0"/>
            </w:tcBorders>
            <w:vAlign w:val="center"/>
          </w:tcPr>
          <w:p w14:paraId="0EC3E0C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算例</w:t>
            </w:r>
          </w:p>
        </w:tc>
      </w:tr>
      <w:tr w14:paraId="48DC6176">
        <w:tblPrEx>
          <w:tblCellMar>
            <w:top w:w="0" w:type="dxa"/>
            <w:left w:w="108" w:type="dxa"/>
            <w:bottom w:w="0" w:type="dxa"/>
            <w:right w:w="108" w:type="dxa"/>
          </w:tblCellMar>
        </w:tblPrEx>
        <w:trPr>
          <w:trHeight w:val="397" w:hRule="atLeast"/>
          <w:jc w:val="center"/>
        </w:trPr>
        <w:tc>
          <w:tcPr>
            <w:tcW w:w="675" w:type="dxa"/>
            <w:vMerge w:val="continue"/>
            <w:tcBorders>
              <w:left w:val="single" w:color="auto" w:sz="4" w:space="0"/>
              <w:bottom w:val="single" w:color="auto" w:sz="4" w:space="0"/>
              <w:right w:val="single" w:color="auto" w:sz="4" w:space="0"/>
            </w:tcBorders>
            <w:vAlign w:val="center"/>
          </w:tcPr>
          <w:p w14:paraId="747AE12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76" w:type="dxa"/>
            <w:vMerge w:val="continue"/>
            <w:tcBorders>
              <w:left w:val="single" w:color="auto" w:sz="4" w:space="0"/>
              <w:bottom w:val="single" w:color="auto" w:sz="4" w:space="0"/>
              <w:right w:val="single" w:color="auto" w:sz="4" w:space="0"/>
            </w:tcBorders>
            <w:vAlign w:val="center"/>
          </w:tcPr>
          <w:p w14:paraId="1331A05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0" w:type="dxa"/>
            <w:vMerge w:val="continue"/>
            <w:tcBorders>
              <w:left w:val="single" w:color="auto" w:sz="4" w:space="0"/>
              <w:bottom w:val="single" w:color="auto" w:sz="4" w:space="0"/>
              <w:right w:val="single" w:color="auto" w:sz="4" w:space="0"/>
            </w:tcBorders>
            <w:vAlign w:val="center"/>
          </w:tcPr>
          <w:p w14:paraId="3F4B652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60" w:type="dxa"/>
            <w:tcBorders>
              <w:top w:val="single" w:color="auto" w:sz="4" w:space="0"/>
              <w:left w:val="single" w:color="auto" w:sz="4" w:space="0"/>
              <w:bottom w:val="single" w:color="auto" w:sz="4" w:space="0"/>
              <w:right w:val="single" w:color="auto" w:sz="4" w:space="0"/>
            </w:tcBorders>
            <w:vAlign w:val="center"/>
          </w:tcPr>
          <w:p w14:paraId="166D91A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计费基础（万元）</w:t>
            </w:r>
          </w:p>
        </w:tc>
        <w:tc>
          <w:tcPr>
            <w:tcW w:w="3674" w:type="dxa"/>
            <w:tcBorders>
              <w:top w:val="single" w:color="auto" w:sz="4" w:space="0"/>
              <w:left w:val="single" w:color="auto" w:sz="4" w:space="0"/>
              <w:bottom w:val="single" w:color="auto" w:sz="4" w:space="0"/>
              <w:right w:val="single" w:color="auto" w:sz="4" w:space="0"/>
            </w:tcBorders>
            <w:vAlign w:val="center"/>
          </w:tcPr>
          <w:p w14:paraId="63F29A2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项目管理费（万元）</w:t>
            </w:r>
          </w:p>
        </w:tc>
      </w:tr>
      <w:tr w14:paraId="1258D4B3">
        <w:tblPrEx>
          <w:tblCellMar>
            <w:top w:w="0" w:type="dxa"/>
            <w:left w:w="108" w:type="dxa"/>
            <w:bottom w:w="0" w:type="dxa"/>
            <w:right w:w="108" w:type="dxa"/>
          </w:tblCellMar>
        </w:tblPrEx>
        <w:trPr>
          <w:trHeight w:val="397" w:hRule="atLeast"/>
          <w:jc w:val="center"/>
        </w:trPr>
        <w:tc>
          <w:tcPr>
            <w:tcW w:w="675" w:type="dxa"/>
            <w:tcBorders>
              <w:top w:val="nil"/>
              <w:left w:val="single" w:color="auto" w:sz="4" w:space="0"/>
              <w:bottom w:val="single" w:color="auto" w:sz="4" w:space="0"/>
              <w:right w:val="single" w:color="auto" w:sz="4" w:space="0"/>
            </w:tcBorders>
            <w:vAlign w:val="center"/>
          </w:tcPr>
          <w:p w14:paraId="4A8C1EB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6" w:type="dxa"/>
            <w:tcBorders>
              <w:top w:val="nil"/>
              <w:left w:val="nil"/>
              <w:bottom w:val="single" w:color="auto" w:sz="4" w:space="0"/>
              <w:right w:val="single" w:color="auto" w:sz="4" w:space="0"/>
            </w:tcBorders>
            <w:vAlign w:val="center"/>
          </w:tcPr>
          <w:p w14:paraId="7085B86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1170" w:type="dxa"/>
            <w:tcBorders>
              <w:top w:val="nil"/>
              <w:left w:val="nil"/>
              <w:bottom w:val="single" w:color="auto" w:sz="4" w:space="0"/>
              <w:right w:val="single" w:color="auto" w:sz="4" w:space="0"/>
            </w:tcBorders>
            <w:vAlign w:val="center"/>
          </w:tcPr>
          <w:p w14:paraId="428D2973">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860" w:type="dxa"/>
            <w:tcBorders>
              <w:top w:val="nil"/>
              <w:left w:val="nil"/>
              <w:bottom w:val="single" w:color="auto" w:sz="4" w:space="0"/>
              <w:right w:val="single" w:color="auto" w:sz="4" w:space="0"/>
            </w:tcBorders>
            <w:vAlign w:val="center"/>
          </w:tcPr>
          <w:p w14:paraId="535482F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3674" w:type="dxa"/>
            <w:tcBorders>
              <w:top w:val="nil"/>
              <w:left w:val="nil"/>
              <w:bottom w:val="single" w:color="auto" w:sz="4" w:space="0"/>
              <w:right w:val="single" w:color="auto" w:sz="4" w:space="0"/>
            </w:tcBorders>
            <w:vAlign w:val="center"/>
          </w:tcPr>
          <w:p w14:paraId="7327AB4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500×1.5%=7.5</w:t>
            </w:r>
          </w:p>
        </w:tc>
      </w:tr>
      <w:tr w14:paraId="59C47436">
        <w:tblPrEx>
          <w:tblCellMar>
            <w:top w:w="0" w:type="dxa"/>
            <w:left w:w="108" w:type="dxa"/>
            <w:bottom w:w="0" w:type="dxa"/>
            <w:right w:w="108" w:type="dxa"/>
          </w:tblCellMar>
        </w:tblPrEx>
        <w:trPr>
          <w:trHeight w:val="397" w:hRule="atLeast"/>
          <w:jc w:val="center"/>
        </w:trPr>
        <w:tc>
          <w:tcPr>
            <w:tcW w:w="675" w:type="dxa"/>
            <w:tcBorders>
              <w:top w:val="nil"/>
              <w:left w:val="single" w:color="auto" w:sz="4" w:space="0"/>
              <w:bottom w:val="single" w:color="auto" w:sz="4" w:space="0"/>
              <w:right w:val="single" w:color="auto" w:sz="4" w:space="0"/>
            </w:tcBorders>
            <w:vAlign w:val="center"/>
          </w:tcPr>
          <w:p w14:paraId="2BCF692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376" w:type="dxa"/>
            <w:tcBorders>
              <w:top w:val="nil"/>
              <w:left w:val="nil"/>
              <w:bottom w:val="single" w:color="auto" w:sz="4" w:space="0"/>
              <w:right w:val="single" w:color="auto" w:sz="4" w:space="0"/>
            </w:tcBorders>
            <w:vAlign w:val="center"/>
          </w:tcPr>
          <w:p w14:paraId="2413B36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500-1000</w:t>
            </w:r>
          </w:p>
        </w:tc>
        <w:tc>
          <w:tcPr>
            <w:tcW w:w="1170" w:type="dxa"/>
            <w:tcBorders>
              <w:top w:val="nil"/>
              <w:left w:val="nil"/>
              <w:bottom w:val="single" w:color="auto" w:sz="4" w:space="0"/>
              <w:right w:val="single" w:color="auto" w:sz="4" w:space="0"/>
            </w:tcBorders>
            <w:vAlign w:val="center"/>
          </w:tcPr>
          <w:p w14:paraId="4F64D11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860" w:type="dxa"/>
            <w:tcBorders>
              <w:top w:val="nil"/>
              <w:left w:val="nil"/>
              <w:bottom w:val="single" w:color="auto" w:sz="4" w:space="0"/>
              <w:right w:val="single" w:color="auto" w:sz="4" w:space="0"/>
            </w:tcBorders>
            <w:vAlign w:val="center"/>
          </w:tcPr>
          <w:p w14:paraId="6D206F7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3674" w:type="dxa"/>
            <w:tcBorders>
              <w:top w:val="nil"/>
              <w:left w:val="nil"/>
              <w:bottom w:val="single" w:color="auto" w:sz="4" w:space="0"/>
              <w:right w:val="single" w:color="auto" w:sz="4" w:space="0"/>
            </w:tcBorders>
            <w:vAlign w:val="center"/>
          </w:tcPr>
          <w:p w14:paraId="4E41A04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7.5+（1000-500）×1.0%=12.5</w:t>
            </w:r>
          </w:p>
        </w:tc>
      </w:tr>
      <w:tr w14:paraId="23F19739">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1F56787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376" w:type="dxa"/>
            <w:tcBorders>
              <w:top w:val="single" w:color="auto" w:sz="4" w:space="0"/>
              <w:left w:val="nil"/>
              <w:bottom w:val="single" w:color="auto" w:sz="4" w:space="0"/>
              <w:right w:val="single" w:color="auto" w:sz="4" w:space="0"/>
            </w:tcBorders>
            <w:vAlign w:val="center"/>
          </w:tcPr>
          <w:p w14:paraId="3BE0EE1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1000-3000</w:t>
            </w:r>
          </w:p>
        </w:tc>
        <w:tc>
          <w:tcPr>
            <w:tcW w:w="1170" w:type="dxa"/>
            <w:tcBorders>
              <w:top w:val="single" w:color="auto" w:sz="4" w:space="0"/>
              <w:left w:val="nil"/>
              <w:bottom w:val="single" w:color="auto" w:sz="4" w:space="0"/>
              <w:right w:val="single" w:color="auto" w:sz="4" w:space="0"/>
            </w:tcBorders>
            <w:vAlign w:val="center"/>
          </w:tcPr>
          <w:p w14:paraId="1B71489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1860" w:type="dxa"/>
            <w:tcBorders>
              <w:top w:val="single" w:color="auto" w:sz="4" w:space="0"/>
              <w:left w:val="nil"/>
              <w:bottom w:val="single" w:color="auto" w:sz="4" w:space="0"/>
              <w:right w:val="single" w:color="auto" w:sz="4" w:space="0"/>
            </w:tcBorders>
            <w:vAlign w:val="center"/>
          </w:tcPr>
          <w:p w14:paraId="6EB4CF0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3674" w:type="dxa"/>
            <w:tcBorders>
              <w:top w:val="single" w:color="auto" w:sz="4" w:space="0"/>
              <w:left w:val="nil"/>
              <w:bottom w:val="single" w:color="auto" w:sz="4" w:space="0"/>
              <w:right w:val="single" w:color="auto" w:sz="4" w:space="0"/>
            </w:tcBorders>
            <w:vAlign w:val="center"/>
          </w:tcPr>
          <w:p w14:paraId="3562161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12.5+（3000-1000）×0.5%=22.5</w:t>
            </w:r>
          </w:p>
        </w:tc>
      </w:tr>
      <w:tr w14:paraId="7F145057">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CECDBC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376" w:type="dxa"/>
            <w:tcBorders>
              <w:top w:val="single" w:color="auto" w:sz="4" w:space="0"/>
              <w:left w:val="nil"/>
              <w:bottom w:val="single" w:color="auto" w:sz="4" w:space="0"/>
              <w:right w:val="single" w:color="auto" w:sz="4" w:space="0"/>
            </w:tcBorders>
            <w:vAlign w:val="center"/>
          </w:tcPr>
          <w:p w14:paraId="44ACCF4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3000-5000</w:t>
            </w:r>
          </w:p>
        </w:tc>
        <w:tc>
          <w:tcPr>
            <w:tcW w:w="1170" w:type="dxa"/>
            <w:tcBorders>
              <w:top w:val="single" w:color="auto" w:sz="4" w:space="0"/>
              <w:left w:val="nil"/>
              <w:bottom w:val="single" w:color="auto" w:sz="4" w:space="0"/>
              <w:right w:val="single" w:color="auto" w:sz="4" w:space="0"/>
            </w:tcBorders>
            <w:vAlign w:val="center"/>
          </w:tcPr>
          <w:p w14:paraId="5178E37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60" w:type="dxa"/>
            <w:tcBorders>
              <w:top w:val="single" w:color="auto" w:sz="4" w:space="0"/>
              <w:left w:val="nil"/>
              <w:bottom w:val="single" w:color="auto" w:sz="4" w:space="0"/>
              <w:right w:val="single" w:color="auto" w:sz="4" w:space="0"/>
            </w:tcBorders>
            <w:vAlign w:val="center"/>
          </w:tcPr>
          <w:p w14:paraId="4CF5120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3674" w:type="dxa"/>
            <w:tcBorders>
              <w:top w:val="single" w:color="auto" w:sz="4" w:space="0"/>
              <w:left w:val="nil"/>
              <w:bottom w:val="single" w:color="auto" w:sz="4" w:space="0"/>
              <w:right w:val="single" w:color="auto" w:sz="4" w:space="0"/>
            </w:tcBorders>
            <w:vAlign w:val="center"/>
          </w:tcPr>
          <w:p w14:paraId="5C09A50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22.5+（5000-3000）×0.3%=28.5</w:t>
            </w:r>
          </w:p>
        </w:tc>
      </w:tr>
      <w:tr w14:paraId="3CBDF286">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3A09F4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376" w:type="dxa"/>
            <w:tcBorders>
              <w:top w:val="single" w:color="auto" w:sz="4" w:space="0"/>
              <w:left w:val="nil"/>
              <w:bottom w:val="single" w:color="auto" w:sz="4" w:space="0"/>
              <w:right w:val="single" w:color="auto" w:sz="4" w:space="0"/>
            </w:tcBorders>
            <w:vAlign w:val="center"/>
          </w:tcPr>
          <w:p w14:paraId="06A9629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5000-10000</w:t>
            </w:r>
          </w:p>
        </w:tc>
        <w:tc>
          <w:tcPr>
            <w:tcW w:w="1170" w:type="dxa"/>
            <w:tcBorders>
              <w:top w:val="single" w:color="auto" w:sz="4" w:space="0"/>
              <w:left w:val="nil"/>
              <w:bottom w:val="single" w:color="auto" w:sz="4" w:space="0"/>
              <w:right w:val="single" w:color="auto" w:sz="4" w:space="0"/>
            </w:tcBorders>
            <w:vAlign w:val="center"/>
          </w:tcPr>
          <w:p w14:paraId="0BF2495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60" w:type="dxa"/>
            <w:tcBorders>
              <w:top w:val="single" w:color="auto" w:sz="4" w:space="0"/>
              <w:left w:val="nil"/>
              <w:bottom w:val="single" w:color="auto" w:sz="4" w:space="0"/>
              <w:right w:val="single" w:color="auto" w:sz="4" w:space="0"/>
            </w:tcBorders>
            <w:vAlign w:val="center"/>
          </w:tcPr>
          <w:p w14:paraId="063CCD7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3674" w:type="dxa"/>
            <w:tcBorders>
              <w:top w:val="single" w:color="auto" w:sz="4" w:space="0"/>
              <w:left w:val="nil"/>
              <w:bottom w:val="single" w:color="auto" w:sz="4" w:space="0"/>
              <w:right w:val="single" w:color="auto" w:sz="4" w:space="0"/>
            </w:tcBorders>
            <w:vAlign w:val="center"/>
          </w:tcPr>
          <w:p w14:paraId="3E1EF2C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28.5+（10000-5000）×0.1%=33.5</w:t>
            </w:r>
          </w:p>
        </w:tc>
      </w:tr>
      <w:tr w14:paraId="39AA8DF4">
        <w:tblPrEx>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11EECE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376" w:type="dxa"/>
            <w:tcBorders>
              <w:top w:val="single" w:color="auto" w:sz="4" w:space="0"/>
              <w:left w:val="nil"/>
              <w:bottom w:val="single" w:color="auto" w:sz="4" w:space="0"/>
              <w:right w:val="single" w:color="auto" w:sz="4" w:space="0"/>
            </w:tcBorders>
            <w:vAlign w:val="center"/>
          </w:tcPr>
          <w:p w14:paraId="7837755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10000以上</w:t>
            </w:r>
          </w:p>
        </w:tc>
        <w:tc>
          <w:tcPr>
            <w:tcW w:w="1170" w:type="dxa"/>
            <w:tcBorders>
              <w:top w:val="single" w:color="auto" w:sz="4" w:space="0"/>
              <w:left w:val="nil"/>
              <w:bottom w:val="single" w:color="auto" w:sz="4" w:space="0"/>
              <w:right w:val="single" w:color="auto" w:sz="4" w:space="0"/>
            </w:tcBorders>
            <w:vAlign w:val="center"/>
          </w:tcPr>
          <w:p w14:paraId="53A0079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w:t>
            </w:r>
          </w:p>
        </w:tc>
        <w:tc>
          <w:tcPr>
            <w:tcW w:w="1860" w:type="dxa"/>
            <w:tcBorders>
              <w:top w:val="single" w:color="auto" w:sz="4" w:space="0"/>
              <w:left w:val="nil"/>
              <w:bottom w:val="single" w:color="auto" w:sz="4" w:space="0"/>
              <w:right w:val="single" w:color="auto" w:sz="4" w:space="0"/>
            </w:tcBorders>
            <w:vAlign w:val="center"/>
          </w:tcPr>
          <w:p w14:paraId="42B1BA2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15000</w:t>
            </w:r>
          </w:p>
        </w:tc>
        <w:tc>
          <w:tcPr>
            <w:tcW w:w="3674" w:type="dxa"/>
            <w:tcBorders>
              <w:top w:val="single" w:color="auto" w:sz="4" w:space="0"/>
              <w:left w:val="nil"/>
              <w:bottom w:val="single" w:color="auto" w:sz="4" w:space="0"/>
              <w:right w:val="single" w:color="auto" w:sz="4" w:space="0"/>
            </w:tcBorders>
            <w:vAlign w:val="center"/>
          </w:tcPr>
          <w:p w14:paraId="1635D6F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33.5+（15000-10000）×0.08%=37.5</w:t>
            </w:r>
          </w:p>
        </w:tc>
      </w:tr>
    </w:tbl>
    <w:p w14:paraId="0CF06B83">
      <w:pPr>
        <w:keepNext w:val="0"/>
        <w:keepLines w:val="0"/>
        <w:pageBreakBefore w:val="0"/>
        <w:widowControl w:val="0"/>
        <w:kinsoku/>
        <w:wordWrap/>
        <w:overflowPunct/>
        <w:topLinePunct w:val="0"/>
        <w:autoSpaceDE/>
        <w:autoSpaceDN/>
        <w:bidi w:val="0"/>
        <w:adjustRightInd w:val="0"/>
        <w:snapToGrid w:val="0"/>
        <w:spacing w:line="240" w:lineRule="exact"/>
        <w:ind w:firstLine="482" w:firstLineChars="200"/>
        <w:jc w:val="left"/>
        <w:textAlignment w:val="auto"/>
        <w:rPr>
          <w:rFonts w:hint="default" w:ascii="Times New Roman" w:hAnsi="Times New Roman" w:eastAsia="宋体" w:cs="Times New Roman"/>
          <w:b/>
          <w:color w:val="auto"/>
          <w:sz w:val="24"/>
          <w:szCs w:val="24"/>
          <w:highlight w:val="none"/>
        </w:rPr>
      </w:pPr>
    </w:p>
    <w:p w14:paraId="42E79F28">
      <w:pPr>
        <w:wordWrap/>
        <w:spacing w:line="360" w:lineRule="auto"/>
        <w:ind w:firstLine="480" w:firstLineChars="200"/>
        <w:jc w:val="left"/>
        <w:rPr>
          <w:rFonts w:hint="default" w:ascii="Times New Roman" w:hAnsi="Times New Roman" w:eastAsia="宋体" w:cs="Times New Roman"/>
          <w:b w:val="0"/>
          <w:bCs/>
          <w:color w:val="auto"/>
          <w:sz w:val="24"/>
          <w:szCs w:val="24"/>
          <w:highlight w:val="none"/>
        </w:rPr>
      </w:pP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不可预见费</w:t>
      </w:r>
    </w:p>
    <w:p w14:paraId="1710A3D3">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不可预见费以工程施工费、其他费用之和作为计费基数，费率取3%。</w:t>
      </w:r>
    </w:p>
    <w:p w14:paraId="33694F07">
      <w:pPr>
        <w:tabs>
          <w:tab w:val="left" w:pos="7235"/>
        </w:tabs>
        <w:wordWrap/>
        <w:spacing w:line="240" w:lineRule="auto"/>
        <w:ind w:right="-518" w:rightChars="-216"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6-10</w:t>
      </w:r>
      <w:r>
        <w:rPr>
          <w:rFonts w:hint="default" w:ascii="Times New Roman" w:hAnsi="Times New Roman" w:eastAsia="宋体" w:cs="Times New Roman"/>
          <w:b/>
          <w:color w:val="auto"/>
          <w:sz w:val="21"/>
          <w:szCs w:val="21"/>
          <w:highlight w:val="none"/>
        </w:rPr>
        <w:t xml:space="preserve">  不可预见费计算表</w:t>
      </w:r>
    </w:p>
    <w:tbl>
      <w:tblPr>
        <w:tblStyle w:val="12"/>
        <w:tblW w:w="0" w:type="auto"/>
        <w:jc w:val="center"/>
        <w:tblLayout w:type="fixed"/>
        <w:tblCellMar>
          <w:top w:w="0" w:type="dxa"/>
          <w:left w:w="108" w:type="dxa"/>
          <w:bottom w:w="0" w:type="dxa"/>
          <w:right w:w="108" w:type="dxa"/>
        </w:tblCellMar>
      </w:tblPr>
      <w:tblGrid>
        <w:gridCol w:w="826"/>
        <w:gridCol w:w="2181"/>
        <w:gridCol w:w="4110"/>
        <w:gridCol w:w="1411"/>
      </w:tblGrid>
      <w:tr w14:paraId="465E3302">
        <w:tblPrEx>
          <w:tblCellMar>
            <w:top w:w="0" w:type="dxa"/>
            <w:left w:w="108" w:type="dxa"/>
            <w:bottom w:w="0" w:type="dxa"/>
            <w:right w:w="108" w:type="dxa"/>
          </w:tblCellMar>
        </w:tblPrEx>
        <w:trPr>
          <w:trHeight w:val="454"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14:paraId="6AB8BDE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81" w:type="dxa"/>
            <w:tcBorders>
              <w:top w:val="single" w:color="auto" w:sz="4" w:space="0"/>
              <w:left w:val="single" w:color="auto" w:sz="4" w:space="0"/>
              <w:bottom w:val="single" w:color="auto" w:sz="4" w:space="0"/>
              <w:right w:val="single" w:color="auto" w:sz="4" w:space="0"/>
            </w:tcBorders>
            <w:vAlign w:val="center"/>
          </w:tcPr>
          <w:p w14:paraId="5519E10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费用名称</w:t>
            </w:r>
          </w:p>
        </w:tc>
        <w:tc>
          <w:tcPr>
            <w:tcW w:w="4110" w:type="dxa"/>
            <w:tcBorders>
              <w:top w:val="single" w:color="auto" w:sz="4" w:space="0"/>
              <w:left w:val="single" w:color="auto" w:sz="4" w:space="0"/>
              <w:bottom w:val="single" w:color="auto" w:sz="4" w:space="0"/>
              <w:right w:val="single" w:color="auto" w:sz="4" w:space="0"/>
            </w:tcBorders>
            <w:vAlign w:val="center"/>
          </w:tcPr>
          <w:p w14:paraId="2547279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计费基数（万元）</w:t>
            </w:r>
          </w:p>
        </w:tc>
        <w:tc>
          <w:tcPr>
            <w:tcW w:w="1411" w:type="dxa"/>
            <w:tcBorders>
              <w:top w:val="single" w:color="auto" w:sz="4" w:space="0"/>
              <w:left w:val="single" w:color="auto" w:sz="4" w:space="0"/>
              <w:bottom w:val="single" w:color="auto" w:sz="4" w:space="0"/>
              <w:right w:val="single" w:color="auto" w:sz="4" w:space="0"/>
            </w:tcBorders>
            <w:vAlign w:val="center"/>
          </w:tcPr>
          <w:p w14:paraId="341D18F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费率％</w:t>
            </w:r>
          </w:p>
        </w:tc>
      </w:tr>
      <w:tr w14:paraId="14F1F817">
        <w:tblPrEx>
          <w:tblCellMar>
            <w:top w:w="0" w:type="dxa"/>
            <w:left w:w="108" w:type="dxa"/>
            <w:bottom w:w="0" w:type="dxa"/>
            <w:right w:w="108" w:type="dxa"/>
          </w:tblCellMar>
        </w:tblPrEx>
        <w:trPr>
          <w:trHeight w:val="454" w:hRule="atLeast"/>
          <w:jc w:val="center"/>
        </w:trPr>
        <w:tc>
          <w:tcPr>
            <w:tcW w:w="826" w:type="dxa"/>
            <w:tcBorders>
              <w:top w:val="nil"/>
              <w:left w:val="single" w:color="auto" w:sz="4" w:space="0"/>
              <w:bottom w:val="single" w:color="auto" w:sz="4" w:space="0"/>
              <w:right w:val="single" w:color="auto" w:sz="4" w:space="0"/>
            </w:tcBorders>
            <w:vAlign w:val="center"/>
          </w:tcPr>
          <w:p w14:paraId="61D0F59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81" w:type="dxa"/>
            <w:tcBorders>
              <w:top w:val="nil"/>
              <w:left w:val="nil"/>
              <w:bottom w:val="single" w:color="auto" w:sz="4" w:space="0"/>
              <w:right w:val="single" w:color="auto" w:sz="4" w:space="0"/>
            </w:tcBorders>
            <w:vAlign w:val="center"/>
          </w:tcPr>
          <w:p w14:paraId="7580968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不可预见费</w:t>
            </w:r>
          </w:p>
        </w:tc>
        <w:tc>
          <w:tcPr>
            <w:tcW w:w="4110" w:type="dxa"/>
            <w:tcBorders>
              <w:top w:val="nil"/>
              <w:left w:val="nil"/>
              <w:bottom w:val="single" w:color="auto" w:sz="4" w:space="0"/>
              <w:right w:val="single" w:color="auto" w:sz="4" w:space="0"/>
            </w:tcBorders>
            <w:vAlign w:val="center"/>
          </w:tcPr>
          <w:p w14:paraId="5B5FB49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工程施工费+其他费用</w:t>
            </w:r>
          </w:p>
        </w:tc>
        <w:tc>
          <w:tcPr>
            <w:tcW w:w="1411" w:type="dxa"/>
            <w:tcBorders>
              <w:top w:val="nil"/>
              <w:left w:val="nil"/>
              <w:bottom w:val="single" w:color="auto" w:sz="4" w:space="0"/>
              <w:right w:val="single" w:color="auto" w:sz="4" w:space="0"/>
            </w:tcBorders>
            <w:vAlign w:val="center"/>
          </w:tcPr>
          <w:p w14:paraId="6669620A">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bl>
    <w:p w14:paraId="2DF9FB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rPr>
      </w:pPr>
      <w:r>
        <w:rPr>
          <w:rFonts w:hint="eastAsia"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rPr>
        <w:t>监测管护费</w:t>
      </w:r>
    </w:p>
    <w:p w14:paraId="07E81D29">
      <w:pPr>
        <w:keepNext w:val="0"/>
        <w:keepLines w:val="0"/>
        <w:widowControl w:val="0"/>
        <w:suppressLineNumbers w:val="0"/>
        <w:spacing w:before="0" w:beforeAutospacing="0" w:after="0" w:afterAutospacing="0" w:line="374" w:lineRule="auto"/>
        <w:ind w:left="0" w:right="0" w:firstLine="480" w:firstLineChars="200"/>
        <w:jc w:val="left"/>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监测管护费=监测费+管护费</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宋体"/>
          <w:color w:val="auto"/>
          <w:kern w:val="2"/>
          <w:sz w:val="24"/>
          <w:szCs w:val="24"/>
          <w:lang w:val="en-US" w:eastAsia="zh-CN" w:bidi="ar"/>
        </w:rPr>
        <w:t>对监测管护费总价进行限定，原则上不超过工程施工费的</w:t>
      </w:r>
      <w:r>
        <w:rPr>
          <w:rFonts w:hint="default" w:ascii="Times New Roman" w:hAnsi="Times New Roman" w:eastAsia="宋体" w:cs="Times New Roman"/>
          <w:color w:val="auto"/>
          <w:kern w:val="2"/>
          <w:sz w:val="24"/>
          <w:szCs w:val="24"/>
          <w:lang w:val="en-US" w:eastAsia="zh-CN" w:bidi="ar"/>
        </w:rPr>
        <w:t>10%</w:t>
      </w:r>
      <w:r>
        <w:rPr>
          <w:rFonts w:hint="eastAsia" w:ascii="Times New Roman" w:hAnsi="Times New Roman" w:eastAsia="宋体" w:cs="宋体"/>
          <w:color w:val="auto"/>
          <w:kern w:val="2"/>
          <w:sz w:val="24"/>
          <w:szCs w:val="24"/>
          <w:lang w:val="en-US" w:eastAsia="zh-CN" w:bidi="ar"/>
        </w:rPr>
        <w:t>。</w:t>
      </w:r>
    </w:p>
    <w:p w14:paraId="20D5402B">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监测费</w:t>
      </w:r>
      <w:r>
        <w:rPr>
          <w:rFonts w:hint="default" w:ascii="Times New Roman" w:hAnsi="Times New Roman" w:eastAsia="宋体" w:cs="Times New Roman"/>
          <w:color w:val="auto"/>
          <w:spacing w:val="-4"/>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频率（次</w:t>
      </w:r>
      <w:r>
        <w:rPr>
          <w:rFonts w:hint="default" w:ascii="Times New Roman" w:hAnsi="Times New Roman" w:eastAsia="宋体" w:cs="Times New Roman"/>
          <w:color w:val="auto"/>
          <w:spacing w:val="-4"/>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年）</w:t>
      </w:r>
      <w:r>
        <w:rPr>
          <w:rFonts w:hint="default" w:ascii="Times New Roman" w:hAnsi="Times New Roman" w:eastAsia="宋体" w:cs="Times New Roman"/>
          <w:color w:val="auto"/>
          <w:spacing w:val="-4"/>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年限（年）</w:t>
      </w:r>
      <w:r>
        <w:rPr>
          <w:rFonts w:hint="default" w:ascii="Times New Roman" w:hAnsi="Times New Roman" w:eastAsia="宋体" w:cs="Times New Roman"/>
          <w:color w:val="auto"/>
          <w:spacing w:val="-4"/>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单次费用（万元）</w:t>
      </w:r>
      <w:r>
        <w:rPr>
          <w:rFonts w:hint="default" w:ascii="Times New Roman" w:hAnsi="Times New Roman" w:eastAsia="宋体" w:cs="Times New Roman"/>
          <w:color w:val="auto"/>
          <w:spacing w:val="-4"/>
          <w:sz w:val="24"/>
          <w:szCs w:val="24"/>
          <w:highlight w:val="none"/>
        </w:rPr>
        <w:t>。</w:t>
      </w:r>
    </w:p>
    <w:p w14:paraId="31D7FB2D">
      <w:pPr>
        <w:wordWrap/>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管护费</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频率（次</w:t>
      </w:r>
      <w:r>
        <w:rPr>
          <w:rFonts w:hint="default" w:ascii="Times New Roman" w:hAnsi="Times New Roman" w:eastAsia="宋体" w:cs="Times New Roman"/>
          <w:color w:val="auto"/>
          <w:spacing w:val="-4"/>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年）</w:t>
      </w:r>
      <w:r>
        <w:rPr>
          <w:rFonts w:hint="default" w:ascii="Times New Roman" w:hAnsi="Times New Roman" w:eastAsia="宋体" w:cs="Times New Roman"/>
          <w:color w:val="auto"/>
          <w:spacing w:val="-4"/>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年限（年）</w:t>
      </w:r>
      <w:r>
        <w:rPr>
          <w:rFonts w:hint="default" w:ascii="Times New Roman" w:hAnsi="Times New Roman" w:eastAsia="宋体" w:cs="Times New Roman"/>
          <w:color w:val="auto"/>
          <w:spacing w:val="-4"/>
          <w:kern w:val="2"/>
          <w:sz w:val="24"/>
          <w:szCs w:val="24"/>
          <w:lang w:val="en-US" w:eastAsia="zh-CN" w:bidi="ar"/>
        </w:rPr>
        <w:t>×</w:t>
      </w:r>
      <w:r>
        <w:rPr>
          <w:rFonts w:hint="eastAsia" w:ascii="Times New Roman" w:hAnsi="Times New Roman" w:eastAsia="宋体" w:cs="Times New Roman"/>
          <w:color w:val="auto"/>
          <w:spacing w:val="-4"/>
          <w:kern w:val="2"/>
          <w:sz w:val="24"/>
          <w:szCs w:val="24"/>
          <w:lang w:val="en-US" w:eastAsia="zh-CN" w:bidi="ar"/>
        </w:rPr>
        <w:t>单次费用（万元）</w:t>
      </w:r>
      <w:r>
        <w:rPr>
          <w:rFonts w:hint="default" w:ascii="Times New Roman" w:hAnsi="Times New Roman" w:eastAsia="宋体" w:cs="Times New Roman"/>
          <w:color w:val="auto"/>
          <w:sz w:val="24"/>
          <w:szCs w:val="24"/>
          <w:highlight w:val="none"/>
        </w:rPr>
        <w:t>。</w:t>
      </w:r>
    </w:p>
    <w:p w14:paraId="62C417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lang w:val="en-US"/>
        </w:rPr>
      </w:pPr>
      <w:r>
        <w:rPr>
          <w:rFonts w:hint="eastAsia" w:cs="Times New Roman"/>
          <w:b w:val="0"/>
          <w:bCs/>
          <w:color w:val="auto"/>
          <w:sz w:val="24"/>
          <w:szCs w:val="24"/>
          <w:highlight w:val="none"/>
          <w:lang w:val="en-US" w:eastAsia="zh-CN"/>
        </w:rPr>
        <w:t>（5）</w:t>
      </w:r>
      <w:r>
        <w:rPr>
          <w:rFonts w:hint="eastAsia" w:ascii="Times New Roman" w:hAnsi="Times New Roman" w:eastAsia="宋体" w:cs="Times New Roman"/>
          <w:b w:val="0"/>
          <w:bCs/>
          <w:color w:val="auto"/>
          <w:sz w:val="24"/>
          <w:szCs w:val="24"/>
          <w:highlight w:val="none"/>
          <w:lang w:val="en-US" w:eastAsia="zh-CN"/>
        </w:rPr>
        <w:t>价差预备费</w:t>
      </w:r>
    </w:p>
    <w:p w14:paraId="2D3FC332">
      <w:pPr>
        <w:keepNext w:val="0"/>
        <w:keepLines w:val="0"/>
        <w:widowControl w:val="0"/>
        <w:suppressLineNumbers w:val="0"/>
        <w:spacing w:before="0" w:beforeAutospacing="0" w:after="0" w:afterAutospacing="0"/>
        <w:ind w:left="0" w:right="0" w:firstLine="480" w:firstLineChars="200"/>
        <w:jc w:val="left"/>
        <w:rPr>
          <w:color w:val="auto"/>
          <w:sz w:val="24"/>
          <w:szCs w:val="24"/>
          <w:vertAlign w:val="subscript"/>
          <w:lang w:val="en-US"/>
        </w:rPr>
      </w:pPr>
      <w:r>
        <w:rPr>
          <w:rFonts w:hint="default" w:ascii="Times New Roman" w:hAnsi="Times New Roman" w:eastAsia="宋体" w:cs="Times New Roman"/>
          <w:color w:val="auto"/>
          <w:kern w:val="2"/>
          <w:sz w:val="24"/>
          <w:szCs w:val="24"/>
          <w:lang w:val="en-US" w:eastAsia="zh-CN" w:bidi="ar"/>
        </w:rPr>
        <w:t xml:space="preserve">               </w:t>
      </w:r>
      <w:r>
        <w:rPr>
          <w:rFonts w:hint="default" w:ascii="Times New Roman" w:hAnsi="Times New Roman" w:eastAsia="宋体" w:cs="Times New Roman"/>
          <w:color w:val="auto"/>
          <w:kern w:val="2"/>
          <w:sz w:val="24"/>
          <w:szCs w:val="24"/>
          <w:vertAlign w:val="subscript"/>
          <w:lang w:val="en-US" w:eastAsia="zh-CN" w:bidi="ar"/>
        </w:rPr>
        <w:t>n</w:t>
      </w:r>
    </w:p>
    <w:p w14:paraId="5D53B415">
      <w:pPr>
        <w:keepNext w:val="0"/>
        <w:keepLines w:val="0"/>
        <w:widowControl w:val="0"/>
        <w:suppressLineNumbers w:val="0"/>
        <w:spacing w:before="0" w:beforeAutospacing="0" w:after="0" w:afterAutospacing="0"/>
        <w:ind w:left="0" w:right="0" w:firstLine="480" w:firstLineChars="200"/>
        <w:jc w:val="left"/>
        <w:rPr>
          <w:color w:val="auto"/>
          <w:sz w:val="24"/>
          <w:szCs w:val="24"/>
          <w:lang w:val="en-US"/>
        </w:rPr>
      </w:pPr>
      <w:r>
        <w:rPr>
          <w:rFonts w:hint="eastAsia" w:ascii="Times New Roman" w:hAnsi="Times New Roman" w:eastAsia="宋体" w:cs="宋体"/>
          <w:color w:val="auto"/>
          <w:kern w:val="2"/>
          <w:sz w:val="24"/>
          <w:szCs w:val="24"/>
          <w:lang w:val="en-US" w:eastAsia="zh-CN" w:bidi="ar"/>
        </w:rPr>
        <w:t>计算公式：</w:t>
      </w:r>
      <w:r>
        <w:rPr>
          <w:rFonts w:hint="default" w:ascii="Times New Roman" w:hAnsi="Times New Roman" w:eastAsia="宋体" w:cs="Times New Roman"/>
          <w:color w:val="auto"/>
          <w:kern w:val="2"/>
          <w:sz w:val="24"/>
          <w:szCs w:val="24"/>
          <w:lang w:val="en-US" w:eastAsia="zh-CN" w:bidi="ar"/>
        </w:rPr>
        <w:t>PF= ∑I</w:t>
      </w:r>
      <w:r>
        <w:rPr>
          <w:rFonts w:hint="default" w:ascii="Times New Roman" w:hAnsi="Times New Roman" w:eastAsia="宋体" w:cs="Times New Roman"/>
          <w:color w:val="auto"/>
          <w:kern w:val="2"/>
          <w:sz w:val="24"/>
          <w:szCs w:val="24"/>
          <w:vertAlign w:val="subscript"/>
          <w:lang w:val="en-US" w:eastAsia="zh-CN" w:bidi="ar"/>
        </w:rPr>
        <w:t>t</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1+f</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vertAlign w:val="superscript"/>
          <w:lang w:val="en-US" w:eastAsia="zh-CN" w:bidi="ar"/>
        </w:rPr>
        <w:t>m</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1+f</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vertAlign w:val="superscript"/>
          <w:lang w:val="en-US" w:eastAsia="zh-CN" w:bidi="ar"/>
        </w:rPr>
        <w:t>0.5</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1+f</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vertAlign w:val="superscript"/>
          <w:lang w:val="en-US" w:eastAsia="zh-CN" w:bidi="ar"/>
        </w:rPr>
        <w:t>t-1</w:t>
      </w:r>
      <w:r>
        <w:rPr>
          <w:rFonts w:hint="default" w:ascii="Times New Roman" w:hAnsi="Times New Roman" w:eastAsia="宋体" w:cs="Times New Roman"/>
          <w:color w:val="auto"/>
          <w:kern w:val="2"/>
          <w:sz w:val="24"/>
          <w:szCs w:val="24"/>
          <w:lang w:val="en-US" w:eastAsia="zh-CN" w:bidi="ar"/>
        </w:rPr>
        <w:t>-1]</w:t>
      </w:r>
    </w:p>
    <w:p w14:paraId="52A21D8B">
      <w:pPr>
        <w:keepNext w:val="0"/>
        <w:keepLines w:val="0"/>
        <w:widowControl w:val="0"/>
        <w:suppressLineNumbers w:val="0"/>
        <w:spacing w:before="0" w:beforeAutospacing="0" w:after="0" w:afterAutospacing="0"/>
        <w:ind w:left="72" w:leftChars="30" w:right="0" w:firstLine="480" w:firstLineChars="200"/>
        <w:jc w:val="left"/>
        <w:rPr>
          <w:color w:val="auto"/>
          <w:sz w:val="24"/>
          <w:szCs w:val="24"/>
          <w:vertAlign w:val="superscript"/>
          <w:lang w:val="en-US"/>
        </w:rPr>
      </w:pPr>
      <w:r>
        <w:rPr>
          <w:rFonts w:hint="default" w:ascii="Times New Roman" w:hAnsi="Times New Roman" w:eastAsia="宋体" w:cs="Times New Roman"/>
          <w:color w:val="auto"/>
          <w:kern w:val="2"/>
          <w:sz w:val="24"/>
          <w:szCs w:val="24"/>
          <w:lang w:val="en-US" w:eastAsia="zh-CN" w:bidi="ar"/>
        </w:rPr>
        <w:t xml:space="preserve">              </w:t>
      </w:r>
      <w:r>
        <w:rPr>
          <w:rFonts w:hint="default" w:ascii="Times New Roman" w:hAnsi="Times New Roman" w:eastAsia="宋体" w:cs="Times New Roman"/>
          <w:color w:val="auto"/>
          <w:kern w:val="2"/>
          <w:sz w:val="24"/>
          <w:szCs w:val="24"/>
          <w:vertAlign w:val="superscript"/>
          <w:lang w:val="en-US" w:eastAsia="zh-CN" w:bidi="ar"/>
        </w:rPr>
        <w:t>t=1</w:t>
      </w:r>
    </w:p>
    <w:p w14:paraId="0468D579">
      <w:pPr>
        <w:keepNext w:val="0"/>
        <w:keepLines w:val="0"/>
        <w:widowControl w:val="0"/>
        <w:suppressLineNumbers w:val="0"/>
        <w:spacing w:before="0" w:beforeAutospacing="0" w:after="0" w:afterAutospacing="0" w:line="360" w:lineRule="auto"/>
        <w:ind w:left="0" w:right="0" w:firstLine="480" w:firstLineChars="200"/>
        <w:jc w:val="left"/>
        <w:rPr>
          <w:color w:val="auto"/>
          <w:sz w:val="24"/>
          <w:szCs w:val="24"/>
          <w:lang w:val="en-US"/>
        </w:rPr>
      </w:pPr>
      <w:r>
        <w:rPr>
          <w:rFonts w:hint="eastAsia" w:ascii="Times New Roman" w:hAnsi="Times New Roman" w:eastAsia="宋体" w:cs="宋体"/>
          <w:color w:val="auto"/>
          <w:kern w:val="2"/>
          <w:sz w:val="24"/>
          <w:szCs w:val="24"/>
          <w:lang w:val="en-US" w:eastAsia="zh-CN" w:bidi="ar"/>
        </w:rPr>
        <w:t>式中：</w:t>
      </w:r>
      <w:r>
        <w:rPr>
          <w:rFonts w:hint="default" w:ascii="Times New Roman" w:hAnsi="Times New Roman" w:eastAsia="宋体" w:cs="Times New Roman"/>
          <w:color w:val="auto"/>
          <w:kern w:val="2"/>
          <w:sz w:val="24"/>
          <w:szCs w:val="24"/>
          <w:lang w:val="en-US" w:eastAsia="zh-CN" w:bidi="ar"/>
        </w:rPr>
        <w:t>PF—</w:t>
      </w:r>
      <w:r>
        <w:rPr>
          <w:rFonts w:hint="eastAsia" w:ascii="Times New Roman" w:hAnsi="Times New Roman" w:eastAsia="宋体" w:cs="宋体"/>
          <w:color w:val="auto"/>
          <w:kern w:val="2"/>
          <w:sz w:val="24"/>
          <w:szCs w:val="24"/>
          <w:lang w:val="en-US" w:eastAsia="zh-CN" w:bidi="ar"/>
        </w:rPr>
        <w:t>价差预备费</w:t>
      </w:r>
    </w:p>
    <w:p w14:paraId="56AA556C">
      <w:pPr>
        <w:keepNext w:val="0"/>
        <w:keepLines w:val="0"/>
        <w:widowControl w:val="0"/>
        <w:suppressLineNumbers w:val="0"/>
        <w:spacing w:before="0" w:beforeAutospacing="0" w:after="0" w:afterAutospacing="0" w:line="360" w:lineRule="auto"/>
        <w:ind w:left="0" w:right="0" w:firstLine="480" w:firstLineChars="200"/>
        <w:jc w:val="left"/>
        <w:rPr>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       n—</w:t>
      </w:r>
      <w:r>
        <w:rPr>
          <w:rFonts w:hint="eastAsia" w:ascii="Times New Roman" w:hAnsi="Times New Roman" w:eastAsia="宋体" w:cs="宋体"/>
          <w:color w:val="auto"/>
          <w:kern w:val="2"/>
          <w:sz w:val="24"/>
          <w:szCs w:val="24"/>
          <w:lang w:val="en-US" w:eastAsia="zh-CN" w:bidi="ar"/>
        </w:rPr>
        <w:t>建设期年份数</w:t>
      </w:r>
    </w:p>
    <w:p w14:paraId="331D1C66">
      <w:pPr>
        <w:keepNext w:val="0"/>
        <w:keepLines w:val="0"/>
        <w:widowControl w:val="0"/>
        <w:suppressLineNumbers w:val="0"/>
        <w:spacing w:before="0" w:beforeAutospacing="0" w:after="0" w:afterAutospacing="0" w:line="360" w:lineRule="auto"/>
        <w:ind w:left="0" w:right="0" w:firstLine="480" w:firstLineChars="200"/>
        <w:jc w:val="left"/>
        <w:rPr>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       I</w:t>
      </w:r>
      <w:r>
        <w:rPr>
          <w:rFonts w:hint="default" w:ascii="Times New Roman" w:hAnsi="Times New Roman" w:eastAsia="宋体" w:cs="Times New Roman"/>
          <w:color w:val="auto"/>
          <w:kern w:val="2"/>
          <w:sz w:val="24"/>
          <w:szCs w:val="24"/>
          <w:vertAlign w:val="subscript"/>
          <w:lang w:val="en-US" w:eastAsia="zh-CN" w:bidi="ar"/>
        </w:rPr>
        <w:t>t</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建设期中第</w:t>
      </w:r>
      <w:r>
        <w:rPr>
          <w:rFonts w:hint="default" w:ascii="Times New Roman" w:hAnsi="Times New Roman" w:eastAsia="宋体" w:cs="Times New Roman"/>
          <w:color w:val="auto"/>
          <w:kern w:val="2"/>
          <w:sz w:val="24"/>
          <w:szCs w:val="24"/>
          <w:lang w:val="en-US" w:eastAsia="zh-CN" w:bidi="ar"/>
        </w:rPr>
        <w:t>t</w:t>
      </w:r>
      <w:r>
        <w:rPr>
          <w:rFonts w:hint="eastAsia" w:ascii="Times New Roman" w:hAnsi="Times New Roman" w:eastAsia="宋体" w:cs="宋体"/>
          <w:color w:val="auto"/>
          <w:kern w:val="2"/>
          <w:sz w:val="24"/>
          <w:szCs w:val="24"/>
          <w:lang w:val="en-US" w:eastAsia="zh-CN" w:bidi="ar"/>
        </w:rPr>
        <w:t>年的投资计划额，即第</w:t>
      </w:r>
      <w:r>
        <w:rPr>
          <w:rFonts w:hint="default" w:ascii="Times New Roman" w:hAnsi="Times New Roman" w:eastAsia="宋体" w:cs="Times New Roman"/>
          <w:color w:val="auto"/>
          <w:kern w:val="2"/>
          <w:sz w:val="24"/>
          <w:szCs w:val="24"/>
          <w:lang w:val="en-US" w:eastAsia="zh-CN" w:bidi="ar"/>
        </w:rPr>
        <w:t>t</w:t>
      </w:r>
      <w:r>
        <w:rPr>
          <w:rFonts w:hint="eastAsia" w:ascii="Times New Roman" w:hAnsi="Times New Roman" w:eastAsia="宋体" w:cs="宋体"/>
          <w:color w:val="auto"/>
          <w:kern w:val="2"/>
          <w:sz w:val="24"/>
          <w:szCs w:val="24"/>
          <w:lang w:val="en-US" w:eastAsia="zh-CN" w:bidi="ar"/>
        </w:rPr>
        <w:t>年的静态投资计划额</w:t>
      </w:r>
    </w:p>
    <w:p w14:paraId="7C1D4E07">
      <w:pPr>
        <w:keepNext w:val="0"/>
        <w:keepLines w:val="0"/>
        <w:widowControl w:val="0"/>
        <w:suppressLineNumbers w:val="0"/>
        <w:spacing w:before="0" w:beforeAutospacing="0" w:after="0" w:afterAutospacing="0" w:line="360" w:lineRule="auto"/>
        <w:ind w:left="0" w:right="0" w:firstLine="480" w:firstLineChars="200"/>
        <w:jc w:val="left"/>
        <w:rPr>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       f—</w:t>
      </w:r>
      <w:r>
        <w:rPr>
          <w:rFonts w:hint="eastAsia" w:ascii="Times New Roman" w:hAnsi="Times New Roman" w:eastAsia="宋体" w:cs="宋体"/>
          <w:color w:val="auto"/>
          <w:kern w:val="2"/>
          <w:sz w:val="24"/>
          <w:szCs w:val="24"/>
          <w:lang w:val="en-US" w:eastAsia="zh-CN" w:bidi="ar"/>
        </w:rPr>
        <w:t>年涨价率（按</w:t>
      </w:r>
      <w:r>
        <w:rPr>
          <w:rFonts w:hint="default" w:ascii="Times New Roman" w:hAnsi="Times New Roman" w:eastAsia="宋体" w:cs="Times New Roman"/>
          <w:color w:val="auto"/>
          <w:kern w:val="2"/>
          <w:sz w:val="24"/>
          <w:szCs w:val="24"/>
          <w:lang w:val="en-US" w:eastAsia="zh-CN" w:bidi="ar"/>
        </w:rPr>
        <w:t>6%</w:t>
      </w:r>
      <w:r>
        <w:rPr>
          <w:rFonts w:hint="eastAsia" w:ascii="Times New Roman" w:hAnsi="Times New Roman" w:eastAsia="宋体" w:cs="宋体"/>
          <w:color w:val="auto"/>
          <w:kern w:val="2"/>
          <w:sz w:val="24"/>
          <w:szCs w:val="24"/>
          <w:lang w:val="en-US" w:eastAsia="zh-CN" w:bidi="ar"/>
        </w:rPr>
        <w:t>计）</w:t>
      </w:r>
    </w:p>
    <w:p w14:paraId="16E8D29E">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rPr>
      </w:pPr>
      <w:r>
        <w:rPr>
          <w:rFonts w:hint="default" w:ascii="Times New Roman" w:hAnsi="Times New Roman" w:eastAsia="宋体" w:cs="Times New Roman"/>
          <w:color w:val="auto"/>
          <w:kern w:val="2"/>
          <w:sz w:val="24"/>
          <w:szCs w:val="24"/>
          <w:lang w:val="en-US" w:eastAsia="zh-CN" w:bidi="ar"/>
        </w:rPr>
        <w:t xml:space="preserve">       m—</w:t>
      </w:r>
      <w:r>
        <w:rPr>
          <w:rFonts w:hint="eastAsia" w:ascii="Times New Roman" w:hAnsi="Times New Roman" w:eastAsia="宋体" w:cs="宋体"/>
          <w:color w:val="auto"/>
          <w:kern w:val="2"/>
          <w:sz w:val="24"/>
          <w:szCs w:val="24"/>
          <w:lang w:val="en-US" w:eastAsia="zh-CN" w:bidi="ar"/>
        </w:rPr>
        <w:t>建设前期年限（从</w:t>
      </w:r>
      <w:r>
        <w:rPr>
          <w:rFonts w:hint="eastAsia" w:cs="宋体"/>
          <w:color w:val="auto"/>
          <w:kern w:val="2"/>
          <w:sz w:val="24"/>
          <w:szCs w:val="24"/>
          <w:lang w:val="en-US" w:eastAsia="zh-CN" w:bidi="ar"/>
        </w:rPr>
        <w:t>方案</w:t>
      </w:r>
      <w:r>
        <w:rPr>
          <w:rFonts w:hint="eastAsia" w:ascii="Times New Roman" w:hAnsi="Times New Roman" w:eastAsia="宋体" w:cs="宋体"/>
          <w:color w:val="auto"/>
          <w:kern w:val="2"/>
          <w:sz w:val="24"/>
          <w:szCs w:val="24"/>
          <w:lang w:val="en-US" w:eastAsia="zh-CN" w:bidi="ar"/>
        </w:rPr>
        <w:t>编制估算至开工建设，本项目建设前期年限已计入总规划年限）</w:t>
      </w:r>
      <w:r>
        <w:rPr>
          <w:rFonts w:hint="eastAsia" w:cs="宋体"/>
          <w:color w:val="auto"/>
          <w:kern w:val="2"/>
          <w:sz w:val="24"/>
          <w:szCs w:val="24"/>
          <w:lang w:val="en-US" w:eastAsia="zh-CN" w:bidi="ar"/>
        </w:rPr>
        <w:t>。</w:t>
      </w:r>
    </w:p>
    <w:bookmarkEnd w:id="82"/>
    <w:p w14:paraId="4A0F8025">
      <w:pPr>
        <w:keepNext w:val="0"/>
        <w:keepLines w:val="0"/>
        <w:pageBreakBefore w:val="0"/>
        <w:widowControl/>
        <w:numPr>
          <w:ilvl w:val="0"/>
          <w:numId w:val="0"/>
        </w:numPr>
        <w:kinsoku/>
        <w:wordWrap/>
        <w:overflowPunct/>
        <w:topLinePunct w:val="0"/>
        <w:autoSpaceDE/>
        <w:autoSpaceDN/>
        <w:bidi w:val="0"/>
        <w:adjustRightInd w:val="0"/>
        <w:snapToGrid w:val="0"/>
        <w:spacing w:before="313" w:beforeLines="100" w:line="360" w:lineRule="auto"/>
        <w:jc w:val="both"/>
        <w:textAlignment w:val="auto"/>
        <w:outlineLvl w:val="1"/>
        <w:rPr>
          <w:rFonts w:hint="default" w:ascii="Times New Roman" w:hAnsi="Times New Roman" w:eastAsia="宋体" w:cs="Times New Roman"/>
          <w:b/>
          <w:bCs/>
          <w:color w:val="auto"/>
          <w:sz w:val="28"/>
          <w:szCs w:val="28"/>
          <w:lang w:val="zh-CN" w:eastAsia="zh-CN"/>
        </w:rPr>
      </w:pPr>
      <w:bookmarkStart w:id="83" w:name="_Toc4382"/>
      <w:bookmarkStart w:id="84" w:name="_Toc18766"/>
      <w:bookmarkStart w:id="85" w:name="_Toc18269"/>
      <w:bookmarkStart w:id="86" w:name="_Toc25649"/>
      <w:bookmarkStart w:id="87" w:name="_Toc523390680"/>
      <w:r>
        <w:rPr>
          <w:rFonts w:hint="default" w:ascii="Times New Roman" w:hAnsi="Times New Roman" w:eastAsia="宋体" w:cs="Times New Roman"/>
          <w:b/>
          <w:bCs/>
          <w:color w:val="auto"/>
          <w:sz w:val="28"/>
          <w:szCs w:val="28"/>
          <w:lang w:val="zh-CN" w:eastAsia="zh-CN"/>
        </w:rPr>
        <w:t>（二）主要工程量</w:t>
      </w:r>
      <w:bookmarkEnd w:id="83"/>
      <w:bookmarkEnd w:id="84"/>
      <w:bookmarkEnd w:id="85"/>
      <w:bookmarkEnd w:id="86"/>
    </w:p>
    <w:p w14:paraId="356A5EA5">
      <w:pPr>
        <w:keepNext w:val="0"/>
        <w:keepLines w:val="0"/>
        <w:pageBreakBefore w:val="0"/>
        <w:widowControl/>
        <w:tabs>
          <w:tab w:val="left" w:pos="7235"/>
        </w:tabs>
        <w:kinsoku/>
        <w:wordWrap/>
        <w:overflowPunct/>
        <w:topLinePunct w:val="0"/>
        <w:autoSpaceDE/>
        <w:autoSpaceDN/>
        <w:bidi w:val="0"/>
        <w:adjustRightInd w:val="0"/>
        <w:snapToGrid w:val="0"/>
        <w:spacing w:line="360" w:lineRule="auto"/>
        <w:ind w:right="-518" w:rightChars="-216" w:firstLine="0" w:firstLineChars="0"/>
        <w:jc w:val="center"/>
        <w:textAlignment w:val="auto"/>
        <w:rPr>
          <w:rFonts w:hint="default" w:ascii="Times New Roman" w:hAnsi="Times New Roman" w:eastAsia="宋体" w:cs="Times New Roman"/>
          <w:b/>
          <w:color w:val="auto"/>
          <w:sz w:val="21"/>
          <w:szCs w:val="21"/>
          <w:highlight w:val="none"/>
        </w:rPr>
      </w:pPr>
      <w:bookmarkStart w:id="88" w:name="_Hlk533445952"/>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 xml:space="preserve">6-11 </w:t>
      </w:r>
      <w:r>
        <w:rPr>
          <w:rFonts w:hint="default" w:ascii="Times New Roman" w:hAnsi="Times New Roman" w:eastAsia="宋体" w:cs="Times New Roman"/>
          <w:b/>
          <w:color w:val="auto"/>
          <w:sz w:val="21"/>
          <w:szCs w:val="21"/>
          <w:highlight w:val="none"/>
        </w:rPr>
        <w:t xml:space="preserve"> 治理工程量汇总表</w:t>
      </w:r>
    </w:p>
    <w:tbl>
      <w:tblPr>
        <w:tblStyle w:val="12"/>
        <w:tblW w:w="8554" w:type="dxa"/>
        <w:jc w:val="center"/>
        <w:shd w:val="clear" w:color="auto" w:fill="auto"/>
        <w:tblLayout w:type="autofit"/>
        <w:tblCellMar>
          <w:top w:w="0" w:type="dxa"/>
          <w:left w:w="108" w:type="dxa"/>
          <w:bottom w:w="0" w:type="dxa"/>
          <w:right w:w="108" w:type="dxa"/>
        </w:tblCellMar>
      </w:tblPr>
      <w:tblGrid>
        <w:gridCol w:w="1548"/>
        <w:gridCol w:w="2809"/>
        <w:gridCol w:w="1785"/>
        <w:gridCol w:w="2412"/>
      </w:tblGrid>
      <w:tr w14:paraId="664F8337">
        <w:tblPrEx>
          <w:shd w:val="clear" w:color="auto" w:fill="auto"/>
          <w:tblCellMar>
            <w:top w:w="0" w:type="dxa"/>
            <w:left w:w="108" w:type="dxa"/>
            <w:bottom w:w="0" w:type="dxa"/>
            <w:right w:w="108" w:type="dxa"/>
          </w:tblCellMar>
        </w:tblPrEx>
        <w:trPr>
          <w:trHeight w:val="454"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1AE8">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8007">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工程项目</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59D8">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计量单位</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E3A3">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工程量</w:t>
            </w:r>
          </w:p>
        </w:tc>
      </w:tr>
      <w:tr w14:paraId="158878D9">
        <w:tblPrEx>
          <w:tblCellMar>
            <w:top w:w="0" w:type="dxa"/>
            <w:left w:w="108" w:type="dxa"/>
            <w:bottom w:w="0" w:type="dxa"/>
            <w:right w:w="108" w:type="dxa"/>
          </w:tblCellMar>
        </w:tblPrEx>
        <w:trPr>
          <w:trHeight w:val="454"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75C3">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一</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72E3">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植被工程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BDC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bCs/>
                <w:i w:val="0"/>
                <w:iCs w:val="0"/>
                <w:color w:val="auto"/>
                <w:sz w:val="21"/>
                <w:szCs w:val="21"/>
                <w:highlight w:val="none"/>
                <w:u w:val="none"/>
              </w:rPr>
            </w:pP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2DB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bCs/>
                <w:i w:val="0"/>
                <w:iCs w:val="0"/>
                <w:color w:val="auto"/>
                <w:sz w:val="21"/>
                <w:szCs w:val="21"/>
                <w:highlight w:val="none"/>
                <w:u w:val="none"/>
              </w:rPr>
            </w:pPr>
          </w:p>
        </w:tc>
      </w:tr>
      <w:tr w14:paraId="2E6C9087">
        <w:tblPrEx>
          <w:tblCellMar>
            <w:top w:w="0" w:type="dxa"/>
            <w:left w:w="108" w:type="dxa"/>
            <w:bottom w:w="0" w:type="dxa"/>
            <w:right w:w="108" w:type="dxa"/>
          </w:tblCellMar>
        </w:tblPrEx>
        <w:trPr>
          <w:trHeight w:val="454"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C784">
            <w:pPr>
              <w:keepNext w:val="0"/>
              <w:keepLines w:val="0"/>
              <w:widowControl/>
              <w:suppressLineNumbers w:val="0"/>
              <w:wordWrap/>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6BD8">
            <w:pPr>
              <w:keepNext w:val="0"/>
              <w:keepLines w:val="0"/>
              <w:widowControl/>
              <w:suppressLineNumbers w:val="0"/>
              <w:wordWrap/>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kern w:val="0"/>
                <w:sz w:val="21"/>
                <w:szCs w:val="21"/>
                <w:highlight w:val="none"/>
                <w:u w:val="none"/>
                <w:lang w:val="en-US" w:eastAsia="zh-CN" w:bidi="ar"/>
              </w:rPr>
              <w:t>种植灌木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C040">
            <w:pPr>
              <w:keepNext w:val="0"/>
              <w:keepLines w:val="0"/>
              <w:widowControl/>
              <w:suppressLineNumbers w:val="0"/>
              <w:wordWrap/>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F7D9">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200</w:t>
            </w:r>
          </w:p>
        </w:tc>
      </w:tr>
      <w:tr w14:paraId="74FE979A">
        <w:tblPrEx>
          <w:tblCellMar>
            <w:top w:w="0" w:type="dxa"/>
            <w:left w:w="108" w:type="dxa"/>
            <w:bottom w:w="0" w:type="dxa"/>
            <w:right w:w="108" w:type="dxa"/>
          </w:tblCellMar>
        </w:tblPrEx>
        <w:trPr>
          <w:trHeight w:val="454"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1427">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二</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0D8F">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eastAsia" w:cs="Times New Roman"/>
                <w:b/>
                <w:bCs/>
                <w:i w:val="0"/>
                <w:iCs w:val="0"/>
                <w:color w:val="auto"/>
                <w:kern w:val="0"/>
                <w:sz w:val="21"/>
                <w:szCs w:val="21"/>
                <w:highlight w:val="none"/>
                <w:u w:val="none"/>
                <w:lang w:val="en-US" w:eastAsia="zh-CN" w:bidi="ar"/>
              </w:rPr>
              <w:t>监测管护工程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783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983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bCs/>
                <w:i w:val="0"/>
                <w:iCs w:val="0"/>
                <w:color w:val="auto"/>
                <w:sz w:val="21"/>
                <w:szCs w:val="21"/>
                <w:highlight w:val="none"/>
                <w:u w:val="none"/>
              </w:rPr>
            </w:pPr>
          </w:p>
        </w:tc>
      </w:tr>
      <w:tr w14:paraId="549A116B">
        <w:tblPrEx>
          <w:tblCellMar>
            <w:top w:w="0" w:type="dxa"/>
            <w:left w:w="108" w:type="dxa"/>
            <w:bottom w:w="0" w:type="dxa"/>
            <w:right w:w="108" w:type="dxa"/>
          </w:tblCellMar>
        </w:tblPrEx>
        <w:trPr>
          <w:trHeight w:val="454"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E09A">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2350">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地形地貌景观监测</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7900">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次</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B328">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w:t>
            </w:r>
          </w:p>
        </w:tc>
      </w:tr>
      <w:tr w14:paraId="432BAA02">
        <w:tblPrEx>
          <w:tblCellMar>
            <w:top w:w="0" w:type="dxa"/>
            <w:left w:w="108" w:type="dxa"/>
            <w:bottom w:w="0" w:type="dxa"/>
            <w:right w:w="108" w:type="dxa"/>
          </w:tblCellMar>
        </w:tblPrEx>
        <w:trPr>
          <w:trHeight w:val="454"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C765">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2</w:t>
            </w:r>
          </w:p>
        </w:tc>
        <w:tc>
          <w:tcPr>
            <w:tcW w:w="2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9F42">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植被管护</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EA23">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次</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7893">
            <w:pPr>
              <w:keepNext w:val="0"/>
              <w:keepLines w:val="0"/>
              <w:widowControl/>
              <w:suppressLineNumbers w:val="0"/>
              <w:wordWrap/>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p>
        </w:tc>
      </w:tr>
      <w:bookmarkEnd w:id="88"/>
    </w:tbl>
    <w:p w14:paraId="23CC3B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leftChars="0"/>
        <w:jc w:val="both"/>
        <w:textAlignment w:val="auto"/>
        <w:outlineLvl w:val="9"/>
        <w:rPr>
          <w:rFonts w:hint="default" w:ascii="Times New Roman" w:hAnsi="Times New Roman" w:eastAsia="宋体" w:cs="Times New Roman"/>
          <w:b/>
          <w:bCs/>
          <w:color w:val="auto"/>
          <w:sz w:val="28"/>
          <w:szCs w:val="28"/>
          <w:lang w:val="zh-CN" w:eastAsia="zh-CN"/>
        </w:rPr>
      </w:pPr>
      <w:bookmarkStart w:id="89" w:name="_Toc31577"/>
      <w:bookmarkStart w:id="90" w:name="_Toc23022"/>
      <w:bookmarkStart w:id="91" w:name="_Toc24480"/>
    </w:p>
    <w:p w14:paraId="01E7A7C3">
      <w:pPr>
        <w:keepNext w:val="0"/>
        <w:keepLines w:val="0"/>
        <w:pageBreakBefore w:val="0"/>
        <w:widowControl/>
        <w:numPr>
          <w:ilvl w:val="0"/>
          <w:numId w:val="0"/>
        </w:numPr>
        <w:kinsoku/>
        <w:wordWrap/>
        <w:overflowPunct/>
        <w:topLinePunct w:val="0"/>
        <w:autoSpaceDE/>
        <w:autoSpaceDN/>
        <w:bidi w:val="0"/>
        <w:adjustRightInd w:val="0"/>
        <w:snapToGrid w:val="0"/>
        <w:spacing w:before="313" w:beforeLines="100" w:line="360" w:lineRule="auto"/>
        <w:jc w:val="both"/>
        <w:textAlignment w:val="auto"/>
        <w:outlineLvl w:val="1"/>
        <w:rPr>
          <w:rFonts w:hint="default" w:ascii="Times New Roman" w:hAnsi="Times New Roman" w:eastAsia="宋体" w:cs="Times New Roman"/>
          <w:b/>
          <w:bCs/>
          <w:color w:val="auto"/>
          <w:sz w:val="28"/>
          <w:szCs w:val="28"/>
          <w:lang w:val="zh-CN" w:eastAsia="zh-CN"/>
        </w:rPr>
      </w:pPr>
      <w:bookmarkStart w:id="92" w:name="_Toc14103"/>
      <w:r>
        <w:rPr>
          <w:rFonts w:hint="default" w:ascii="Times New Roman" w:hAnsi="Times New Roman" w:eastAsia="宋体" w:cs="Times New Roman"/>
          <w:b/>
          <w:bCs/>
          <w:color w:val="auto"/>
          <w:sz w:val="28"/>
          <w:szCs w:val="28"/>
          <w:lang w:val="zh-CN" w:eastAsia="zh-CN"/>
        </w:rPr>
        <w:t>（三）估算结果</w:t>
      </w:r>
      <w:bookmarkEnd w:id="87"/>
      <w:bookmarkEnd w:id="89"/>
      <w:bookmarkEnd w:id="90"/>
      <w:bookmarkEnd w:id="91"/>
      <w:bookmarkEnd w:id="92"/>
    </w:p>
    <w:p w14:paraId="0A4469C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经估算，</w:t>
      </w:r>
      <w:r>
        <w:rPr>
          <w:rFonts w:hint="eastAsia" w:cs="Times New Roman"/>
          <w:color w:val="auto"/>
          <w:kern w:val="0"/>
          <w:sz w:val="24"/>
          <w:szCs w:val="24"/>
          <w:lang w:val="en-US" w:eastAsia="zh-CN" w:bidi="ar"/>
        </w:rPr>
        <w:t>2025</w:t>
      </w:r>
      <w:r>
        <w:rPr>
          <w:rFonts w:hint="default" w:ascii="Times New Roman" w:hAnsi="Times New Roman" w:eastAsia="宋体" w:cs="Times New Roman"/>
          <w:color w:val="auto"/>
          <w:kern w:val="0"/>
          <w:sz w:val="24"/>
          <w:szCs w:val="24"/>
          <w:lang w:val="en-US" w:eastAsia="zh-CN" w:bidi="ar"/>
        </w:rPr>
        <w:t>年度矿山地质环境治理费用为</w:t>
      </w:r>
      <w:r>
        <w:rPr>
          <w:rFonts w:hint="eastAsia" w:cs="Times New Roman"/>
          <w:color w:val="auto"/>
          <w:kern w:val="0"/>
          <w:sz w:val="24"/>
          <w:szCs w:val="24"/>
          <w:lang w:val="en-US" w:eastAsia="zh-CN" w:bidi="ar"/>
        </w:rPr>
        <w:t>4.00</w:t>
      </w:r>
      <w:r>
        <w:rPr>
          <w:rFonts w:hint="default" w:ascii="Times New Roman" w:hAnsi="Times New Roman" w:eastAsia="宋体" w:cs="Times New Roman"/>
          <w:color w:val="auto"/>
          <w:kern w:val="0"/>
          <w:sz w:val="24"/>
          <w:szCs w:val="24"/>
          <w:lang w:val="en-US" w:eastAsia="zh-CN" w:bidi="ar"/>
        </w:rPr>
        <w:t>万元。经费估算总额和各单项工程经费估算结果</w:t>
      </w:r>
      <w:r>
        <w:rPr>
          <w:rFonts w:hint="eastAsia" w:cs="Times New Roman"/>
          <w:color w:val="auto"/>
          <w:kern w:val="0"/>
          <w:sz w:val="24"/>
          <w:szCs w:val="24"/>
          <w:lang w:val="en-US" w:eastAsia="zh-CN" w:bidi="ar"/>
        </w:rPr>
        <w:t>见表6-12至表6-15。</w:t>
      </w:r>
    </w:p>
    <w:p w14:paraId="3B937B00">
      <w:pP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br w:type="page"/>
      </w:r>
    </w:p>
    <w:p w14:paraId="695A0A3F">
      <w:pPr>
        <w:keepNext w:val="0"/>
        <w:keepLines w:val="0"/>
        <w:pageBreakBefore w:val="0"/>
        <w:widowControl/>
        <w:kinsoku/>
        <w:wordWrap/>
        <w:overflowPunct/>
        <w:topLinePunct w:val="0"/>
        <w:autoSpaceDE/>
        <w:autoSpaceDN/>
        <w:bidi w:val="0"/>
        <w:adjustRightInd w:val="0"/>
        <w:snapToGrid w:val="0"/>
        <w:spacing w:line="360" w:lineRule="auto"/>
        <w:ind w:firstLine="0" w:firstLineChars="0"/>
        <w:contextualSpacing/>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6-1</w:t>
      </w:r>
      <w:r>
        <w:rPr>
          <w:rFonts w:hint="eastAsia" w:ascii="Times New Roman" w:hAnsi="Times New Roman"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矿山地质环境治理及土地复垦工程经费预算总表</w:t>
      </w:r>
    </w:p>
    <w:tbl>
      <w:tblPr>
        <w:tblStyle w:val="12"/>
        <w:tblW w:w="494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0"/>
        <w:gridCol w:w="2120"/>
        <w:gridCol w:w="2385"/>
        <w:gridCol w:w="2891"/>
      </w:tblGrid>
      <w:tr w14:paraId="33302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3403C">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19B0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工程或费用名称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11AD8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预算金额（万元）</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4AB7E">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各费用占总费用的比例（%）</w:t>
            </w:r>
          </w:p>
        </w:tc>
      </w:tr>
      <w:tr w14:paraId="1A689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DC6ED">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97A49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5B498">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F2FAF">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r>
      <w:tr w14:paraId="5B5A0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5195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945AB">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工程施工费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5FEC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0.60</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F5BD">
            <w:pPr>
              <w:keepNext w:val="0"/>
              <w:keepLines w:val="0"/>
              <w:widowControl/>
              <w:suppressLineNumbers w:val="0"/>
              <w:wordWrap/>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15.00</w:t>
            </w:r>
          </w:p>
        </w:tc>
      </w:tr>
      <w:tr w14:paraId="37F70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45E59">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B6AB6">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其他费用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42BC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912C">
            <w:pPr>
              <w:keepNext w:val="0"/>
              <w:keepLines w:val="0"/>
              <w:widowControl/>
              <w:suppressLineNumbers w:val="0"/>
              <w:wordWrap/>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w:t>
            </w:r>
          </w:p>
        </w:tc>
      </w:tr>
      <w:tr w14:paraId="2482C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269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1F867">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不可预见费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0643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5764">
            <w:pPr>
              <w:keepNext w:val="0"/>
              <w:keepLines w:val="0"/>
              <w:widowControl/>
              <w:suppressLineNumbers w:val="0"/>
              <w:wordWrap/>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w:t>
            </w:r>
          </w:p>
        </w:tc>
      </w:tr>
      <w:tr w14:paraId="63A74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ADF4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86B551">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监测管护费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422B2">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3.40</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B76F">
            <w:pPr>
              <w:keepNext w:val="0"/>
              <w:keepLines w:val="0"/>
              <w:widowControl/>
              <w:suppressLineNumbers w:val="0"/>
              <w:wordWrap/>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85.00</w:t>
            </w:r>
          </w:p>
        </w:tc>
      </w:tr>
      <w:tr w14:paraId="1E85B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880B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总  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674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cs="Times New Roman"/>
                <w:b w:val="0"/>
                <w:bCs w:val="0"/>
                <w:color w:val="auto"/>
                <w:sz w:val="21"/>
                <w:szCs w:val="21"/>
                <w:highlight w:val="none"/>
                <w:lang w:val="en-US" w:eastAsia="zh-CN"/>
              </w:rPr>
              <w:t>4.00</w:t>
            </w:r>
          </w:p>
        </w:tc>
        <w:tc>
          <w:tcPr>
            <w:tcW w:w="1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1FB14">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100.00 </w:t>
            </w:r>
          </w:p>
        </w:tc>
      </w:tr>
    </w:tbl>
    <w:p w14:paraId="36AB5E91">
      <w:pPr>
        <w:keepNext w:val="0"/>
        <w:keepLines w:val="0"/>
        <w:pageBreakBefore w:val="0"/>
        <w:widowControl w:val="0"/>
        <w:kinsoku/>
        <w:wordWrap/>
        <w:overflowPunct/>
        <w:topLinePunct w:val="0"/>
        <w:autoSpaceDE/>
        <w:autoSpaceDN/>
        <w:bidi w:val="0"/>
        <w:adjustRightInd w:val="0"/>
        <w:snapToGrid w:val="0"/>
        <w:spacing w:before="164" w:beforeLines="50" w:after="0" w:line="36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表6-</w:t>
      </w:r>
      <w:r>
        <w:rPr>
          <w:rFonts w:hint="eastAsia" w:ascii="Times New Roman" w:hAnsi="Times New Roman" w:cs="Times New Roman"/>
          <w:b/>
          <w:bCs w:val="0"/>
          <w:color w:val="auto"/>
          <w:kern w:val="0"/>
          <w:sz w:val="21"/>
          <w:szCs w:val="21"/>
          <w:lang w:val="en-US" w:eastAsia="zh-CN" w:bidi="ar"/>
        </w:rPr>
        <w:t>1</w:t>
      </w:r>
      <w:r>
        <w:rPr>
          <w:rFonts w:hint="eastAsia" w:cs="Times New Roman"/>
          <w:b/>
          <w:bCs w:val="0"/>
          <w:color w:val="auto"/>
          <w:kern w:val="0"/>
          <w:sz w:val="21"/>
          <w:szCs w:val="21"/>
          <w:lang w:val="en-US" w:eastAsia="zh-CN" w:bidi="ar"/>
        </w:rPr>
        <w:t>3</w:t>
      </w:r>
      <w:r>
        <w:rPr>
          <w:rFonts w:hint="default" w:ascii="Times New Roman" w:hAnsi="Times New Roman" w:eastAsia="宋体" w:cs="Times New Roman"/>
          <w:b/>
          <w:bCs w:val="0"/>
          <w:color w:val="auto"/>
          <w:kern w:val="0"/>
          <w:sz w:val="21"/>
          <w:szCs w:val="21"/>
          <w:lang w:val="en-US" w:eastAsia="zh-CN" w:bidi="ar"/>
        </w:rPr>
        <w:t xml:space="preserve">   工程施工费预算表</w:t>
      </w:r>
    </w:p>
    <w:tbl>
      <w:tblPr>
        <w:tblStyle w:val="12"/>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263"/>
        <w:gridCol w:w="1380"/>
        <w:gridCol w:w="960"/>
        <w:gridCol w:w="1005"/>
        <w:gridCol w:w="1740"/>
        <w:gridCol w:w="1320"/>
      </w:tblGrid>
      <w:tr w14:paraId="14A7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8" w:type="dxa"/>
            <w:vMerge w:val="restart"/>
            <w:noWrap w:val="0"/>
            <w:vAlign w:val="center"/>
          </w:tcPr>
          <w:p w14:paraId="187F16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63" w:type="dxa"/>
            <w:noWrap w:val="0"/>
            <w:vAlign w:val="center"/>
          </w:tcPr>
          <w:p w14:paraId="3B01A7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定额编号</w:t>
            </w:r>
          </w:p>
        </w:tc>
        <w:tc>
          <w:tcPr>
            <w:tcW w:w="1380" w:type="dxa"/>
            <w:noWrap w:val="0"/>
            <w:vAlign w:val="center"/>
          </w:tcPr>
          <w:p w14:paraId="25082D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单项名称</w:t>
            </w:r>
          </w:p>
        </w:tc>
        <w:tc>
          <w:tcPr>
            <w:tcW w:w="960" w:type="dxa"/>
            <w:noWrap w:val="0"/>
            <w:vAlign w:val="center"/>
          </w:tcPr>
          <w:p w14:paraId="252D9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05" w:type="dxa"/>
            <w:noWrap w:val="0"/>
            <w:vAlign w:val="center"/>
          </w:tcPr>
          <w:p w14:paraId="7F2FE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工程量</w:t>
            </w:r>
          </w:p>
        </w:tc>
        <w:tc>
          <w:tcPr>
            <w:tcW w:w="1740" w:type="dxa"/>
            <w:noWrap w:val="0"/>
            <w:vAlign w:val="center"/>
          </w:tcPr>
          <w:p w14:paraId="04A5B6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综合单价（元）</w:t>
            </w:r>
          </w:p>
        </w:tc>
        <w:tc>
          <w:tcPr>
            <w:tcW w:w="1320" w:type="dxa"/>
            <w:noWrap w:val="0"/>
            <w:vAlign w:val="center"/>
          </w:tcPr>
          <w:p w14:paraId="7E972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r>
              <w:rPr>
                <w:rFonts w:hint="eastAsia" w:cs="Times New Roman"/>
                <w:color w:val="auto"/>
                <w:sz w:val="21"/>
                <w:szCs w:val="21"/>
                <w:lang w:val="en-US" w:eastAsia="zh-CN"/>
              </w:rPr>
              <w:t>万</w:t>
            </w:r>
            <w:r>
              <w:rPr>
                <w:rFonts w:hint="default" w:ascii="Times New Roman" w:hAnsi="Times New Roman" w:eastAsia="宋体" w:cs="Times New Roman"/>
                <w:color w:val="auto"/>
                <w:sz w:val="21"/>
                <w:szCs w:val="21"/>
              </w:rPr>
              <w:t>元）</w:t>
            </w:r>
          </w:p>
        </w:tc>
      </w:tr>
      <w:tr w14:paraId="326A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8" w:type="dxa"/>
            <w:vMerge w:val="continue"/>
            <w:noWrap w:val="0"/>
            <w:vAlign w:val="center"/>
          </w:tcPr>
          <w:p w14:paraId="55E702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263" w:type="dxa"/>
            <w:noWrap w:val="0"/>
            <w:vAlign w:val="center"/>
          </w:tcPr>
          <w:p w14:paraId="00F50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80" w:type="dxa"/>
            <w:noWrap w:val="0"/>
            <w:vAlign w:val="center"/>
          </w:tcPr>
          <w:p w14:paraId="3D759B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60" w:type="dxa"/>
            <w:noWrap w:val="0"/>
            <w:vAlign w:val="center"/>
          </w:tcPr>
          <w:p w14:paraId="6AF176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05" w:type="dxa"/>
            <w:noWrap w:val="0"/>
            <w:vAlign w:val="center"/>
          </w:tcPr>
          <w:p w14:paraId="1E8D5C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40" w:type="dxa"/>
            <w:noWrap w:val="0"/>
            <w:vAlign w:val="center"/>
          </w:tcPr>
          <w:p w14:paraId="4FC145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20" w:type="dxa"/>
            <w:noWrap w:val="0"/>
            <w:vAlign w:val="center"/>
          </w:tcPr>
          <w:p w14:paraId="25CB8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14:paraId="46E4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8" w:type="dxa"/>
            <w:noWrap w:val="0"/>
            <w:vAlign w:val="center"/>
          </w:tcPr>
          <w:p w14:paraId="4EC7B7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w:t>
            </w:r>
          </w:p>
        </w:tc>
        <w:tc>
          <w:tcPr>
            <w:tcW w:w="1263" w:type="dxa"/>
            <w:noWrap w:val="0"/>
            <w:vAlign w:val="center"/>
          </w:tcPr>
          <w:p w14:paraId="34B4FD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80" w:type="dxa"/>
            <w:noWrap w:val="0"/>
            <w:vAlign w:val="center"/>
          </w:tcPr>
          <w:p w14:paraId="3BB6C0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植被工程</w:t>
            </w:r>
          </w:p>
        </w:tc>
        <w:tc>
          <w:tcPr>
            <w:tcW w:w="960" w:type="dxa"/>
            <w:noWrap w:val="0"/>
            <w:vAlign w:val="center"/>
          </w:tcPr>
          <w:p w14:paraId="47379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05" w:type="dxa"/>
            <w:noWrap w:val="0"/>
            <w:vAlign w:val="center"/>
          </w:tcPr>
          <w:p w14:paraId="42BDBE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740" w:type="dxa"/>
            <w:noWrap w:val="0"/>
            <w:vAlign w:val="center"/>
          </w:tcPr>
          <w:p w14:paraId="66DEEB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20" w:type="dxa"/>
            <w:noWrap w:val="0"/>
            <w:vAlign w:val="center"/>
          </w:tcPr>
          <w:p w14:paraId="323015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r>
      <w:tr w14:paraId="0DD7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8" w:type="dxa"/>
            <w:noWrap w:val="0"/>
            <w:vAlign w:val="center"/>
          </w:tcPr>
          <w:p w14:paraId="41ABA0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63" w:type="dxa"/>
            <w:noWrap w:val="0"/>
            <w:vAlign w:val="center"/>
          </w:tcPr>
          <w:p w14:paraId="5D8ABB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市场询价</w:t>
            </w:r>
          </w:p>
        </w:tc>
        <w:tc>
          <w:tcPr>
            <w:tcW w:w="1380" w:type="dxa"/>
            <w:noWrap w:val="0"/>
            <w:vAlign w:val="center"/>
          </w:tcPr>
          <w:p w14:paraId="3F6176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栽植</w:t>
            </w:r>
            <w:r>
              <w:rPr>
                <w:rFonts w:hint="eastAsia" w:ascii="Times New Roman" w:hAnsi="Times New Roman" w:cs="Times New Roman"/>
                <w:color w:val="auto"/>
                <w:sz w:val="21"/>
                <w:szCs w:val="21"/>
                <w:lang w:val="en-US" w:eastAsia="zh-CN"/>
              </w:rPr>
              <w:t>灌木</w:t>
            </w:r>
          </w:p>
        </w:tc>
        <w:tc>
          <w:tcPr>
            <w:tcW w:w="960" w:type="dxa"/>
            <w:noWrap w:val="0"/>
            <w:vAlign w:val="center"/>
          </w:tcPr>
          <w:p w14:paraId="207B7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005" w:type="dxa"/>
            <w:noWrap w:val="0"/>
            <w:vAlign w:val="center"/>
          </w:tcPr>
          <w:p w14:paraId="27A6A5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1740" w:type="dxa"/>
            <w:noWrap w:val="0"/>
            <w:vAlign w:val="center"/>
          </w:tcPr>
          <w:p w14:paraId="03CD98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30.00</w:t>
            </w:r>
          </w:p>
        </w:tc>
        <w:tc>
          <w:tcPr>
            <w:tcW w:w="1320" w:type="dxa"/>
            <w:noWrap w:val="0"/>
            <w:vAlign w:val="center"/>
          </w:tcPr>
          <w:p w14:paraId="121261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0.60</w:t>
            </w:r>
          </w:p>
        </w:tc>
      </w:tr>
      <w:tr w14:paraId="01DD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blHeader/>
          <w:jc w:val="center"/>
        </w:trPr>
        <w:tc>
          <w:tcPr>
            <w:tcW w:w="7096" w:type="dxa"/>
            <w:gridSpan w:val="6"/>
            <w:noWrap w:val="0"/>
            <w:vAlign w:val="center"/>
          </w:tcPr>
          <w:p w14:paraId="39AE71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总计</w:t>
            </w:r>
          </w:p>
        </w:tc>
        <w:tc>
          <w:tcPr>
            <w:tcW w:w="1320" w:type="dxa"/>
            <w:noWrap w:val="0"/>
            <w:vAlign w:val="center"/>
          </w:tcPr>
          <w:p w14:paraId="02F7C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0.60</w:t>
            </w:r>
          </w:p>
        </w:tc>
      </w:tr>
    </w:tbl>
    <w:p w14:paraId="31A91781">
      <w:pPr>
        <w:keepNext w:val="0"/>
        <w:keepLines w:val="0"/>
        <w:pageBreakBefore w:val="0"/>
        <w:widowControl/>
        <w:tabs>
          <w:tab w:val="left" w:pos="7235"/>
        </w:tabs>
        <w:kinsoku/>
        <w:wordWrap/>
        <w:overflowPunct/>
        <w:topLinePunct w:val="0"/>
        <w:autoSpaceDE/>
        <w:autoSpaceDN/>
        <w:bidi w:val="0"/>
        <w:adjustRightInd w:val="0"/>
        <w:snapToGrid w:val="0"/>
        <w:spacing w:before="164" w:beforeLines="50" w:line="360" w:lineRule="auto"/>
        <w:ind w:right="0" w:rightChars="0"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表6</w:t>
      </w:r>
      <w:r>
        <w:rPr>
          <w:rFonts w:hint="default" w:ascii="Times New Roman" w:hAnsi="Times New Roman" w:eastAsia="宋体" w:cs="Times New Roman"/>
          <w:b/>
          <w:color w:val="auto"/>
          <w:sz w:val="21"/>
          <w:szCs w:val="21"/>
          <w:highlight w:val="none"/>
          <w:lang w:val="en-US" w:eastAsia="zh-CN"/>
        </w:rPr>
        <w:t>-1</w:t>
      </w:r>
      <w:r>
        <w:rPr>
          <w:rFonts w:hint="eastAsia"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不可预见费预算表</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85" w:type="dxa"/>
          <w:bottom w:w="0" w:type="dxa"/>
          <w:right w:w="85" w:type="dxa"/>
        </w:tblCellMar>
      </w:tblPr>
      <w:tblGrid>
        <w:gridCol w:w="1584"/>
        <w:gridCol w:w="2036"/>
        <w:gridCol w:w="1908"/>
        <w:gridCol w:w="1466"/>
        <w:gridCol w:w="1488"/>
      </w:tblGrid>
      <w:tr w14:paraId="4867E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85" w:type="dxa"/>
            <w:bottom w:w="0" w:type="dxa"/>
            <w:right w:w="85" w:type="dxa"/>
          </w:tblCellMar>
        </w:tblPrEx>
        <w:trPr>
          <w:trHeight w:val="397" w:hRule="atLeast"/>
          <w:jc w:val="center"/>
        </w:trPr>
        <w:tc>
          <w:tcPr>
            <w:tcW w:w="934" w:type="pct"/>
            <w:tcBorders>
              <w:top w:val="single" w:color="000000" w:sz="4" w:space="0"/>
              <w:left w:val="single" w:color="000000" w:sz="4" w:space="0"/>
              <w:bottom w:val="single" w:color="auto" w:sz="4" w:space="0"/>
              <w:right w:val="single" w:color="000000" w:sz="4" w:space="0"/>
            </w:tcBorders>
            <w:shd w:val="clear" w:color="auto" w:fill="auto"/>
            <w:vAlign w:val="center"/>
          </w:tcPr>
          <w:p w14:paraId="4B187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color w:val="auto"/>
                <w:szCs w:val="21"/>
                <w:lang w:val="en-US"/>
              </w:rPr>
            </w:pPr>
            <w:r>
              <w:rPr>
                <w:rFonts w:hint="eastAsia" w:ascii="Times New Roman" w:hAnsi="Times New Roman" w:eastAsia="宋体" w:cs="宋体"/>
                <w:color w:val="auto"/>
                <w:kern w:val="2"/>
                <w:sz w:val="21"/>
                <w:szCs w:val="21"/>
                <w:lang w:val="en-US" w:eastAsia="zh-CN" w:bidi="ar"/>
              </w:rPr>
              <w:t>费用名称</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91F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color w:val="auto"/>
                <w:szCs w:val="21"/>
                <w:lang w:val="en-US"/>
              </w:rPr>
            </w:pPr>
            <w:r>
              <w:rPr>
                <w:rFonts w:hint="eastAsia" w:ascii="Times New Roman" w:hAnsi="Times New Roman" w:eastAsia="宋体" w:cs="宋体"/>
                <w:color w:val="auto"/>
                <w:kern w:val="2"/>
                <w:sz w:val="21"/>
                <w:szCs w:val="21"/>
                <w:lang w:val="en-US" w:eastAsia="zh-CN" w:bidi="ar"/>
              </w:rPr>
              <w:t>工程施工费</w:t>
            </w: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万元</w:t>
            </w:r>
            <w:r>
              <w:rPr>
                <w:rFonts w:hint="default" w:ascii="Times New Roman" w:hAnsi="Times New Roman" w:eastAsia="宋体" w:cs="Times New Roman"/>
                <w:color w:val="auto"/>
                <w:kern w:val="2"/>
                <w:sz w:val="21"/>
                <w:szCs w:val="21"/>
                <w:lang w:val="en-US" w:eastAsia="zh-CN" w:bidi="ar"/>
              </w:rPr>
              <w:t>)</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AA5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color w:val="auto"/>
                <w:szCs w:val="21"/>
                <w:lang w:val="en-US"/>
              </w:rPr>
            </w:pPr>
            <w:r>
              <w:rPr>
                <w:rFonts w:hint="eastAsia" w:ascii="Times New Roman" w:hAnsi="Times New Roman" w:eastAsia="宋体" w:cs="宋体"/>
                <w:color w:val="auto"/>
                <w:kern w:val="2"/>
                <w:sz w:val="21"/>
                <w:szCs w:val="21"/>
                <w:lang w:val="en-US" w:eastAsia="zh-CN" w:bidi="ar"/>
              </w:rPr>
              <w:t>其他费用</w:t>
            </w: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万元</w:t>
            </w:r>
            <w:r>
              <w:rPr>
                <w:rFonts w:hint="default" w:ascii="Times New Roman" w:hAnsi="Times New Roman" w:eastAsia="宋体" w:cs="Times New Roman"/>
                <w:color w:val="auto"/>
                <w:kern w:val="2"/>
                <w:sz w:val="21"/>
                <w:szCs w:val="21"/>
                <w:lang w:val="en-US" w:eastAsia="zh-CN" w:bidi="ar"/>
              </w:rPr>
              <w:t>)</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8F2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color w:val="auto"/>
                <w:szCs w:val="21"/>
                <w:lang w:val="en-US"/>
              </w:rPr>
            </w:pPr>
            <w:r>
              <w:rPr>
                <w:rFonts w:hint="eastAsia" w:ascii="Times New Roman" w:hAnsi="Times New Roman" w:eastAsia="宋体" w:cs="宋体"/>
                <w:color w:val="auto"/>
                <w:kern w:val="2"/>
                <w:sz w:val="21"/>
                <w:szCs w:val="21"/>
                <w:lang w:val="en-US" w:eastAsia="zh-CN" w:bidi="ar"/>
              </w:rPr>
              <w:t>费率</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84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color w:val="auto"/>
                <w:szCs w:val="21"/>
                <w:lang w:val="en-US"/>
              </w:rPr>
            </w:pPr>
            <w:r>
              <w:rPr>
                <w:rFonts w:hint="eastAsia" w:ascii="Times New Roman" w:hAnsi="Times New Roman" w:eastAsia="宋体" w:cs="宋体"/>
                <w:color w:val="auto"/>
                <w:kern w:val="2"/>
                <w:sz w:val="21"/>
                <w:szCs w:val="21"/>
                <w:lang w:val="en-US" w:eastAsia="zh-CN" w:bidi="ar"/>
              </w:rPr>
              <w:t>合计</w:t>
            </w: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万元</w:t>
            </w:r>
            <w:r>
              <w:rPr>
                <w:rFonts w:hint="default" w:ascii="Times New Roman" w:hAnsi="Times New Roman" w:eastAsia="宋体" w:cs="Times New Roman"/>
                <w:color w:val="auto"/>
                <w:kern w:val="2"/>
                <w:sz w:val="21"/>
                <w:szCs w:val="21"/>
                <w:lang w:val="en-US" w:eastAsia="zh-CN" w:bidi="ar"/>
              </w:rPr>
              <w:t>)</w:t>
            </w:r>
          </w:p>
        </w:tc>
      </w:tr>
      <w:tr w14:paraId="544A4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97" w:hRule="atLeast"/>
          <w:jc w:val="center"/>
        </w:trPr>
        <w:tc>
          <w:tcPr>
            <w:tcW w:w="1584" w:type="dxa"/>
            <w:tcBorders>
              <w:top w:val="single" w:color="auto" w:sz="4" w:space="0"/>
              <w:left w:val="single" w:color="000000" w:sz="4" w:space="0"/>
              <w:bottom w:val="single" w:color="000000" w:sz="4" w:space="0"/>
              <w:right w:val="single" w:color="000000" w:sz="4" w:space="0"/>
            </w:tcBorders>
            <w:shd w:val="clear" w:color="auto" w:fill="auto"/>
            <w:vAlign w:val="center"/>
          </w:tcPr>
          <w:p w14:paraId="41305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不可预见费</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7E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kern w:val="0"/>
                <w:szCs w:val="21"/>
                <w:lang w:val="en-US" w:bidi="ar"/>
              </w:rPr>
            </w:pPr>
            <w:r>
              <w:rPr>
                <w:rFonts w:hint="eastAsia" w:cs="Times New Roman"/>
                <w:color w:val="auto"/>
                <w:kern w:val="0"/>
                <w:sz w:val="21"/>
                <w:szCs w:val="21"/>
                <w:lang w:val="en-US" w:eastAsia="zh-CN" w:bidi="ar"/>
              </w:rPr>
              <w:t>0.0064</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9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kern w:val="0"/>
                <w:szCs w:val="21"/>
                <w:lang w:val="en-US" w:bidi="ar"/>
              </w:rPr>
            </w:pPr>
            <w:r>
              <w:rPr>
                <w:rFonts w:hint="eastAsia" w:cs="Times New Roman"/>
                <w:color w:val="auto"/>
                <w:kern w:val="0"/>
                <w:sz w:val="21"/>
                <w:szCs w:val="21"/>
                <w:lang w:val="en-US" w:eastAsia="zh-CN" w:bidi="ar"/>
              </w:rPr>
              <w:t>19.50</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13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1"/>
                <w:szCs w:val="21"/>
                <w:lang w:val="en-US" w:eastAsia="zh-CN" w:bidi="ar"/>
              </w:rPr>
              <w:t>3%</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76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szCs w:val="21"/>
                <w:lang w:val="en-US"/>
              </w:rPr>
            </w:pPr>
            <w:r>
              <w:rPr>
                <w:rFonts w:hint="eastAsia" w:cs="Times New Roman"/>
                <w:color w:val="auto"/>
                <w:kern w:val="0"/>
                <w:sz w:val="21"/>
                <w:szCs w:val="21"/>
                <w:lang w:val="en-US" w:eastAsia="zh-CN" w:bidi="ar"/>
              </w:rPr>
              <w:t>0.59</w:t>
            </w:r>
          </w:p>
        </w:tc>
      </w:tr>
    </w:tbl>
    <w:p w14:paraId="4A3CD896">
      <w:pPr>
        <w:keepNext w:val="0"/>
        <w:keepLines w:val="0"/>
        <w:pageBreakBefore w:val="0"/>
        <w:widowControl/>
        <w:tabs>
          <w:tab w:val="left" w:pos="7235"/>
        </w:tabs>
        <w:kinsoku/>
        <w:wordWrap/>
        <w:overflowPunct/>
        <w:topLinePunct w:val="0"/>
        <w:autoSpaceDE/>
        <w:autoSpaceDN/>
        <w:bidi w:val="0"/>
        <w:adjustRightInd w:val="0"/>
        <w:snapToGrid w:val="0"/>
        <w:spacing w:before="164" w:beforeLines="50" w:line="360" w:lineRule="auto"/>
        <w:ind w:right="0" w:rightChars="0"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表6</w:t>
      </w:r>
      <w:r>
        <w:rPr>
          <w:rFonts w:hint="default" w:ascii="Times New Roman" w:hAnsi="Times New Roman" w:eastAsia="宋体" w:cs="Times New Roman"/>
          <w:b/>
          <w:color w:val="auto"/>
          <w:sz w:val="21"/>
          <w:szCs w:val="21"/>
          <w:highlight w:val="none"/>
          <w:lang w:val="en-US" w:eastAsia="zh-CN"/>
        </w:rPr>
        <w:t>-1</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监测管护费预算表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4"/>
        <w:gridCol w:w="1108"/>
        <w:gridCol w:w="1719"/>
        <w:gridCol w:w="571"/>
        <w:gridCol w:w="2179"/>
        <w:gridCol w:w="2188"/>
      </w:tblGrid>
      <w:tr w14:paraId="368B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34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3699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序号</w:t>
            </w:r>
          </w:p>
        </w:tc>
        <w:tc>
          <w:tcPr>
            <w:tcW w:w="664"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3F87DB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费用名称</w:t>
            </w:r>
          </w:p>
        </w:tc>
        <w:tc>
          <w:tcPr>
            <w:tcW w:w="1030"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716B23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频率（次</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宋体"/>
                <w:color w:val="auto"/>
                <w:kern w:val="0"/>
                <w:sz w:val="21"/>
                <w:szCs w:val="21"/>
                <w:lang w:val="en-US" w:eastAsia="zh-CN" w:bidi="ar"/>
              </w:rPr>
              <w:t>年）</w:t>
            </w:r>
          </w:p>
        </w:tc>
        <w:tc>
          <w:tcPr>
            <w:tcW w:w="342"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72CC3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年限</w:t>
            </w:r>
          </w:p>
        </w:tc>
        <w:tc>
          <w:tcPr>
            <w:tcW w:w="1306"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14:paraId="4F041C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单次费用（万元）</w:t>
            </w:r>
          </w:p>
        </w:tc>
        <w:tc>
          <w:tcPr>
            <w:tcW w:w="1311"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6DEEE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预算金额（万元）</w:t>
            </w:r>
          </w:p>
        </w:tc>
      </w:tr>
      <w:tr w14:paraId="5770D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34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8696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1"/>
                <w:szCs w:val="21"/>
                <w:lang w:val="en-US" w:eastAsia="zh-CN" w:bidi="ar"/>
              </w:rPr>
              <w:t>1</w:t>
            </w:r>
          </w:p>
        </w:tc>
        <w:tc>
          <w:tcPr>
            <w:tcW w:w="66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DE6FE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监测费</w:t>
            </w:r>
          </w:p>
        </w:tc>
        <w:tc>
          <w:tcPr>
            <w:tcW w:w="17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5C925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cs="Times New Roman"/>
                <w:color w:val="auto"/>
                <w:kern w:val="0"/>
                <w:sz w:val="22"/>
                <w:szCs w:val="22"/>
                <w:lang w:val="en-US" w:eastAsia="zh-CN" w:bidi="ar"/>
              </w:rPr>
              <w:t>1</w:t>
            </w:r>
            <w:r>
              <w:rPr>
                <w:rFonts w:hint="default" w:ascii="Times New Roman" w:hAnsi="Times New Roman" w:eastAsia="宋体" w:cs="Times New Roman"/>
                <w:color w:val="auto"/>
                <w:kern w:val="0"/>
                <w:sz w:val="22"/>
                <w:szCs w:val="22"/>
                <w:lang w:val="en-US" w:eastAsia="zh-CN" w:bidi="ar"/>
              </w:rPr>
              <w:t>2</w:t>
            </w:r>
          </w:p>
        </w:tc>
        <w:tc>
          <w:tcPr>
            <w:tcW w:w="57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68F2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2"/>
                <w:szCs w:val="22"/>
                <w:lang w:val="en-US" w:eastAsia="zh-CN" w:bidi="ar"/>
              </w:rPr>
              <w:t>1</w:t>
            </w:r>
          </w:p>
        </w:tc>
        <w:tc>
          <w:tcPr>
            <w:tcW w:w="21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10C527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2"/>
                <w:szCs w:val="22"/>
                <w:lang w:val="en-US" w:eastAsia="zh-CN" w:bidi="ar"/>
              </w:rPr>
              <w:t>0.2</w:t>
            </w:r>
          </w:p>
        </w:tc>
        <w:tc>
          <w:tcPr>
            <w:tcW w:w="21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022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szCs w:val="21"/>
                <w:lang w:val="en-US"/>
              </w:rPr>
            </w:pPr>
            <w:r>
              <w:rPr>
                <w:rFonts w:hint="eastAsia" w:cs="Times New Roman"/>
                <w:color w:val="auto"/>
                <w:kern w:val="0"/>
                <w:sz w:val="22"/>
                <w:szCs w:val="22"/>
                <w:lang w:val="en-US" w:eastAsia="zh-CN" w:bidi="ar"/>
              </w:rPr>
              <w:t>2.40</w:t>
            </w:r>
          </w:p>
        </w:tc>
      </w:tr>
      <w:tr w14:paraId="4D732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34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203A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1"/>
                <w:szCs w:val="21"/>
                <w:lang w:val="en-US" w:eastAsia="zh-CN" w:bidi="ar"/>
              </w:rPr>
              <w:t>2</w:t>
            </w:r>
          </w:p>
        </w:tc>
        <w:tc>
          <w:tcPr>
            <w:tcW w:w="66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5544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管护费</w:t>
            </w:r>
          </w:p>
        </w:tc>
        <w:tc>
          <w:tcPr>
            <w:tcW w:w="17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EB67D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2"/>
                <w:szCs w:val="22"/>
                <w:lang w:val="en-US" w:eastAsia="zh-CN" w:bidi="ar"/>
              </w:rPr>
              <w:t>2</w:t>
            </w:r>
          </w:p>
        </w:tc>
        <w:tc>
          <w:tcPr>
            <w:tcW w:w="57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4D04A9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cs="Times New Roman"/>
                <w:color w:val="auto"/>
                <w:kern w:val="0"/>
                <w:sz w:val="22"/>
                <w:szCs w:val="22"/>
                <w:lang w:val="en-US" w:eastAsia="zh-CN" w:bidi="ar"/>
              </w:rPr>
              <w:t>1</w:t>
            </w:r>
          </w:p>
        </w:tc>
        <w:tc>
          <w:tcPr>
            <w:tcW w:w="21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14:paraId="20320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2"/>
                <w:szCs w:val="22"/>
                <w:lang w:val="en-US" w:eastAsia="zh-CN" w:bidi="ar"/>
              </w:rPr>
              <w:t>0.</w:t>
            </w:r>
            <w:r>
              <w:rPr>
                <w:rFonts w:hint="eastAsia" w:cs="Times New Roman"/>
                <w:color w:val="auto"/>
                <w:kern w:val="0"/>
                <w:sz w:val="22"/>
                <w:szCs w:val="22"/>
                <w:lang w:val="en-US" w:eastAsia="zh-CN" w:bidi="ar"/>
              </w:rPr>
              <w:t>5</w:t>
            </w:r>
          </w:p>
        </w:tc>
        <w:tc>
          <w:tcPr>
            <w:tcW w:w="21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04EAF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szCs w:val="21"/>
                <w:lang w:val="en-US"/>
              </w:rPr>
            </w:pPr>
            <w:r>
              <w:rPr>
                <w:rFonts w:hint="eastAsia" w:cs="Times New Roman"/>
                <w:color w:val="auto"/>
                <w:kern w:val="0"/>
                <w:sz w:val="22"/>
                <w:szCs w:val="22"/>
                <w:lang w:val="en-US" w:eastAsia="zh-CN" w:bidi="ar"/>
              </w:rPr>
              <w:t>1.00</w:t>
            </w:r>
          </w:p>
        </w:tc>
      </w:tr>
      <w:tr w14:paraId="70181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34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FAC7F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eastAsia" w:ascii="Times New Roman" w:hAnsi="Times New Roman" w:eastAsia="宋体" w:cs="宋体"/>
                <w:color w:val="auto"/>
                <w:kern w:val="0"/>
                <w:sz w:val="21"/>
                <w:szCs w:val="21"/>
                <w:lang w:val="en-US" w:eastAsia="zh-CN" w:bidi="ar"/>
              </w:rPr>
              <w:t>合计</w:t>
            </w:r>
          </w:p>
        </w:tc>
        <w:tc>
          <w:tcPr>
            <w:tcW w:w="66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8171E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1"/>
                <w:szCs w:val="21"/>
                <w:lang w:val="en-US" w:eastAsia="zh-CN" w:bidi="ar"/>
              </w:rPr>
              <w:t>—</w:t>
            </w:r>
          </w:p>
        </w:tc>
        <w:tc>
          <w:tcPr>
            <w:tcW w:w="171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74A00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2"/>
                <w:szCs w:val="22"/>
                <w:lang w:val="en-US" w:eastAsia="zh-CN" w:bidi="ar"/>
              </w:rPr>
              <w:t>—</w:t>
            </w:r>
          </w:p>
        </w:tc>
        <w:tc>
          <w:tcPr>
            <w:tcW w:w="57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2476B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2"/>
                <w:szCs w:val="22"/>
                <w:lang w:val="en-US" w:eastAsia="zh-CN" w:bidi="ar"/>
              </w:rPr>
              <w:t>—</w:t>
            </w:r>
          </w:p>
        </w:tc>
        <w:tc>
          <w:tcPr>
            <w:tcW w:w="21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BE970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color w:val="auto"/>
                <w:szCs w:val="21"/>
                <w:lang w:val="en-US"/>
              </w:rPr>
            </w:pPr>
            <w:r>
              <w:rPr>
                <w:rFonts w:hint="default" w:ascii="Times New Roman" w:hAnsi="Times New Roman" w:eastAsia="宋体" w:cs="Times New Roman"/>
                <w:color w:val="auto"/>
                <w:kern w:val="0"/>
                <w:sz w:val="22"/>
                <w:szCs w:val="22"/>
                <w:lang w:val="en-US" w:eastAsia="zh-CN" w:bidi="ar"/>
              </w:rPr>
              <w:t>—</w:t>
            </w:r>
          </w:p>
        </w:tc>
        <w:tc>
          <w:tcPr>
            <w:tcW w:w="21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F0F2F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auto"/>
                <w:szCs w:val="21"/>
                <w:lang w:val="en-US"/>
              </w:rPr>
            </w:pPr>
            <w:r>
              <w:rPr>
                <w:rFonts w:hint="eastAsia" w:cs="Times New Roman"/>
                <w:color w:val="auto"/>
                <w:kern w:val="0"/>
                <w:sz w:val="22"/>
                <w:szCs w:val="22"/>
                <w:lang w:val="en-US" w:eastAsia="zh-CN" w:bidi="ar"/>
              </w:rPr>
              <w:t>3.40</w:t>
            </w:r>
          </w:p>
        </w:tc>
      </w:tr>
      <w:bookmarkEnd w:id="9"/>
    </w:tbl>
    <w:p w14:paraId="5264CC8A">
      <w:pPr>
        <w:bidi w:val="0"/>
        <w:ind w:left="0" w:leftChars="0" w:firstLine="0" w:firstLineChars="0"/>
        <w:rPr>
          <w:rFonts w:hint="default" w:ascii="Times New Roman" w:hAnsi="Times New Roman" w:eastAsia="宋体" w:cs="Times New Roman"/>
          <w:color w:val="auto"/>
          <w:lang w:val="en-US" w:eastAsia="zh-CN"/>
        </w:rPr>
      </w:pP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797" w:bottom="1440" w:left="1797" w:header="851" w:footer="992"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
    <w:altName w:val="Calibri"/>
    <w:panose1 w:val="020F0502020204030204"/>
    <w:charset w:val="00"/>
    <w:family w:val="auto"/>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94104">
    <w:pPr>
      <w:pStyle w:val="7"/>
      <w:ind w:firstLine="360"/>
      <w:jc w:val="center"/>
    </w:pPr>
  </w:p>
  <w:p w14:paraId="6B81E8E4">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2930B">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C182C">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79846">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67984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9ED3">
    <w:pPr>
      <w:pStyle w:val="7"/>
      <w:ind w:firstLine="360"/>
      <w:jc w:val="center"/>
      <w:rPr>
        <w:rFonts w:ascii="Times New Roman" w:hAns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30417">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AB30417">
                    <w:pPr>
                      <w:pStyle w:val="7"/>
                    </w:pPr>
                    <w:r>
                      <w:fldChar w:fldCharType="begin"/>
                    </w:r>
                    <w:r>
                      <w:instrText xml:space="preserve"> PAGE  \* MERGEFORMAT </w:instrText>
                    </w:r>
                    <w:r>
                      <w:fldChar w:fldCharType="separate"/>
                    </w:r>
                    <w:r>
                      <w:t>10</w:t>
                    </w:r>
                    <w:r>
                      <w:fldChar w:fldCharType="end"/>
                    </w:r>
                  </w:p>
                </w:txbxContent>
              </v:textbox>
            </v:shape>
          </w:pict>
        </mc:Fallback>
      </mc:AlternateContent>
    </w:r>
  </w:p>
  <w:p w14:paraId="1C4AD4BE">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843F0">
    <w:pPr>
      <w:pStyle w:val="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38080">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4D8F">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87F87">
    <w:pPr>
      <w:pStyle w:val="8"/>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9834F">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FED42">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EB2F59"/>
    <w:multiLevelType w:val="multilevel"/>
    <w:tmpl w:val="53EB2F59"/>
    <w:lvl w:ilvl="0" w:tentative="0">
      <w:start w:val="1"/>
      <w:numFmt w:val="decimalEnclosedCircle"/>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kNTcxNWE3MTdjNzE3Zjk1OTBhZGExNzBhNzk5NTEifQ=="/>
  </w:docVars>
  <w:rsids>
    <w:rsidRoot w:val="76B43A24"/>
    <w:rsid w:val="00023F11"/>
    <w:rsid w:val="000308FB"/>
    <w:rsid w:val="00141757"/>
    <w:rsid w:val="001609E2"/>
    <w:rsid w:val="00176184"/>
    <w:rsid w:val="001833FF"/>
    <w:rsid w:val="001900A8"/>
    <w:rsid w:val="00392B3C"/>
    <w:rsid w:val="004E4BD7"/>
    <w:rsid w:val="004E5400"/>
    <w:rsid w:val="006B5FC0"/>
    <w:rsid w:val="00747D0D"/>
    <w:rsid w:val="007A27FE"/>
    <w:rsid w:val="007B1105"/>
    <w:rsid w:val="00850AE5"/>
    <w:rsid w:val="009A01A3"/>
    <w:rsid w:val="009F2CDA"/>
    <w:rsid w:val="00A30B53"/>
    <w:rsid w:val="00A82BA0"/>
    <w:rsid w:val="00A872DD"/>
    <w:rsid w:val="00A931F2"/>
    <w:rsid w:val="00AD3F3E"/>
    <w:rsid w:val="00AD7DB5"/>
    <w:rsid w:val="00B26679"/>
    <w:rsid w:val="00B91F6D"/>
    <w:rsid w:val="00BB6002"/>
    <w:rsid w:val="00BD6B07"/>
    <w:rsid w:val="00BF012D"/>
    <w:rsid w:val="00C76E3D"/>
    <w:rsid w:val="00C77760"/>
    <w:rsid w:val="00D17349"/>
    <w:rsid w:val="00D71593"/>
    <w:rsid w:val="00D9764E"/>
    <w:rsid w:val="00DA31C0"/>
    <w:rsid w:val="00E00C65"/>
    <w:rsid w:val="00E12BFC"/>
    <w:rsid w:val="00EB480A"/>
    <w:rsid w:val="00F9738A"/>
    <w:rsid w:val="00FA62B9"/>
    <w:rsid w:val="00FC0C5A"/>
    <w:rsid w:val="00FD012A"/>
    <w:rsid w:val="00FD10BC"/>
    <w:rsid w:val="00FE4651"/>
    <w:rsid w:val="01003773"/>
    <w:rsid w:val="01090CC4"/>
    <w:rsid w:val="012805D4"/>
    <w:rsid w:val="012919BE"/>
    <w:rsid w:val="0133323A"/>
    <w:rsid w:val="01371DD1"/>
    <w:rsid w:val="013B0DE8"/>
    <w:rsid w:val="013B2D21"/>
    <w:rsid w:val="01417502"/>
    <w:rsid w:val="01476513"/>
    <w:rsid w:val="014F11B6"/>
    <w:rsid w:val="01556AEC"/>
    <w:rsid w:val="016469F2"/>
    <w:rsid w:val="016A1D33"/>
    <w:rsid w:val="017A1478"/>
    <w:rsid w:val="018D0F54"/>
    <w:rsid w:val="01900C99"/>
    <w:rsid w:val="01934780"/>
    <w:rsid w:val="019635B1"/>
    <w:rsid w:val="019C135B"/>
    <w:rsid w:val="01A002F4"/>
    <w:rsid w:val="01A4799F"/>
    <w:rsid w:val="01B04AF2"/>
    <w:rsid w:val="01BB7B07"/>
    <w:rsid w:val="01BF6B52"/>
    <w:rsid w:val="01CC1DD4"/>
    <w:rsid w:val="01D039E6"/>
    <w:rsid w:val="01DA20F9"/>
    <w:rsid w:val="01DC03D8"/>
    <w:rsid w:val="01E076A1"/>
    <w:rsid w:val="01E55FD8"/>
    <w:rsid w:val="01E602CA"/>
    <w:rsid w:val="01EE20DF"/>
    <w:rsid w:val="01EE7C57"/>
    <w:rsid w:val="01F202A0"/>
    <w:rsid w:val="02080F80"/>
    <w:rsid w:val="02145E67"/>
    <w:rsid w:val="021552AD"/>
    <w:rsid w:val="021B442F"/>
    <w:rsid w:val="021C6026"/>
    <w:rsid w:val="02244529"/>
    <w:rsid w:val="02252980"/>
    <w:rsid w:val="022A7B2F"/>
    <w:rsid w:val="02333AC9"/>
    <w:rsid w:val="02362765"/>
    <w:rsid w:val="024A5E59"/>
    <w:rsid w:val="0255794D"/>
    <w:rsid w:val="02567859"/>
    <w:rsid w:val="0260349C"/>
    <w:rsid w:val="02644226"/>
    <w:rsid w:val="02644DB4"/>
    <w:rsid w:val="026D5C07"/>
    <w:rsid w:val="027C58F8"/>
    <w:rsid w:val="027F3EF7"/>
    <w:rsid w:val="02987304"/>
    <w:rsid w:val="029F46E5"/>
    <w:rsid w:val="02A90374"/>
    <w:rsid w:val="02B110F3"/>
    <w:rsid w:val="02BC2C37"/>
    <w:rsid w:val="02C233C8"/>
    <w:rsid w:val="02D644E4"/>
    <w:rsid w:val="02D678BC"/>
    <w:rsid w:val="02DE59EF"/>
    <w:rsid w:val="02E27289"/>
    <w:rsid w:val="02F13D99"/>
    <w:rsid w:val="02F718DD"/>
    <w:rsid w:val="02F746E8"/>
    <w:rsid w:val="0300052B"/>
    <w:rsid w:val="031C4341"/>
    <w:rsid w:val="03253CA2"/>
    <w:rsid w:val="0332738A"/>
    <w:rsid w:val="0341191E"/>
    <w:rsid w:val="0348159A"/>
    <w:rsid w:val="03486C45"/>
    <w:rsid w:val="03493737"/>
    <w:rsid w:val="034B21BE"/>
    <w:rsid w:val="0351244F"/>
    <w:rsid w:val="03541CED"/>
    <w:rsid w:val="036A0962"/>
    <w:rsid w:val="036C7510"/>
    <w:rsid w:val="037129BF"/>
    <w:rsid w:val="03774B72"/>
    <w:rsid w:val="037A1C55"/>
    <w:rsid w:val="038460F1"/>
    <w:rsid w:val="038661D0"/>
    <w:rsid w:val="039308D8"/>
    <w:rsid w:val="03A36505"/>
    <w:rsid w:val="03C135D7"/>
    <w:rsid w:val="03C22C90"/>
    <w:rsid w:val="03C93736"/>
    <w:rsid w:val="03EA187C"/>
    <w:rsid w:val="03F16D74"/>
    <w:rsid w:val="03F82048"/>
    <w:rsid w:val="03FB0212"/>
    <w:rsid w:val="04134E08"/>
    <w:rsid w:val="042E65B2"/>
    <w:rsid w:val="0432053B"/>
    <w:rsid w:val="04376782"/>
    <w:rsid w:val="044003F4"/>
    <w:rsid w:val="0442155B"/>
    <w:rsid w:val="044435CE"/>
    <w:rsid w:val="044643C9"/>
    <w:rsid w:val="044E7D8A"/>
    <w:rsid w:val="04545340"/>
    <w:rsid w:val="045555E0"/>
    <w:rsid w:val="045C3456"/>
    <w:rsid w:val="0465184D"/>
    <w:rsid w:val="046571AC"/>
    <w:rsid w:val="04692615"/>
    <w:rsid w:val="046B766F"/>
    <w:rsid w:val="046E6DDE"/>
    <w:rsid w:val="046F54CA"/>
    <w:rsid w:val="04784CCA"/>
    <w:rsid w:val="047C4B05"/>
    <w:rsid w:val="048A2100"/>
    <w:rsid w:val="049432C0"/>
    <w:rsid w:val="04A5214E"/>
    <w:rsid w:val="04AE3494"/>
    <w:rsid w:val="04B2538E"/>
    <w:rsid w:val="04C83F58"/>
    <w:rsid w:val="04CB72D6"/>
    <w:rsid w:val="04CC3173"/>
    <w:rsid w:val="04CC3C67"/>
    <w:rsid w:val="04CD4986"/>
    <w:rsid w:val="04D25BD6"/>
    <w:rsid w:val="04D521BF"/>
    <w:rsid w:val="04DC1B21"/>
    <w:rsid w:val="04DD0923"/>
    <w:rsid w:val="04DF1907"/>
    <w:rsid w:val="04EB6681"/>
    <w:rsid w:val="04EF252F"/>
    <w:rsid w:val="04EF25AA"/>
    <w:rsid w:val="04F45402"/>
    <w:rsid w:val="04F83F39"/>
    <w:rsid w:val="04F93EBD"/>
    <w:rsid w:val="05006C19"/>
    <w:rsid w:val="050339CA"/>
    <w:rsid w:val="05063A61"/>
    <w:rsid w:val="050F50AC"/>
    <w:rsid w:val="05107E95"/>
    <w:rsid w:val="051726B0"/>
    <w:rsid w:val="051B396A"/>
    <w:rsid w:val="051C58C6"/>
    <w:rsid w:val="052668EC"/>
    <w:rsid w:val="05285852"/>
    <w:rsid w:val="052B7D98"/>
    <w:rsid w:val="05337CE0"/>
    <w:rsid w:val="053A3EDE"/>
    <w:rsid w:val="053B7FE5"/>
    <w:rsid w:val="05420E9B"/>
    <w:rsid w:val="054B680F"/>
    <w:rsid w:val="054D3683"/>
    <w:rsid w:val="05552A59"/>
    <w:rsid w:val="05604980"/>
    <w:rsid w:val="05734DC7"/>
    <w:rsid w:val="057C582F"/>
    <w:rsid w:val="05824120"/>
    <w:rsid w:val="0584343C"/>
    <w:rsid w:val="058B032E"/>
    <w:rsid w:val="058D7726"/>
    <w:rsid w:val="058E75C3"/>
    <w:rsid w:val="05934E01"/>
    <w:rsid w:val="059D4260"/>
    <w:rsid w:val="05A03200"/>
    <w:rsid w:val="05A57E0D"/>
    <w:rsid w:val="05A63BCF"/>
    <w:rsid w:val="05A778F6"/>
    <w:rsid w:val="05A81618"/>
    <w:rsid w:val="05B25824"/>
    <w:rsid w:val="05BC51E8"/>
    <w:rsid w:val="05C00398"/>
    <w:rsid w:val="05C65629"/>
    <w:rsid w:val="05CE358D"/>
    <w:rsid w:val="05D20B5D"/>
    <w:rsid w:val="05D63936"/>
    <w:rsid w:val="05DC3EA4"/>
    <w:rsid w:val="05E1561D"/>
    <w:rsid w:val="05E161E9"/>
    <w:rsid w:val="05E4673A"/>
    <w:rsid w:val="05ED014B"/>
    <w:rsid w:val="05F77D3B"/>
    <w:rsid w:val="05F95DDE"/>
    <w:rsid w:val="05FB4601"/>
    <w:rsid w:val="060363AC"/>
    <w:rsid w:val="060F6B11"/>
    <w:rsid w:val="06173099"/>
    <w:rsid w:val="061767FD"/>
    <w:rsid w:val="06192B76"/>
    <w:rsid w:val="06223DEA"/>
    <w:rsid w:val="063E12BF"/>
    <w:rsid w:val="064A1C3F"/>
    <w:rsid w:val="064D0A3F"/>
    <w:rsid w:val="064D7584"/>
    <w:rsid w:val="064E4375"/>
    <w:rsid w:val="06570C5E"/>
    <w:rsid w:val="06597633"/>
    <w:rsid w:val="06616D30"/>
    <w:rsid w:val="06750CC1"/>
    <w:rsid w:val="06755E80"/>
    <w:rsid w:val="0681571E"/>
    <w:rsid w:val="0682077B"/>
    <w:rsid w:val="06897B72"/>
    <w:rsid w:val="068E3512"/>
    <w:rsid w:val="068F3A0F"/>
    <w:rsid w:val="06920B05"/>
    <w:rsid w:val="0696086E"/>
    <w:rsid w:val="069845E6"/>
    <w:rsid w:val="069F69FA"/>
    <w:rsid w:val="06A36B41"/>
    <w:rsid w:val="06A37153"/>
    <w:rsid w:val="06A765D7"/>
    <w:rsid w:val="06A96A25"/>
    <w:rsid w:val="06B16276"/>
    <w:rsid w:val="06B36478"/>
    <w:rsid w:val="06BA49CA"/>
    <w:rsid w:val="06C218D2"/>
    <w:rsid w:val="06C269F6"/>
    <w:rsid w:val="06C930D4"/>
    <w:rsid w:val="06CA21CF"/>
    <w:rsid w:val="06CD5497"/>
    <w:rsid w:val="06D1718F"/>
    <w:rsid w:val="06E47299"/>
    <w:rsid w:val="06E627D4"/>
    <w:rsid w:val="06EC06EA"/>
    <w:rsid w:val="06F34BD7"/>
    <w:rsid w:val="0706358F"/>
    <w:rsid w:val="07124134"/>
    <w:rsid w:val="0721409D"/>
    <w:rsid w:val="072155C7"/>
    <w:rsid w:val="0722110C"/>
    <w:rsid w:val="07237F44"/>
    <w:rsid w:val="07261722"/>
    <w:rsid w:val="072639A0"/>
    <w:rsid w:val="07267FB1"/>
    <w:rsid w:val="072860EF"/>
    <w:rsid w:val="072C624D"/>
    <w:rsid w:val="072F2F29"/>
    <w:rsid w:val="07351766"/>
    <w:rsid w:val="07351823"/>
    <w:rsid w:val="07364F66"/>
    <w:rsid w:val="07373929"/>
    <w:rsid w:val="073B3BBE"/>
    <w:rsid w:val="07487C1F"/>
    <w:rsid w:val="074A6820"/>
    <w:rsid w:val="0751675F"/>
    <w:rsid w:val="075561AE"/>
    <w:rsid w:val="075955EB"/>
    <w:rsid w:val="075D30B2"/>
    <w:rsid w:val="076E10A7"/>
    <w:rsid w:val="076E423F"/>
    <w:rsid w:val="07755E64"/>
    <w:rsid w:val="077B040A"/>
    <w:rsid w:val="0783602D"/>
    <w:rsid w:val="07875974"/>
    <w:rsid w:val="07892037"/>
    <w:rsid w:val="07907431"/>
    <w:rsid w:val="07A63723"/>
    <w:rsid w:val="07B1365F"/>
    <w:rsid w:val="07BD27FD"/>
    <w:rsid w:val="07C160D4"/>
    <w:rsid w:val="07C21027"/>
    <w:rsid w:val="07CA54DA"/>
    <w:rsid w:val="07D15A0F"/>
    <w:rsid w:val="07D361A2"/>
    <w:rsid w:val="07D67CB8"/>
    <w:rsid w:val="07F02841"/>
    <w:rsid w:val="08063509"/>
    <w:rsid w:val="080863CD"/>
    <w:rsid w:val="081555B2"/>
    <w:rsid w:val="081A1F9B"/>
    <w:rsid w:val="081E0B1B"/>
    <w:rsid w:val="0822676F"/>
    <w:rsid w:val="0823263C"/>
    <w:rsid w:val="0830656F"/>
    <w:rsid w:val="0839587A"/>
    <w:rsid w:val="08427B52"/>
    <w:rsid w:val="084735FF"/>
    <w:rsid w:val="08487D16"/>
    <w:rsid w:val="084C5E6A"/>
    <w:rsid w:val="08501125"/>
    <w:rsid w:val="08613402"/>
    <w:rsid w:val="08614AB4"/>
    <w:rsid w:val="086709FE"/>
    <w:rsid w:val="08692E9F"/>
    <w:rsid w:val="087C3297"/>
    <w:rsid w:val="0881642F"/>
    <w:rsid w:val="08834CE2"/>
    <w:rsid w:val="08853271"/>
    <w:rsid w:val="089806BD"/>
    <w:rsid w:val="08A03849"/>
    <w:rsid w:val="08A43DE9"/>
    <w:rsid w:val="08AB3224"/>
    <w:rsid w:val="08AE3CCF"/>
    <w:rsid w:val="08B12F00"/>
    <w:rsid w:val="08B16394"/>
    <w:rsid w:val="08B35EE4"/>
    <w:rsid w:val="08B40E80"/>
    <w:rsid w:val="08C462E5"/>
    <w:rsid w:val="08CD5FE0"/>
    <w:rsid w:val="08D06E36"/>
    <w:rsid w:val="08D13CD4"/>
    <w:rsid w:val="08D37EB9"/>
    <w:rsid w:val="08DB0402"/>
    <w:rsid w:val="08E71CA2"/>
    <w:rsid w:val="08EC4038"/>
    <w:rsid w:val="08F20AA4"/>
    <w:rsid w:val="08F56BC0"/>
    <w:rsid w:val="091471C5"/>
    <w:rsid w:val="09166663"/>
    <w:rsid w:val="092A3456"/>
    <w:rsid w:val="092B3E90"/>
    <w:rsid w:val="09323E6D"/>
    <w:rsid w:val="093638CE"/>
    <w:rsid w:val="093E2C47"/>
    <w:rsid w:val="09405473"/>
    <w:rsid w:val="094268BB"/>
    <w:rsid w:val="09436A8B"/>
    <w:rsid w:val="094F48A5"/>
    <w:rsid w:val="095206C1"/>
    <w:rsid w:val="09694DCF"/>
    <w:rsid w:val="09747C5A"/>
    <w:rsid w:val="097F0317"/>
    <w:rsid w:val="097F632F"/>
    <w:rsid w:val="09816710"/>
    <w:rsid w:val="0988278D"/>
    <w:rsid w:val="099C21F0"/>
    <w:rsid w:val="099D323A"/>
    <w:rsid w:val="09A34F0B"/>
    <w:rsid w:val="09A86B82"/>
    <w:rsid w:val="09C9279F"/>
    <w:rsid w:val="09D560F5"/>
    <w:rsid w:val="09DB2433"/>
    <w:rsid w:val="09E304E0"/>
    <w:rsid w:val="0A076360"/>
    <w:rsid w:val="0A0D16C1"/>
    <w:rsid w:val="0A166744"/>
    <w:rsid w:val="0A1817C0"/>
    <w:rsid w:val="0A1F7826"/>
    <w:rsid w:val="0A2B21F9"/>
    <w:rsid w:val="0A2E7571"/>
    <w:rsid w:val="0A3360CB"/>
    <w:rsid w:val="0A380260"/>
    <w:rsid w:val="0A4641D9"/>
    <w:rsid w:val="0A4F561E"/>
    <w:rsid w:val="0A55657A"/>
    <w:rsid w:val="0A5671A9"/>
    <w:rsid w:val="0A66529B"/>
    <w:rsid w:val="0A682BB2"/>
    <w:rsid w:val="0A6B1772"/>
    <w:rsid w:val="0A71245C"/>
    <w:rsid w:val="0A7F41F9"/>
    <w:rsid w:val="0A7F5650"/>
    <w:rsid w:val="0A850B1D"/>
    <w:rsid w:val="0A882940"/>
    <w:rsid w:val="0AA73FD7"/>
    <w:rsid w:val="0AB21905"/>
    <w:rsid w:val="0AB85257"/>
    <w:rsid w:val="0ABD64FE"/>
    <w:rsid w:val="0AC2312C"/>
    <w:rsid w:val="0AC645C7"/>
    <w:rsid w:val="0AD37242"/>
    <w:rsid w:val="0ADC1173"/>
    <w:rsid w:val="0AE155AE"/>
    <w:rsid w:val="0AE94C13"/>
    <w:rsid w:val="0AEC460A"/>
    <w:rsid w:val="0AF12A8C"/>
    <w:rsid w:val="0AF20EE0"/>
    <w:rsid w:val="0AF838A6"/>
    <w:rsid w:val="0B077353"/>
    <w:rsid w:val="0B101FE8"/>
    <w:rsid w:val="0B120E9C"/>
    <w:rsid w:val="0B154284"/>
    <w:rsid w:val="0B1D3214"/>
    <w:rsid w:val="0B1E1256"/>
    <w:rsid w:val="0B206ECE"/>
    <w:rsid w:val="0B26797F"/>
    <w:rsid w:val="0B2852DB"/>
    <w:rsid w:val="0B2A0F9E"/>
    <w:rsid w:val="0B327BBA"/>
    <w:rsid w:val="0B387E25"/>
    <w:rsid w:val="0B393E1F"/>
    <w:rsid w:val="0B3A4712"/>
    <w:rsid w:val="0B3F533A"/>
    <w:rsid w:val="0B3F5EEF"/>
    <w:rsid w:val="0B4677F1"/>
    <w:rsid w:val="0B481E78"/>
    <w:rsid w:val="0B595A3F"/>
    <w:rsid w:val="0B613FDF"/>
    <w:rsid w:val="0B722E2E"/>
    <w:rsid w:val="0B7A04EA"/>
    <w:rsid w:val="0B85243C"/>
    <w:rsid w:val="0B86105A"/>
    <w:rsid w:val="0B906E4E"/>
    <w:rsid w:val="0B9A07FC"/>
    <w:rsid w:val="0B9A3959"/>
    <w:rsid w:val="0B9B364E"/>
    <w:rsid w:val="0B9F3E21"/>
    <w:rsid w:val="0BA3279B"/>
    <w:rsid w:val="0BA565F7"/>
    <w:rsid w:val="0BA8311E"/>
    <w:rsid w:val="0BB676C4"/>
    <w:rsid w:val="0BB85A14"/>
    <w:rsid w:val="0BC1105E"/>
    <w:rsid w:val="0BC65B1D"/>
    <w:rsid w:val="0BCF0530"/>
    <w:rsid w:val="0BDB0F85"/>
    <w:rsid w:val="0BE76E3F"/>
    <w:rsid w:val="0BEE6E7B"/>
    <w:rsid w:val="0BFC00CD"/>
    <w:rsid w:val="0BFC4A70"/>
    <w:rsid w:val="0BFD5860"/>
    <w:rsid w:val="0BFE1D4D"/>
    <w:rsid w:val="0C016F74"/>
    <w:rsid w:val="0C104A63"/>
    <w:rsid w:val="0C107430"/>
    <w:rsid w:val="0C1E42C3"/>
    <w:rsid w:val="0C2F5206"/>
    <w:rsid w:val="0C2F7E4D"/>
    <w:rsid w:val="0C353699"/>
    <w:rsid w:val="0C424F7E"/>
    <w:rsid w:val="0C4D0ADE"/>
    <w:rsid w:val="0C4E205D"/>
    <w:rsid w:val="0C55051E"/>
    <w:rsid w:val="0C5A1C40"/>
    <w:rsid w:val="0C5A7ACB"/>
    <w:rsid w:val="0C5B7DF8"/>
    <w:rsid w:val="0C6E6DC0"/>
    <w:rsid w:val="0C740725"/>
    <w:rsid w:val="0C7E6B65"/>
    <w:rsid w:val="0C864D90"/>
    <w:rsid w:val="0C89197A"/>
    <w:rsid w:val="0C8B20E4"/>
    <w:rsid w:val="0C922B67"/>
    <w:rsid w:val="0C9571CD"/>
    <w:rsid w:val="0C99175E"/>
    <w:rsid w:val="0C9C43A0"/>
    <w:rsid w:val="0CA76864"/>
    <w:rsid w:val="0CB61E45"/>
    <w:rsid w:val="0CB639C7"/>
    <w:rsid w:val="0CBF2026"/>
    <w:rsid w:val="0CBF218F"/>
    <w:rsid w:val="0CC94EFD"/>
    <w:rsid w:val="0CD112A2"/>
    <w:rsid w:val="0CD7796A"/>
    <w:rsid w:val="0CDD551F"/>
    <w:rsid w:val="0CE81EBB"/>
    <w:rsid w:val="0CEB1914"/>
    <w:rsid w:val="0CEC59EC"/>
    <w:rsid w:val="0CF262C3"/>
    <w:rsid w:val="0CF348E4"/>
    <w:rsid w:val="0D02168C"/>
    <w:rsid w:val="0D0520DA"/>
    <w:rsid w:val="0D1772E1"/>
    <w:rsid w:val="0D2B332F"/>
    <w:rsid w:val="0D2B7926"/>
    <w:rsid w:val="0D395A02"/>
    <w:rsid w:val="0D540BEA"/>
    <w:rsid w:val="0D5B316A"/>
    <w:rsid w:val="0D66330A"/>
    <w:rsid w:val="0D807377"/>
    <w:rsid w:val="0D815C7B"/>
    <w:rsid w:val="0D8648C3"/>
    <w:rsid w:val="0D8D0C56"/>
    <w:rsid w:val="0DAC6FD3"/>
    <w:rsid w:val="0DAE0843"/>
    <w:rsid w:val="0DB1651C"/>
    <w:rsid w:val="0DB61A4D"/>
    <w:rsid w:val="0DBF02DC"/>
    <w:rsid w:val="0DC43A36"/>
    <w:rsid w:val="0DC95D31"/>
    <w:rsid w:val="0DCC5B87"/>
    <w:rsid w:val="0DCD0913"/>
    <w:rsid w:val="0DD964BC"/>
    <w:rsid w:val="0DDB5787"/>
    <w:rsid w:val="0DE12CAF"/>
    <w:rsid w:val="0DE7440B"/>
    <w:rsid w:val="0DFA4A9B"/>
    <w:rsid w:val="0DFD0999"/>
    <w:rsid w:val="0DFD6B9D"/>
    <w:rsid w:val="0DFF5AA1"/>
    <w:rsid w:val="0E0156E7"/>
    <w:rsid w:val="0E0179E8"/>
    <w:rsid w:val="0E020BDE"/>
    <w:rsid w:val="0E1123C3"/>
    <w:rsid w:val="0E117835"/>
    <w:rsid w:val="0E1D21A8"/>
    <w:rsid w:val="0E312454"/>
    <w:rsid w:val="0E343817"/>
    <w:rsid w:val="0E376F8A"/>
    <w:rsid w:val="0E490CC1"/>
    <w:rsid w:val="0E4C0EC8"/>
    <w:rsid w:val="0E4D1449"/>
    <w:rsid w:val="0E4F29AC"/>
    <w:rsid w:val="0E530689"/>
    <w:rsid w:val="0E5544FF"/>
    <w:rsid w:val="0E5575AF"/>
    <w:rsid w:val="0E560467"/>
    <w:rsid w:val="0E583204"/>
    <w:rsid w:val="0E616263"/>
    <w:rsid w:val="0E625821"/>
    <w:rsid w:val="0E724289"/>
    <w:rsid w:val="0E744AE8"/>
    <w:rsid w:val="0E857DF9"/>
    <w:rsid w:val="0E8607A3"/>
    <w:rsid w:val="0E896B83"/>
    <w:rsid w:val="0E8C4ABA"/>
    <w:rsid w:val="0E976266"/>
    <w:rsid w:val="0E9C13D7"/>
    <w:rsid w:val="0E9E0ECE"/>
    <w:rsid w:val="0EA42205"/>
    <w:rsid w:val="0EAA01FC"/>
    <w:rsid w:val="0EAF6058"/>
    <w:rsid w:val="0EB4020A"/>
    <w:rsid w:val="0EB6505D"/>
    <w:rsid w:val="0EC3727E"/>
    <w:rsid w:val="0ECE6E5D"/>
    <w:rsid w:val="0EDD460E"/>
    <w:rsid w:val="0EE7472F"/>
    <w:rsid w:val="0EEC4009"/>
    <w:rsid w:val="0EF468A4"/>
    <w:rsid w:val="0EFF3766"/>
    <w:rsid w:val="0F012CCF"/>
    <w:rsid w:val="0F043EE1"/>
    <w:rsid w:val="0F051127"/>
    <w:rsid w:val="0F071B5C"/>
    <w:rsid w:val="0F0A70FD"/>
    <w:rsid w:val="0F0C1B78"/>
    <w:rsid w:val="0F0F1DD3"/>
    <w:rsid w:val="0F151DDF"/>
    <w:rsid w:val="0F2E2392"/>
    <w:rsid w:val="0F366EEB"/>
    <w:rsid w:val="0F3B0BE6"/>
    <w:rsid w:val="0F441704"/>
    <w:rsid w:val="0F4421EB"/>
    <w:rsid w:val="0F442258"/>
    <w:rsid w:val="0F455132"/>
    <w:rsid w:val="0F4F57B1"/>
    <w:rsid w:val="0F536C13"/>
    <w:rsid w:val="0F536E4E"/>
    <w:rsid w:val="0F5714BE"/>
    <w:rsid w:val="0F5C4521"/>
    <w:rsid w:val="0F612E68"/>
    <w:rsid w:val="0F7108A8"/>
    <w:rsid w:val="0F775421"/>
    <w:rsid w:val="0F780B40"/>
    <w:rsid w:val="0F7E00D2"/>
    <w:rsid w:val="0F832A08"/>
    <w:rsid w:val="0F8F3253"/>
    <w:rsid w:val="0F9474F6"/>
    <w:rsid w:val="0FA529C7"/>
    <w:rsid w:val="0FA575BA"/>
    <w:rsid w:val="0FA6323C"/>
    <w:rsid w:val="0FAC31F9"/>
    <w:rsid w:val="0FB21EF7"/>
    <w:rsid w:val="0FB35039"/>
    <w:rsid w:val="0FB67B2F"/>
    <w:rsid w:val="0FBF6A73"/>
    <w:rsid w:val="0FC0119D"/>
    <w:rsid w:val="0FD4151F"/>
    <w:rsid w:val="0FD91FE3"/>
    <w:rsid w:val="0FDE39A8"/>
    <w:rsid w:val="0FEB2E49"/>
    <w:rsid w:val="0FEF58D8"/>
    <w:rsid w:val="0FF85FC5"/>
    <w:rsid w:val="0FFD147B"/>
    <w:rsid w:val="10046613"/>
    <w:rsid w:val="10055891"/>
    <w:rsid w:val="100C65B0"/>
    <w:rsid w:val="10173791"/>
    <w:rsid w:val="1018189F"/>
    <w:rsid w:val="1034202E"/>
    <w:rsid w:val="10363F0E"/>
    <w:rsid w:val="103704DD"/>
    <w:rsid w:val="103C38A3"/>
    <w:rsid w:val="103C5AE1"/>
    <w:rsid w:val="10433815"/>
    <w:rsid w:val="104816C6"/>
    <w:rsid w:val="10503021"/>
    <w:rsid w:val="10576B4D"/>
    <w:rsid w:val="10680AF6"/>
    <w:rsid w:val="108A6D6C"/>
    <w:rsid w:val="108D434D"/>
    <w:rsid w:val="10914CA2"/>
    <w:rsid w:val="10937F97"/>
    <w:rsid w:val="1098107D"/>
    <w:rsid w:val="109A725B"/>
    <w:rsid w:val="10A814E9"/>
    <w:rsid w:val="10AE2FCD"/>
    <w:rsid w:val="10BA51A1"/>
    <w:rsid w:val="10BB5B9F"/>
    <w:rsid w:val="10C82FA7"/>
    <w:rsid w:val="10C956F2"/>
    <w:rsid w:val="10D223E9"/>
    <w:rsid w:val="10E4211B"/>
    <w:rsid w:val="10F65619"/>
    <w:rsid w:val="10F95817"/>
    <w:rsid w:val="10FB4BD1"/>
    <w:rsid w:val="10FE382B"/>
    <w:rsid w:val="10FF46BE"/>
    <w:rsid w:val="11081428"/>
    <w:rsid w:val="11147CAE"/>
    <w:rsid w:val="111F680F"/>
    <w:rsid w:val="11212C07"/>
    <w:rsid w:val="11216593"/>
    <w:rsid w:val="11240204"/>
    <w:rsid w:val="112B27EB"/>
    <w:rsid w:val="11346F16"/>
    <w:rsid w:val="11397779"/>
    <w:rsid w:val="113F4DF6"/>
    <w:rsid w:val="11400E42"/>
    <w:rsid w:val="1144021E"/>
    <w:rsid w:val="1145436F"/>
    <w:rsid w:val="114D6E50"/>
    <w:rsid w:val="1152340D"/>
    <w:rsid w:val="116E5CDE"/>
    <w:rsid w:val="117B3BCA"/>
    <w:rsid w:val="118549A5"/>
    <w:rsid w:val="11861B94"/>
    <w:rsid w:val="11896569"/>
    <w:rsid w:val="118A0BAA"/>
    <w:rsid w:val="118A72AC"/>
    <w:rsid w:val="118C2F9A"/>
    <w:rsid w:val="118D10F9"/>
    <w:rsid w:val="118E133D"/>
    <w:rsid w:val="119843E8"/>
    <w:rsid w:val="11994B02"/>
    <w:rsid w:val="119A7148"/>
    <w:rsid w:val="119E5CAF"/>
    <w:rsid w:val="11A13006"/>
    <w:rsid w:val="11A51124"/>
    <w:rsid w:val="11AB0A05"/>
    <w:rsid w:val="11B84D73"/>
    <w:rsid w:val="11BB0B28"/>
    <w:rsid w:val="11CC4631"/>
    <w:rsid w:val="11CC6D7B"/>
    <w:rsid w:val="11CF4BB7"/>
    <w:rsid w:val="11DF0DBE"/>
    <w:rsid w:val="11E05E06"/>
    <w:rsid w:val="11E37060"/>
    <w:rsid w:val="11FC427F"/>
    <w:rsid w:val="12101C47"/>
    <w:rsid w:val="122D3445"/>
    <w:rsid w:val="1232685A"/>
    <w:rsid w:val="1240528E"/>
    <w:rsid w:val="124A5D4C"/>
    <w:rsid w:val="124B5183"/>
    <w:rsid w:val="124F2F91"/>
    <w:rsid w:val="124F61A2"/>
    <w:rsid w:val="12537B9B"/>
    <w:rsid w:val="1256757C"/>
    <w:rsid w:val="125A1A4C"/>
    <w:rsid w:val="125F2966"/>
    <w:rsid w:val="125F66B6"/>
    <w:rsid w:val="12661B60"/>
    <w:rsid w:val="1268468F"/>
    <w:rsid w:val="126D47CE"/>
    <w:rsid w:val="12763337"/>
    <w:rsid w:val="128B2D2E"/>
    <w:rsid w:val="12943ED7"/>
    <w:rsid w:val="12944875"/>
    <w:rsid w:val="12945BE5"/>
    <w:rsid w:val="12997EF5"/>
    <w:rsid w:val="12A3137E"/>
    <w:rsid w:val="12A63436"/>
    <w:rsid w:val="12BA5E02"/>
    <w:rsid w:val="12BE05EF"/>
    <w:rsid w:val="12C21BF4"/>
    <w:rsid w:val="12C223B8"/>
    <w:rsid w:val="12C4525F"/>
    <w:rsid w:val="12C55D7E"/>
    <w:rsid w:val="12C853A9"/>
    <w:rsid w:val="12D36D25"/>
    <w:rsid w:val="12E466CE"/>
    <w:rsid w:val="12EB5ED4"/>
    <w:rsid w:val="12FA7570"/>
    <w:rsid w:val="130126C6"/>
    <w:rsid w:val="130E2485"/>
    <w:rsid w:val="131A03D6"/>
    <w:rsid w:val="131B6D3B"/>
    <w:rsid w:val="131B6FC4"/>
    <w:rsid w:val="131F119A"/>
    <w:rsid w:val="132206C6"/>
    <w:rsid w:val="13297E1E"/>
    <w:rsid w:val="132D71BB"/>
    <w:rsid w:val="1330576C"/>
    <w:rsid w:val="133A0304"/>
    <w:rsid w:val="13447D22"/>
    <w:rsid w:val="134D3D26"/>
    <w:rsid w:val="134E672E"/>
    <w:rsid w:val="13511DA5"/>
    <w:rsid w:val="1352570C"/>
    <w:rsid w:val="13581DFE"/>
    <w:rsid w:val="13617E78"/>
    <w:rsid w:val="136455E6"/>
    <w:rsid w:val="136F13DE"/>
    <w:rsid w:val="137052E4"/>
    <w:rsid w:val="13710E4C"/>
    <w:rsid w:val="137F017D"/>
    <w:rsid w:val="139A394D"/>
    <w:rsid w:val="139B7C41"/>
    <w:rsid w:val="13A76533"/>
    <w:rsid w:val="13B50FA2"/>
    <w:rsid w:val="13BC0FFB"/>
    <w:rsid w:val="13CB0189"/>
    <w:rsid w:val="13CF0B74"/>
    <w:rsid w:val="13D2307D"/>
    <w:rsid w:val="13DE6A29"/>
    <w:rsid w:val="13E81454"/>
    <w:rsid w:val="13EF4535"/>
    <w:rsid w:val="13F0653C"/>
    <w:rsid w:val="13F17597"/>
    <w:rsid w:val="13F929BC"/>
    <w:rsid w:val="13F95D08"/>
    <w:rsid w:val="13FC4FDA"/>
    <w:rsid w:val="13FE4400"/>
    <w:rsid w:val="140250DD"/>
    <w:rsid w:val="1405003F"/>
    <w:rsid w:val="14087CBE"/>
    <w:rsid w:val="14093545"/>
    <w:rsid w:val="141B1E5D"/>
    <w:rsid w:val="14207760"/>
    <w:rsid w:val="142424AF"/>
    <w:rsid w:val="143460DF"/>
    <w:rsid w:val="143F0466"/>
    <w:rsid w:val="1440794A"/>
    <w:rsid w:val="14435FCC"/>
    <w:rsid w:val="1454085F"/>
    <w:rsid w:val="14591210"/>
    <w:rsid w:val="145D1A33"/>
    <w:rsid w:val="14601E2D"/>
    <w:rsid w:val="1462710C"/>
    <w:rsid w:val="14641FAC"/>
    <w:rsid w:val="1464224A"/>
    <w:rsid w:val="146920FD"/>
    <w:rsid w:val="146C301F"/>
    <w:rsid w:val="14733FDA"/>
    <w:rsid w:val="147658ED"/>
    <w:rsid w:val="148A5438"/>
    <w:rsid w:val="14961E0A"/>
    <w:rsid w:val="14B0789A"/>
    <w:rsid w:val="14B33720"/>
    <w:rsid w:val="14B420D0"/>
    <w:rsid w:val="14B90BF1"/>
    <w:rsid w:val="14BA0E1F"/>
    <w:rsid w:val="14BC26F2"/>
    <w:rsid w:val="14C25D3B"/>
    <w:rsid w:val="14C6117F"/>
    <w:rsid w:val="14CF7772"/>
    <w:rsid w:val="14DA2A3A"/>
    <w:rsid w:val="14E83C4F"/>
    <w:rsid w:val="14F22466"/>
    <w:rsid w:val="14F86883"/>
    <w:rsid w:val="14FD5422"/>
    <w:rsid w:val="15064F43"/>
    <w:rsid w:val="15080B89"/>
    <w:rsid w:val="150A795B"/>
    <w:rsid w:val="150F5461"/>
    <w:rsid w:val="15140D10"/>
    <w:rsid w:val="15184F7F"/>
    <w:rsid w:val="15235E88"/>
    <w:rsid w:val="152823EC"/>
    <w:rsid w:val="152B59B9"/>
    <w:rsid w:val="152D2B35"/>
    <w:rsid w:val="15485429"/>
    <w:rsid w:val="154A2F17"/>
    <w:rsid w:val="15582E9C"/>
    <w:rsid w:val="155D7A99"/>
    <w:rsid w:val="15620E64"/>
    <w:rsid w:val="15626B15"/>
    <w:rsid w:val="156344A6"/>
    <w:rsid w:val="15672873"/>
    <w:rsid w:val="15691543"/>
    <w:rsid w:val="156D7E20"/>
    <w:rsid w:val="156D7F73"/>
    <w:rsid w:val="15701CFB"/>
    <w:rsid w:val="15736075"/>
    <w:rsid w:val="157D67CA"/>
    <w:rsid w:val="15880C48"/>
    <w:rsid w:val="158F2A2E"/>
    <w:rsid w:val="15912AC7"/>
    <w:rsid w:val="15A053AC"/>
    <w:rsid w:val="15A53D05"/>
    <w:rsid w:val="15B3045A"/>
    <w:rsid w:val="15B70E05"/>
    <w:rsid w:val="15BB15A9"/>
    <w:rsid w:val="15C2325C"/>
    <w:rsid w:val="15C603A0"/>
    <w:rsid w:val="15CA4EB9"/>
    <w:rsid w:val="15DE713D"/>
    <w:rsid w:val="15DE7796"/>
    <w:rsid w:val="15E51E8A"/>
    <w:rsid w:val="15FB64BD"/>
    <w:rsid w:val="1605226F"/>
    <w:rsid w:val="16097595"/>
    <w:rsid w:val="161661E2"/>
    <w:rsid w:val="161B7A76"/>
    <w:rsid w:val="161D08ED"/>
    <w:rsid w:val="16240E20"/>
    <w:rsid w:val="16251E49"/>
    <w:rsid w:val="16356B4F"/>
    <w:rsid w:val="16443BF2"/>
    <w:rsid w:val="16482A85"/>
    <w:rsid w:val="164B67CE"/>
    <w:rsid w:val="164C3976"/>
    <w:rsid w:val="164E353C"/>
    <w:rsid w:val="16552248"/>
    <w:rsid w:val="16571961"/>
    <w:rsid w:val="166601FB"/>
    <w:rsid w:val="166857A3"/>
    <w:rsid w:val="166B272E"/>
    <w:rsid w:val="167C2870"/>
    <w:rsid w:val="167E5CCF"/>
    <w:rsid w:val="168720EE"/>
    <w:rsid w:val="168B1A72"/>
    <w:rsid w:val="168F37C5"/>
    <w:rsid w:val="16956AB4"/>
    <w:rsid w:val="169D60FA"/>
    <w:rsid w:val="169E30FE"/>
    <w:rsid w:val="16B12969"/>
    <w:rsid w:val="16B741A5"/>
    <w:rsid w:val="16C76B00"/>
    <w:rsid w:val="16DF3009"/>
    <w:rsid w:val="16EF3DAE"/>
    <w:rsid w:val="16FA60DC"/>
    <w:rsid w:val="16FC57A9"/>
    <w:rsid w:val="16FD0E49"/>
    <w:rsid w:val="16FF256E"/>
    <w:rsid w:val="1706790F"/>
    <w:rsid w:val="170806E1"/>
    <w:rsid w:val="17140A47"/>
    <w:rsid w:val="171D3DAE"/>
    <w:rsid w:val="171D7EC2"/>
    <w:rsid w:val="171E16CE"/>
    <w:rsid w:val="172751D2"/>
    <w:rsid w:val="172E0222"/>
    <w:rsid w:val="17420CC5"/>
    <w:rsid w:val="175516C7"/>
    <w:rsid w:val="175B503D"/>
    <w:rsid w:val="176A1F92"/>
    <w:rsid w:val="176B60D6"/>
    <w:rsid w:val="17734CA7"/>
    <w:rsid w:val="177A3E4B"/>
    <w:rsid w:val="177E56A8"/>
    <w:rsid w:val="177F5AE4"/>
    <w:rsid w:val="178B778B"/>
    <w:rsid w:val="178C3C0C"/>
    <w:rsid w:val="17A707D3"/>
    <w:rsid w:val="17B62058"/>
    <w:rsid w:val="17D215BB"/>
    <w:rsid w:val="17D64D15"/>
    <w:rsid w:val="17D82E9E"/>
    <w:rsid w:val="17DA0921"/>
    <w:rsid w:val="17E16F51"/>
    <w:rsid w:val="17F0141C"/>
    <w:rsid w:val="17F144B5"/>
    <w:rsid w:val="17F83137"/>
    <w:rsid w:val="17F9279E"/>
    <w:rsid w:val="17FA6E70"/>
    <w:rsid w:val="17FC343D"/>
    <w:rsid w:val="180821E2"/>
    <w:rsid w:val="181A019D"/>
    <w:rsid w:val="181E60B0"/>
    <w:rsid w:val="18267A5F"/>
    <w:rsid w:val="182B26A2"/>
    <w:rsid w:val="183B5171"/>
    <w:rsid w:val="18425F64"/>
    <w:rsid w:val="18453F76"/>
    <w:rsid w:val="185835A8"/>
    <w:rsid w:val="1867282B"/>
    <w:rsid w:val="186E4CE1"/>
    <w:rsid w:val="18700291"/>
    <w:rsid w:val="187544A0"/>
    <w:rsid w:val="187F5CFD"/>
    <w:rsid w:val="187F6A34"/>
    <w:rsid w:val="18807DFB"/>
    <w:rsid w:val="188C2AAD"/>
    <w:rsid w:val="18960962"/>
    <w:rsid w:val="189B4971"/>
    <w:rsid w:val="18A631C7"/>
    <w:rsid w:val="18A77BD7"/>
    <w:rsid w:val="18A936DB"/>
    <w:rsid w:val="18AC2FA3"/>
    <w:rsid w:val="18AE7D0A"/>
    <w:rsid w:val="18B00B10"/>
    <w:rsid w:val="18B64A36"/>
    <w:rsid w:val="18C30B5D"/>
    <w:rsid w:val="18C75A8F"/>
    <w:rsid w:val="18CA7C9A"/>
    <w:rsid w:val="18D312AB"/>
    <w:rsid w:val="18DA2073"/>
    <w:rsid w:val="18F2637A"/>
    <w:rsid w:val="18F66DE4"/>
    <w:rsid w:val="190B2FC1"/>
    <w:rsid w:val="190D709A"/>
    <w:rsid w:val="1915709F"/>
    <w:rsid w:val="19170A0C"/>
    <w:rsid w:val="19191702"/>
    <w:rsid w:val="191B38D1"/>
    <w:rsid w:val="19200CC6"/>
    <w:rsid w:val="192454C1"/>
    <w:rsid w:val="193245D4"/>
    <w:rsid w:val="193D3208"/>
    <w:rsid w:val="19410948"/>
    <w:rsid w:val="19417BE1"/>
    <w:rsid w:val="19483554"/>
    <w:rsid w:val="195123CE"/>
    <w:rsid w:val="19642141"/>
    <w:rsid w:val="196D2905"/>
    <w:rsid w:val="196D52A9"/>
    <w:rsid w:val="197E5300"/>
    <w:rsid w:val="19830E4A"/>
    <w:rsid w:val="19877B28"/>
    <w:rsid w:val="198F20FA"/>
    <w:rsid w:val="198F4AB2"/>
    <w:rsid w:val="1996542B"/>
    <w:rsid w:val="1998553E"/>
    <w:rsid w:val="19A730FF"/>
    <w:rsid w:val="19A82122"/>
    <w:rsid w:val="19AB3AFC"/>
    <w:rsid w:val="19AB6D97"/>
    <w:rsid w:val="19AD178D"/>
    <w:rsid w:val="19AF45DE"/>
    <w:rsid w:val="19BC0AF9"/>
    <w:rsid w:val="19CA08A7"/>
    <w:rsid w:val="19D21CC1"/>
    <w:rsid w:val="19D66459"/>
    <w:rsid w:val="19D9445C"/>
    <w:rsid w:val="19E4517F"/>
    <w:rsid w:val="19EA48E9"/>
    <w:rsid w:val="19FE1E35"/>
    <w:rsid w:val="1A083EA0"/>
    <w:rsid w:val="1A096171"/>
    <w:rsid w:val="1A104CB0"/>
    <w:rsid w:val="1A1370FF"/>
    <w:rsid w:val="1A146EE7"/>
    <w:rsid w:val="1A2D7EF6"/>
    <w:rsid w:val="1A2E3578"/>
    <w:rsid w:val="1A305436"/>
    <w:rsid w:val="1A31354A"/>
    <w:rsid w:val="1A3F0CA7"/>
    <w:rsid w:val="1A4B07D3"/>
    <w:rsid w:val="1A5328A6"/>
    <w:rsid w:val="1A5B3919"/>
    <w:rsid w:val="1A5E5572"/>
    <w:rsid w:val="1A6715F1"/>
    <w:rsid w:val="1A6E2B05"/>
    <w:rsid w:val="1A7752CD"/>
    <w:rsid w:val="1A7B398D"/>
    <w:rsid w:val="1A7C73B9"/>
    <w:rsid w:val="1A7F71D2"/>
    <w:rsid w:val="1A8E5781"/>
    <w:rsid w:val="1A9D22BA"/>
    <w:rsid w:val="1AA012B9"/>
    <w:rsid w:val="1AA40A8B"/>
    <w:rsid w:val="1AA920AA"/>
    <w:rsid w:val="1AAC5B24"/>
    <w:rsid w:val="1AAE34A0"/>
    <w:rsid w:val="1AB65B68"/>
    <w:rsid w:val="1AB92EDF"/>
    <w:rsid w:val="1AC70FC2"/>
    <w:rsid w:val="1ACC4A33"/>
    <w:rsid w:val="1AD634B9"/>
    <w:rsid w:val="1AD75C81"/>
    <w:rsid w:val="1AD80FFE"/>
    <w:rsid w:val="1ADA65B4"/>
    <w:rsid w:val="1ADA7177"/>
    <w:rsid w:val="1AE56FFF"/>
    <w:rsid w:val="1AE62516"/>
    <w:rsid w:val="1AE66C20"/>
    <w:rsid w:val="1AEC30A8"/>
    <w:rsid w:val="1B035F64"/>
    <w:rsid w:val="1B086248"/>
    <w:rsid w:val="1B0E38ED"/>
    <w:rsid w:val="1B150680"/>
    <w:rsid w:val="1B1567CE"/>
    <w:rsid w:val="1B1773DC"/>
    <w:rsid w:val="1B1C6E11"/>
    <w:rsid w:val="1B2130D2"/>
    <w:rsid w:val="1B347569"/>
    <w:rsid w:val="1B352838"/>
    <w:rsid w:val="1B3A27E4"/>
    <w:rsid w:val="1B427A38"/>
    <w:rsid w:val="1B532AF9"/>
    <w:rsid w:val="1B5C7CE6"/>
    <w:rsid w:val="1B6462DC"/>
    <w:rsid w:val="1B6D421E"/>
    <w:rsid w:val="1B700C24"/>
    <w:rsid w:val="1B703F7F"/>
    <w:rsid w:val="1B736673"/>
    <w:rsid w:val="1B796540"/>
    <w:rsid w:val="1B8058D0"/>
    <w:rsid w:val="1B85723F"/>
    <w:rsid w:val="1B882CBF"/>
    <w:rsid w:val="1B8F0DBD"/>
    <w:rsid w:val="1B930915"/>
    <w:rsid w:val="1B99078D"/>
    <w:rsid w:val="1B9D3F9F"/>
    <w:rsid w:val="1BA130E5"/>
    <w:rsid w:val="1BA248BF"/>
    <w:rsid w:val="1BA63E07"/>
    <w:rsid w:val="1BB41BB2"/>
    <w:rsid w:val="1BBD583E"/>
    <w:rsid w:val="1BC103A0"/>
    <w:rsid w:val="1BC45D7B"/>
    <w:rsid w:val="1BC83728"/>
    <w:rsid w:val="1BDD28CA"/>
    <w:rsid w:val="1BDF277F"/>
    <w:rsid w:val="1BE36964"/>
    <w:rsid w:val="1C047E96"/>
    <w:rsid w:val="1C051742"/>
    <w:rsid w:val="1C072ECD"/>
    <w:rsid w:val="1C0767AA"/>
    <w:rsid w:val="1C0838EC"/>
    <w:rsid w:val="1C183BB8"/>
    <w:rsid w:val="1C1D0A1F"/>
    <w:rsid w:val="1C210254"/>
    <w:rsid w:val="1C25307C"/>
    <w:rsid w:val="1C292D48"/>
    <w:rsid w:val="1C39531A"/>
    <w:rsid w:val="1C3A6C40"/>
    <w:rsid w:val="1C40453E"/>
    <w:rsid w:val="1C420F73"/>
    <w:rsid w:val="1C4755DE"/>
    <w:rsid w:val="1C4915A7"/>
    <w:rsid w:val="1C501D16"/>
    <w:rsid w:val="1C526B3B"/>
    <w:rsid w:val="1C59367C"/>
    <w:rsid w:val="1C5D2BB1"/>
    <w:rsid w:val="1C605C48"/>
    <w:rsid w:val="1C635444"/>
    <w:rsid w:val="1C697653"/>
    <w:rsid w:val="1C70267E"/>
    <w:rsid w:val="1C7727F4"/>
    <w:rsid w:val="1C8344B6"/>
    <w:rsid w:val="1C851A87"/>
    <w:rsid w:val="1C89208A"/>
    <w:rsid w:val="1C93654A"/>
    <w:rsid w:val="1C9828CD"/>
    <w:rsid w:val="1CA13D9D"/>
    <w:rsid w:val="1CA22FC6"/>
    <w:rsid w:val="1CAE546E"/>
    <w:rsid w:val="1CB14690"/>
    <w:rsid w:val="1CB32AEE"/>
    <w:rsid w:val="1CB664E1"/>
    <w:rsid w:val="1CBD3056"/>
    <w:rsid w:val="1CBE4993"/>
    <w:rsid w:val="1CC161ED"/>
    <w:rsid w:val="1CCA7013"/>
    <w:rsid w:val="1CDE0BBC"/>
    <w:rsid w:val="1CE102D1"/>
    <w:rsid w:val="1CF15194"/>
    <w:rsid w:val="1CF17D61"/>
    <w:rsid w:val="1CF86057"/>
    <w:rsid w:val="1D0166FB"/>
    <w:rsid w:val="1D017A23"/>
    <w:rsid w:val="1D0551CD"/>
    <w:rsid w:val="1D0A73DE"/>
    <w:rsid w:val="1D0D4E07"/>
    <w:rsid w:val="1D0E4950"/>
    <w:rsid w:val="1D107586"/>
    <w:rsid w:val="1D116CCC"/>
    <w:rsid w:val="1D177AC2"/>
    <w:rsid w:val="1D1D108A"/>
    <w:rsid w:val="1D24677C"/>
    <w:rsid w:val="1D2A1515"/>
    <w:rsid w:val="1D430549"/>
    <w:rsid w:val="1D45324A"/>
    <w:rsid w:val="1D463F73"/>
    <w:rsid w:val="1D4869C2"/>
    <w:rsid w:val="1D4909B3"/>
    <w:rsid w:val="1D506DBD"/>
    <w:rsid w:val="1D510752"/>
    <w:rsid w:val="1D5222AA"/>
    <w:rsid w:val="1D557E53"/>
    <w:rsid w:val="1D5A5C93"/>
    <w:rsid w:val="1D5C732A"/>
    <w:rsid w:val="1D6024B9"/>
    <w:rsid w:val="1D682EA6"/>
    <w:rsid w:val="1D6C0E1F"/>
    <w:rsid w:val="1D712143"/>
    <w:rsid w:val="1D7A37E7"/>
    <w:rsid w:val="1D7E27A9"/>
    <w:rsid w:val="1D7E7E1C"/>
    <w:rsid w:val="1D897B1E"/>
    <w:rsid w:val="1D932180"/>
    <w:rsid w:val="1DA17382"/>
    <w:rsid w:val="1DA90A99"/>
    <w:rsid w:val="1DB96A03"/>
    <w:rsid w:val="1DC31552"/>
    <w:rsid w:val="1DC63446"/>
    <w:rsid w:val="1DCB755D"/>
    <w:rsid w:val="1DD62613"/>
    <w:rsid w:val="1DD818C5"/>
    <w:rsid w:val="1DDC183C"/>
    <w:rsid w:val="1DE12C41"/>
    <w:rsid w:val="1DE2216A"/>
    <w:rsid w:val="1DF860A7"/>
    <w:rsid w:val="1DFE2DEC"/>
    <w:rsid w:val="1DFF3B0D"/>
    <w:rsid w:val="1E002575"/>
    <w:rsid w:val="1E050FD3"/>
    <w:rsid w:val="1E0B2804"/>
    <w:rsid w:val="1E254671"/>
    <w:rsid w:val="1E2B3012"/>
    <w:rsid w:val="1E433BEF"/>
    <w:rsid w:val="1E4359A6"/>
    <w:rsid w:val="1E526225"/>
    <w:rsid w:val="1E5705C0"/>
    <w:rsid w:val="1E670033"/>
    <w:rsid w:val="1E673535"/>
    <w:rsid w:val="1E6E7767"/>
    <w:rsid w:val="1E7B217A"/>
    <w:rsid w:val="1E7E6FF8"/>
    <w:rsid w:val="1E842907"/>
    <w:rsid w:val="1E8923AE"/>
    <w:rsid w:val="1E8E0CEC"/>
    <w:rsid w:val="1E8F533A"/>
    <w:rsid w:val="1E941E2F"/>
    <w:rsid w:val="1E9947FF"/>
    <w:rsid w:val="1E9E334D"/>
    <w:rsid w:val="1EA53E0A"/>
    <w:rsid w:val="1EB11BFF"/>
    <w:rsid w:val="1EB15487"/>
    <w:rsid w:val="1EB64527"/>
    <w:rsid w:val="1EBB2C55"/>
    <w:rsid w:val="1ECA7906"/>
    <w:rsid w:val="1ECE557A"/>
    <w:rsid w:val="1EDB1F7C"/>
    <w:rsid w:val="1EF208D7"/>
    <w:rsid w:val="1F002119"/>
    <w:rsid w:val="1F1326EB"/>
    <w:rsid w:val="1F135F2F"/>
    <w:rsid w:val="1F15362C"/>
    <w:rsid w:val="1F1F2583"/>
    <w:rsid w:val="1F24469A"/>
    <w:rsid w:val="1F251AF8"/>
    <w:rsid w:val="1F3472D2"/>
    <w:rsid w:val="1F39587C"/>
    <w:rsid w:val="1F3C69B6"/>
    <w:rsid w:val="1F3E3E27"/>
    <w:rsid w:val="1F482DCA"/>
    <w:rsid w:val="1F530B55"/>
    <w:rsid w:val="1F5924D4"/>
    <w:rsid w:val="1F6210F6"/>
    <w:rsid w:val="1F6B33E7"/>
    <w:rsid w:val="1F721EBF"/>
    <w:rsid w:val="1F763EE0"/>
    <w:rsid w:val="1F776CDF"/>
    <w:rsid w:val="1F7A6049"/>
    <w:rsid w:val="1F8236A5"/>
    <w:rsid w:val="1F927F74"/>
    <w:rsid w:val="1FA767E5"/>
    <w:rsid w:val="1FA8671F"/>
    <w:rsid w:val="1FB33EB4"/>
    <w:rsid w:val="1FBB4543"/>
    <w:rsid w:val="1FE23608"/>
    <w:rsid w:val="1FEB3581"/>
    <w:rsid w:val="1FEC6D40"/>
    <w:rsid w:val="1FF17684"/>
    <w:rsid w:val="1FF4270F"/>
    <w:rsid w:val="2001712C"/>
    <w:rsid w:val="20030686"/>
    <w:rsid w:val="20072202"/>
    <w:rsid w:val="20072D51"/>
    <w:rsid w:val="200B0200"/>
    <w:rsid w:val="201634D1"/>
    <w:rsid w:val="201B2771"/>
    <w:rsid w:val="201B6A0A"/>
    <w:rsid w:val="202017D6"/>
    <w:rsid w:val="202700AE"/>
    <w:rsid w:val="202A7C37"/>
    <w:rsid w:val="202C37B2"/>
    <w:rsid w:val="203236CC"/>
    <w:rsid w:val="20355064"/>
    <w:rsid w:val="20360F81"/>
    <w:rsid w:val="203911D5"/>
    <w:rsid w:val="203B68D0"/>
    <w:rsid w:val="2040567B"/>
    <w:rsid w:val="20412AE4"/>
    <w:rsid w:val="2045211D"/>
    <w:rsid w:val="20453E56"/>
    <w:rsid w:val="204B32BA"/>
    <w:rsid w:val="204D777A"/>
    <w:rsid w:val="20595A84"/>
    <w:rsid w:val="205A458B"/>
    <w:rsid w:val="205F7527"/>
    <w:rsid w:val="20605D1D"/>
    <w:rsid w:val="206073AE"/>
    <w:rsid w:val="206D47C7"/>
    <w:rsid w:val="20842C10"/>
    <w:rsid w:val="208A1E3E"/>
    <w:rsid w:val="20907AE0"/>
    <w:rsid w:val="209215C2"/>
    <w:rsid w:val="20953726"/>
    <w:rsid w:val="20956675"/>
    <w:rsid w:val="20A91F03"/>
    <w:rsid w:val="20AD6502"/>
    <w:rsid w:val="20B0107A"/>
    <w:rsid w:val="20B143DB"/>
    <w:rsid w:val="20B36B42"/>
    <w:rsid w:val="20B6184F"/>
    <w:rsid w:val="20B96E62"/>
    <w:rsid w:val="20BF5BAB"/>
    <w:rsid w:val="20CC647C"/>
    <w:rsid w:val="20D65EAF"/>
    <w:rsid w:val="20E41320"/>
    <w:rsid w:val="20F55916"/>
    <w:rsid w:val="20F85910"/>
    <w:rsid w:val="211C06EC"/>
    <w:rsid w:val="211E0B94"/>
    <w:rsid w:val="212763EF"/>
    <w:rsid w:val="21313601"/>
    <w:rsid w:val="21587ABD"/>
    <w:rsid w:val="216144C2"/>
    <w:rsid w:val="21707293"/>
    <w:rsid w:val="217936DB"/>
    <w:rsid w:val="217A384B"/>
    <w:rsid w:val="217A4BBD"/>
    <w:rsid w:val="217B075B"/>
    <w:rsid w:val="217C41D0"/>
    <w:rsid w:val="218477E9"/>
    <w:rsid w:val="21896380"/>
    <w:rsid w:val="21961C76"/>
    <w:rsid w:val="21977B1F"/>
    <w:rsid w:val="219D08AB"/>
    <w:rsid w:val="21A5218C"/>
    <w:rsid w:val="21A962D5"/>
    <w:rsid w:val="21B14E3E"/>
    <w:rsid w:val="21B733B6"/>
    <w:rsid w:val="21BC673B"/>
    <w:rsid w:val="21BD14BF"/>
    <w:rsid w:val="21BE050B"/>
    <w:rsid w:val="21C31D92"/>
    <w:rsid w:val="21C633DB"/>
    <w:rsid w:val="21CE042F"/>
    <w:rsid w:val="21D623D0"/>
    <w:rsid w:val="21DD794C"/>
    <w:rsid w:val="21E5321C"/>
    <w:rsid w:val="21E871AE"/>
    <w:rsid w:val="21E904DF"/>
    <w:rsid w:val="21EC38CC"/>
    <w:rsid w:val="21ED3D99"/>
    <w:rsid w:val="21F326A0"/>
    <w:rsid w:val="21F90EE6"/>
    <w:rsid w:val="21FB4EB8"/>
    <w:rsid w:val="220A0F1B"/>
    <w:rsid w:val="220F19EE"/>
    <w:rsid w:val="22155E59"/>
    <w:rsid w:val="222D1D36"/>
    <w:rsid w:val="22470E8C"/>
    <w:rsid w:val="22574F2D"/>
    <w:rsid w:val="226C1339"/>
    <w:rsid w:val="228A39E4"/>
    <w:rsid w:val="229A7C99"/>
    <w:rsid w:val="22A02A4B"/>
    <w:rsid w:val="22A67A7C"/>
    <w:rsid w:val="22A930FB"/>
    <w:rsid w:val="22AD3448"/>
    <w:rsid w:val="22AD3A4E"/>
    <w:rsid w:val="22B576E6"/>
    <w:rsid w:val="22BF3741"/>
    <w:rsid w:val="22C445BF"/>
    <w:rsid w:val="22C97BB9"/>
    <w:rsid w:val="22CE1E0F"/>
    <w:rsid w:val="22D66B4A"/>
    <w:rsid w:val="22DB1929"/>
    <w:rsid w:val="22DC5540"/>
    <w:rsid w:val="22DE2EC0"/>
    <w:rsid w:val="22DF327D"/>
    <w:rsid w:val="22E1773E"/>
    <w:rsid w:val="22E90EBC"/>
    <w:rsid w:val="22FD68EA"/>
    <w:rsid w:val="23063AD2"/>
    <w:rsid w:val="230B71D2"/>
    <w:rsid w:val="231702AD"/>
    <w:rsid w:val="23170CBB"/>
    <w:rsid w:val="23184D9E"/>
    <w:rsid w:val="231B23A4"/>
    <w:rsid w:val="231B2DF6"/>
    <w:rsid w:val="232208EB"/>
    <w:rsid w:val="2324153D"/>
    <w:rsid w:val="2327365E"/>
    <w:rsid w:val="232E5EF7"/>
    <w:rsid w:val="2333013F"/>
    <w:rsid w:val="23396317"/>
    <w:rsid w:val="233C3F83"/>
    <w:rsid w:val="233E38F4"/>
    <w:rsid w:val="23432BA1"/>
    <w:rsid w:val="234B5D3C"/>
    <w:rsid w:val="235021D1"/>
    <w:rsid w:val="235A344F"/>
    <w:rsid w:val="235C5B35"/>
    <w:rsid w:val="235E311E"/>
    <w:rsid w:val="236C356B"/>
    <w:rsid w:val="236E6937"/>
    <w:rsid w:val="23716C48"/>
    <w:rsid w:val="23750C4E"/>
    <w:rsid w:val="237F7EC6"/>
    <w:rsid w:val="23817391"/>
    <w:rsid w:val="23845FC3"/>
    <w:rsid w:val="238A7BDE"/>
    <w:rsid w:val="238E4188"/>
    <w:rsid w:val="23933A10"/>
    <w:rsid w:val="23936A0C"/>
    <w:rsid w:val="2394348E"/>
    <w:rsid w:val="2397780A"/>
    <w:rsid w:val="23992F7E"/>
    <w:rsid w:val="23AC3027"/>
    <w:rsid w:val="23AF19BA"/>
    <w:rsid w:val="23B048DB"/>
    <w:rsid w:val="23B81BEF"/>
    <w:rsid w:val="23BB2F4A"/>
    <w:rsid w:val="23C85525"/>
    <w:rsid w:val="23C85F5D"/>
    <w:rsid w:val="23D5583A"/>
    <w:rsid w:val="23D55977"/>
    <w:rsid w:val="23DD7982"/>
    <w:rsid w:val="23EA1B1A"/>
    <w:rsid w:val="23EE5E0C"/>
    <w:rsid w:val="23F8155A"/>
    <w:rsid w:val="24095146"/>
    <w:rsid w:val="240D7011"/>
    <w:rsid w:val="2416559B"/>
    <w:rsid w:val="2416614F"/>
    <w:rsid w:val="241A11AA"/>
    <w:rsid w:val="241C2D25"/>
    <w:rsid w:val="241C3879"/>
    <w:rsid w:val="242516C0"/>
    <w:rsid w:val="24272A15"/>
    <w:rsid w:val="24273E27"/>
    <w:rsid w:val="24325864"/>
    <w:rsid w:val="244F2050"/>
    <w:rsid w:val="244F7992"/>
    <w:rsid w:val="24703FBC"/>
    <w:rsid w:val="247B4E5C"/>
    <w:rsid w:val="24854692"/>
    <w:rsid w:val="248D2221"/>
    <w:rsid w:val="249D4BB6"/>
    <w:rsid w:val="24A25CB8"/>
    <w:rsid w:val="24A84030"/>
    <w:rsid w:val="24B50649"/>
    <w:rsid w:val="24B87B10"/>
    <w:rsid w:val="24B93F82"/>
    <w:rsid w:val="24C4308A"/>
    <w:rsid w:val="24D05714"/>
    <w:rsid w:val="24EE6343"/>
    <w:rsid w:val="24F361A9"/>
    <w:rsid w:val="24F5112A"/>
    <w:rsid w:val="24F76B51"/>
    <w:rsid w:val="24FB4625"/>
    <w:rsid w:val="25001459"/>
    <w:rsid w:val="25010F81"/>
    <w:rsid w:val="250332F8"/>
    <w:rsid w:val="250C2B39"/>
    <w:rsid w:val="25110FAE"/>
    <w:rsid w:val="25127639"/>
    <w:rsid w:val="25146FAB"/>
    <w:rsid w:val="251D5591"/>
    <w:rsid w:val="2524189F"/>
    <w:rsid w:val="252425FC"/>
    <w:rsid w:val="254A0D4A"/>
    <w:rsid w:val="254D624A"/>
    <w:rsid w:val="25512A62"/>
    <w:rsid w:val="25541BF3"/>
    <w:rsid w:val="25573EF4"/>
    <w:rsid w:val="2557466B"/>
    <w:rsid w:val="2570062C"/>
    <w:rsid w:val="25751E08"/>
    <w:rsid w:val="25786E8E"/>
    <w:rsid w:val="257E1E5A"/>
    <w:rsid w:val="258B25C7"/>
    <w:rsid w:val="258E1084"/>
    <w:rsid w:val="258F00FD"/>
    <w:rsid w:val="25965D3D"/>
    <w:rsid w:val="25AA2CD8"/>
    <w:rsid w:val="25B7567B"/>
    <w:rsid w:val="25BB4365"/>
    <w:rsid w:val="25C203D3"/>
    <w:rsid w:val="25CD07C5"/>
    <w:rsid w:val="25D04FF5"/>
    <w:rsid w:val="25D31ADC"/>
    <w:rsid w:val="25DB5129"/>
    <w:rsid w:val="25DD0D08"/>
    <w:rsid w:val="25E13D10"/>
    <w:rsid w:val="25E27E7A"/>
    <w:rsid w:val="25E43E8F"/>
    <w:rsid w:val="25E64A1C"/>
    <w:rsid w:val="25EB65C0"/>
    <w:rsid w:val="25F17327"/>
    <w:rsid w:val="26023E0A"/>
    <w:rsid w:val="26054FA3"/>
    <w:rsid w:val="260B41A7"/>
    <w:rsid w:val="260F0208"/>
    <w:rsid w:val="26107884"/>
    <w:rsid w:val="26112E65"/>
    <w:rsid w:val="26122D9C"/>
    <w:rsid w:val="26136DA0"/>
    <w:rsid w:val="261A367A"/>
    <w:rsid w:val="261A61E7"/>
    <w:rsid w:val="262D73DB"/>
    <w:rsid w:val="26366062"/>
    <w:rsid w:val="26465B69"/>
    <w:rsid w:val="26504A14"/>
    <w:rsid w:val="265343B0"/>
    <w:rsid w:val="265539AE"/>
    <w:rsid w:val="26584E52"/>
    <w:rsid w:val="26591E4D"/>
    <w:rsid w:val="265B241B"/>
    <w:rsid w:val="265F5ADC"/>
    <w:rsid w:val="26605075"/>
    <w:rsid w:val="26610057"/>
    <w:rsid w:val="26646BBB"/>
    <w:rsid w:val="26681214"/>
    <w:rsid w:val="267C0631"/>
    <w:rsid w:val="26801588"/>
    <w:rsid w:val="268155A0"/>
    <w:rsid w:val="26837622"/>
    <w:rsid w:val="26870D17"/>
    <w:rsid w:val="268D581E"/>
    <w:rsid w:val="268F2300"/>
    <w:rsid w:val="26AA1A64"/>
    <w:rsid w:val="26B443D3"/>
    <w:rsid w:val="26BA65C6"/>
    <w:rsid w:val="26C253B8"/>
    <w:rsid w:val="26C82C9F"/>
    <w:rsid w:val="26D22821"/>
    <w:rsid w:val="26DC3C24"/>
    <w:rsid w:val="26E55B38"/>
    <w:rsid w:val="26EC1507"/>
    <w:rsid w:val="26EF44FD"/>
    <w:rsid w:val="26F173F5"/>
    <w:rsid w:val="26F62EAC"/>
    <w:rsid w:val="26FA6CFB"/>
    <w:rsid w:val="26FF4C45"/>
    <w:rsid w:val="27026A25"/>
    <w:rsid w:val="270733F4"/>
    <w:rsid w:val="270B4376"/>
    <w:rsid w:val="270C212D"/>
    <w:rsid w:val="270C512F"/>
    <w:rsid w:val="270E64D3"/>
    <w:rsid w:val="27104369"/>
    <w:rsid w:val="27130FAF"/>
    <w:rsid w:val="271724E5"/>
    <w:rsid w:val="27290BA7"/>
    <w:rsid w:val="272915F9"/>
    <w:rsid w:val="272C707E"/>
    <w:rsid w:val="27341DB9"/>
    <w:rsid w:val="27345388"/>
    <w:rsid w:val="273A2962"/>
    <w:rsid w:val="273C1112"/>
    <w:rsid w:val="27495E91"/>
    <w:rsid w:val="274F39B2"/>
    <w:rsid w:val="27520036"/>
    <w:rsid w:val="27535303"/>
    <w:rsid w:val="2754445A"/>
    <w:rsid w:val="27597D50"/>
    <w:rsid w:val="275C3143"/>
    <w:rsid w:val="275C5BAD"/>
    <w:rsid w:val="277C0287"/>
    <w:rsid w:val="27865C4A"/>
    <w:rsid w:val="27934FAA"/>
    <w:rsid w:val="27A040A4"/>
    <w:rsid w:val="27AB0428"/>
    <w:rsid w:val="27B32843"/>
    <w:rsid w:val="27B44B80"/>
    <w:rsid w:val="27BE0D0E"/>
    <w:rsid w:val="27C00D4A"/>
    <w:rsid w:val="27C14D9D"/>
    <w:rsid w:val="27C247F9"/>
    <w:rsid w:val="27C32ABD"/>
    <w:rsid w:val="27C53002"/>
    <w:rsid w:val="27D0503E"/>
    <w:rsid w:val="27D13F9D"/>
    <w:rsid w:val="27E316F2"/>
    <w:rsid w:val="27E96948"/>
    <w:rsid w:val="27EB5572"/>
    <w:rsid w:val="27F330BB"/>
    <w:rsid w:val="27F47F15"/>
    <w:rsid w:val="27F51DB1"/>
    <w:rsid w:val="28003318"/>
    <w:rsid w:val="28004F1D"/>
    <w:rsid w:val="280253CB"/>
    <w:rsid w:val="28061FFA"/>
    <w:rsid w:val="280D2DF4"/>
    <w:rsid w:val="28310CCB"/>
    <w:rsid w:val="28386475"/>
    <w:rsid w:val="283C2A29"/>
    <w:rsid w:val="283E5CDD"/>
    <w:rsid w:val="284D2379"/>
    <w:rsid w:val="285929F7"/>
    <w:rsid w:val="285F7B6B"/>
    <w:rsid w:val="286609F5"/>
    <w:rsid w:val="28693594"/>
    <w:rsid w:val="286F0421"/>
    <w:rsid w:val="28761F09"/>
    <w:rsid w:val="288B1707"/>
    <w:rsid w:val="288C0CA0"/>
    <w:rsid w:val="288E44A7"/>
    <w:rsid w:val="28A20E72"/>
    <w:rsid w:val="28AC3A8C"/>
    <w:rsid w:val="28B24450"/>
    <w:rsid w:val="28B36132"/>
    <w:rsid w:val="28BB26FE"/>
    <w:rsid w:val="28C8683A"/>
    <w:rsid w:val="28DA2690"/>
    <w:rsid w:val="28E55C1A"/>
    <w:rsid w:val="28F764A8"/>
    <w:rsid w:val="28F80805"/>
    <w:rsid w:val="28FA6699"/>
    <w:rsid w:val="29004E23"/>
    <w:rsid w:val="290170EC"/>
    <w:rsid w:val="290F7292"/>
    <w:rsid w:val="291060AB"/>
    <w:rsid w:val="29127D79"/>
    <w:rsid w:val="2914177B"/>
    <w:rsid w:val="291A5D77"/>
    <w:rsid w:val="291E38C8"/>
    <w:rsid w:val="29215C8E"/>
    <w:rsid w:val="292E3D17"/>
    <w:rsid w:val="29323E76"/>
    <w:rsid w:val="293F6A92"/>
    <w:rsid w:val="2943232A"/>
    <w:rsid w:val="29486A85"/>
    <w:rsid w:val="295C13A3"/>
    <w:rsid w:val="295E2397"/>
    <w:rsid w:val="295E7BBB"/>
    <w:rsid w:val="295F1B02"/>
    <w:rsid w:val="296902E6"/>
    <w:rsid w:val="296A0A42"/>
    <w:rsid w:val="296A7596"/>
    <w:rsid w:val="296F2795"/>
    <w:rsid w:val="298317FC"/>
    <w:rsid w:val="298518A7"/>
    <w:rsid w:val="298E2065"/>
    <w:rsid w:val="298E22C8"/>
    <w:rsid w:val="29975481"/>
    <w:rsid w:val="29A322F1"/>
    <w:rsid w:val="29BC1D84"/>
    <w:rsid w:val="29C60324"/>
    <w:rsid w:val="29C87DDF"/>
    <w:rsid w:val="29CC363E"/>
    <w:rsid w:val="29E4049E"/>
    <w:rsid w:val="29E80F8C"/>
    <w:rsid w:val="29F126F3"/>
    <w:rsid w:val="29F81552"/>
    <w:rsid w:val="29F8457D"/>
    <w:rsid w:val="29F950E9"/>
    <w:rsid w:val="2A0665CF"/>
    <w:rsid w:val="2A0B1FD8"/>
    <w:rsid w:val="2A0E69F5"/>
    <w:rsid w:val="2A1E36CF"/>
    <w:rsid w:val="2A1E5F0A"/>
    <w:rsid w:val="2A207651"/>
    <w:rsid w:val="2A234440"/>
    <w:rsid w:val="2A23680A"/>
    <w:rsid w:val="2A3C1BBB"/>
    <w:rsid w:val="2A3D0A83"/>
    <w:rsid w:val="2A3D5146"/>
    <w:rsid w:val="2A3F7A8C"/>
    <w:rsid w:val="2A40634E"/>
    <w:rsid w:val="2A462E56"/>
    <w:rsid w:val="2A49028B"/>
    <w:rsid w:val="2A4A1CA1"/>
    <w:rsid w:val="2A5373C5"/>
    <w:rsid w:val="2A5B4D7B"/>
    <w:rsid w:val="2A6541DB"/>
    <w:rsid w:val="2A6657B9"/>
    <w:rsid w:val="2A6B3832"/>
    <w:rsid w:val="2A7549CE"/>
    <w:rsid w:val="2A781A1F"/>
    <w:rsid w:val="2A861168"/>
    <w:rsid w:val="2A866CE0"/>
    <w:rsid w:val="2A896AD8"/>
    <w:rsid w:val="2A945FAC"/>
    <w:rsid w:val="2A951B0D"/>
    <w:rsid w:val="2AA05EFD"/>
    <w:rsid w:val="2AB77F86"/>
    <w:rsid w:val="2ABE639B"/>
    <w:rsid w:val="2ABE7D5E"/>
    <w:rsid w:val="2AC31382"/>
    <w:rsid w:val="2ACE2D2E"/>
    <w:rsid w:val="2AD03C90"/>
    <w:rsid w:val="2AD13B9D"/>
    <w:rsid w:val="2AD85D26"/>
    <w:rsid w:val="2AE40B01"/>
    <w:rsid w:val="2AE47CC8"/>
    <w:rsid w:val="2AEF4B1F"/>
    <w:rsid w:val="2B062627"/>
    <w:rsid w:val="2B0A58D0"/>
    <w:rsid w:val="2B0A75CE"/>
    <w:rsid w:val="2B137773"/>
    <w:rsid w:val="2B1C5D95"/>
    <w:rsid w:val="2B1D00BB"/>
    <w:rsid w:val="2B1D5FAB"/>
    <w:rsid w:val="2B246722"/>
    <w:rsid w:val="2B292131"/>
    <w:rsid w:val="2B2D5FFE"/>
    <w:rsid w:val="2B2F5006"/>
    <w:rsid w:val="2B331551"/>
    <w:rsid w:val="2B346B07"/>
    <w:rsid w:val="2B356778"/>
    <w:rsid w:val="2B3B4CA5"/>
    <w:rsid w:val="2B3E0047"/>
    <w:rsid w:val="2B3E7E2F"/>
    <w:rsid w:val="2B42378D"/>
    <w:rsid w:val="2B603075"/>
    <w:rsid w:val="2B6B2564"/>
    <w:rsid w:val="2B763C98"/>
    <w:rsid w:val="2B7A3F8F"/>
    <w:rsid w:val="2B7C5526"/>
    <w:rsid w:val="2B7D762D"/>
    <w:rsid w:val="2B7F16B1"/>
    <w:rsid w:val="2B93018D"/>
    <w:rsid w:val="2B966A97"/>
    <w:rsid w:val="2B9C4CD7"/>
    <w:rsid w:val="2BA67C3C"/>
    <w:rsid w:val="2BBD28D5"/>
    <w:rsid w:val="2BC071C8"/>
    <w:rsid w:val="2BC420D9"/>
    <w:rsid w:val="2BC87F48"/>
    <w:rsid w:val="2BCB6B16"/>
    <w:rsid w:val="2BD50957"/>
    <w:rsid w:val="2BDB4DE7"/>
    <w:rsid w:val="2BDE6FFC"/>
    <w:rsid w:val="2BE52DD3"/>
    <w:rsid w:val="2BE77991"/>
    <w:rsid w:val="2BEA6A3A"/>
    <w:rsid w:val="2BED1009"/>
    <w:rsid w:val="2BF57B55"/>
    <w:rsid w:val="2BF97794"/>
    <w:rsid w:val="2BFE42B8"/>
    <w:rsid w:val="2C0204AD"/>
    <w:rsid w:val="2C0B7F4C"/>
    <w:rsid w:val="2C160E77"/>
    <w:rsid w:val="2C162474"/>
    <w:rsid w:val="2C237285"/>
    <w:rsid w:val="2C26334C"/>
    <w:rsid w:val="2C2E2943"/>
    <w:rsid w:val="2C34722D"/>
    <w:rsid w:val="2C354138"/>
    <w:rsid w:val="2C396482"/>
    <w:rsid w:val="2C435D6D"/>
    <w:rsid w:val="2C4B52D3"/>
    <w:rsid w:val="2C50226D"/>
    <w:rsid w:val="2C621130"/>
    <w:rsid w:val="2C6C4FFB"/>
    <w:rsid w:val="2C766893"/>
    <w:rsid w:val="2C7A1666"/>
    <w:rsid w:val="2C7A3FF9"/>
    <w:rsid w:val="2C7E596F"/>
    <w:rsid w:val="2C8C34DE"/>
    <w:rsid w:val="2CA41A1E"/>
    <w:rsid w:val="2CA71F29"/>
    <w:rsid w:val="2CAA0ECD"/>
    <w:rsid w:val="2CB1492B"/>
    <w:rsid w:val="2CD44137"/>
    <w:rsid w:val="2CD84B40"/>
    <w:rsid w:val="2CDD6E7E"/>
    <w:rsid w:val="2CED01C8"/>
    <w:rsid w:val="2CF10801"/>
    <w:rsid w:val="2CF87CD8"/>
    <w:rsid w:val="2D0232BB"/>
    <w:rsid w:val="2D0F2A48"/>
    <w:rsid w:val="2D142F9E"/>
    <w:rsid w:val="2D19616C"/>
    <w:rsid w:val="2D212395"/>
    <w:rsid w:val="2D2212C7"/>
    <w:rsid w:val="2D2E0E43"/>
    <w:rsid w:val="2D327E2A"/>
    <w:rsid w:val="2D371EDA"/>
    <w:rsid w:val="2D3C09BC"/>
    <w:rsid w:val="2D4755A9"/>
    <w:rsid w:val="2D525977"/>
    <w:rsid w:val="2D6F4BDD"/>
    <w:rsid w:val="2D7700AE"/>
    <w:rsid w:val="2D7A72A0"/>
    <w:rsid w:val="2D7B78E3"/>
    <w:rsid w:val="2D7D78EF"/>
    <w:rsid w:val="2D8379FC"/>
    <w:rsid w:val="2D923AD1"/>
    <w:rsid w:val="2D935CCB"/>
    <w:rsid w:val="2D976C4C"/>
    <w:rsid w:val="2D9A5AF1"/>
    <w:rsid w:val="2D9C07FF"/>
    <w:rsid w:val="2D9E1907"/>
    <w:rsid w:val="2D9E7BC6"/>
    <w:rsid w:val="2DA0657A"/>
    <w:rsid w:val="2DA34C59"/>
    <w:rsid w:val="2DA755D9"/>
    <w:rsid w:val="2DA874EE"/>
    <w:rsid w:val="2DBB48F4"/>
    <w:rsid w:val="2DBC053A"/>
    <w:rsid w:val="2DCF0D7F"/>
    <w:rsid w:val="2DCF5636"/>
    <w:rsid w:val="2DD02032"/>
    <w:rsid w:val="2DD0315F"/>
    <w:rsid w:val="2DE8111B"/>
    <w:rsid w:val="2DE95E75"/>
    <w:rsid w:val="2DED4B9C"/>
    <w:rsid w:val="2DFB7B49"/>
    <w:rsid w:val="2E17070D"/>
    <w:rsid w:val="2E195607"/>
    <w:rsid w:val="2E1F5304"/>
    <w:rsid w:val="2E2464AF"/>
    <w:rsid w:val="2E28596E"/>
    <w:rsid w:val="2E372278"/>
    <w:rsid w:val="2E3B5B4E"/>
    <w:rsid w:val="2E3D46CF"/>
    <w:rsid w:val="2E4A0476"/>
    <w:rsid w:val="2E4A2773"/>
    <w:rsid w:val="2E4B1C72"/>
    <w:rsid w:val="2E4D13DA"/>
    <w:rsid w:val="2E577BD1"/>
    <w:rsid w:val="2E6013C6"/>
    <w:rsid w:val="2E663CB6"/>
    <w:rsid w:val="2E690ACE"/>
    <w:rsid w:val="2E7061AE"/>
    <w:rsid w:val="2E720974"/>
    <w:rsid w:val="2E93621C"/>
    <w:rsid w:val="2E9562B9"/>
    <w:rsid w:val="2EA6526A"/>
    <w:rsid w:val="2EAE2970"/>
    <w:rsid w:val="2EC21198"/>
    <w:rsid w:val="2EC626DE"/>
    <w:rsid w:val="2ECB23DA"/>
    <w:rsid w:val="2ED62568"/>
    <w:rsid w:val="2ED63ABF"/>
    <w:rsid w:val="2EE3085B"/>
    <w:rsid w:val="2EE468BE"/>
    <w:rsid w:val="2EF85ADC"/>
    <w:rsid w:val="2EF93DD6"/>
    <w:rsid w:val="2EFE7E82"/>
    <w:rsid w:val="2F015EEA"/>
    <w:rsid w:val="2F054EAB"/>
    <w:rsid w:val="2F0C77E7"/>
    <w:rsid w:val="2F0D1E7F"/>
    <w:rsid w:val="2F0F51F3"/>
    <w:rsid w:val="2F2B0BEA"/>
    <w:rsid w:val="2F3D5F39"/>
    <w:rsid w:val="2F405F4F"/>
    <w:rsid w:val="2F426603"/>
    <w:rsid w:val="2F455B03"/>
    <w:rsid w:val="2F474CE3"/>
    <w:rsid w:val="2F4A1DD6"/>
    <w:rsid w:val="2F530EFD"/>
    <w:rsid w:val="2F57754B"/>
    <w:rsid w:val="2F626EF6"/>
    <w:rsid w:val="2F635DC1"/>
    <w:rsid w:val="2F68733E"/>
    <w:rsid w:val="2F6C5D17"/>
    <w:rsid w:val="2F750420"/>
    <w:rsid w:val="2F753EC3"/>
    <w:rsid w:val="2F7A5B7C"/>
    <w:rsid w:val="2F7C43D1"/>
    <w:rsid w:val="2F84721B"/>
    <w:rsid w:val="2F8702D4"/>
    <w:rsid w:val="2F887072"/>
    <w:rsid w:val="2F89390A"/>
    <w:rsid w:val="2F8A1DFB"/>
    <w:rsid w:val="2F8D1B5B"/>
    <w:rsid w:val="2F8E5B95"/>
    <w:rsid w:val="2F901BA3"/>
    <w:rsid w:val="2F903EED"/>
    <w:rsid w:val="2F907020"/>
    <w:rsid w:val="2F961136"/>
    <w:rsid w:val="2F973F96"/>
    <w:rsid w:val="2FA051DD"/>
    <w:rsid w:val="2FA33A71"/>
    <w:rsid w:val="2FB7058A"/>
    <w:rsid w:val="2FC3156B"/>
    <w:rsid w:val="2FC44B84"/>
    <w:rsid w:val="2FC612E7"/>
    <w:rsid w:val="2FCD4AB7"/>
    <w:rsid w:val="2FD55806"/>
    <w:rsid w:val="2FE502F2"/>
    <w:rsid w:val="2FE52E27"/>
    <w:rsid w:val="2FE85EB2"/>
    <w:rsid w:val="2FFA0463"/>
    <w:rsid w:val="2FFA5F38"/>
    <w:rsid w:val="2FFD050D"/>
    <w:rsid w:val="300E7664"/>
    <w:rsid w:val="301C67AB"/>
    <w:rsid w:val="302D18DD"/>
    <w:rsid w:val="30326609"/>
    <w:rsid w:val="30434A1F"/>
    <w:rsid w:val="30480634"/>
    <w:rsid w:val="304A30B7"/>
    <w:rsid w:val="304C5F57"/>
    <w:rsid w:val="30502974"/>
    <w:rsid w:val="305450FD"/>
    <w:rsid w:val="306058C5"/>
    <w:rsid w:val="30623AAA"/>
    <w:rsid w:val="307C6DF3"/>
    <w:rsid w:val="308D57EE"/>
    <w:rsid w:val="3091442A"/>
    <w:rsid w:val="30942DC5"/>
    <w:rsid w:val="309D0A1C"/>
    <w:rsid w:val="30A83265"/>
    <w:rsid w:val="30BD3E28"/>
    <w:rsid w:val="30BD577F"/>
    <w:rsid w:val="30C11E6C"/>
    <w:rsid w:val="30CA5700"/>
    <w:rsid w:val="30CC5EF0"/>
    <w:rsid w:val="30CD4400"/>
    <w:rsid w:val="30D541D4"/>
    <w:rsid w:val="30F70066"/>
    <w:rsid w:val="30F7754B"/>
    <w:rsid w:val="30F96158"/>
    <w:rsid w:val="30FC3EAE"/>
    <w:rsid w:val="31043042"/>
    <w:rsid w:val="310522F1"/>
    <w:rsid w:val="310C7247"/>
    <w:rsid w:val="310D12C2"/>
    <w:rsid w:val="310E3CE0"/>
    <w:rsid w:val="31193BAD"/>
    <w:rsid w:val="31222902"/>
    <w:rsid w:val="314F34FE"/>
    <w:rsid w:val="315C50F0"/>
    <w:rsid w:val="31602E4C"/>
    <w:rsid w:val="31615006"/>
    <w:rsid w:val="3165140E"/>
    <w:rsid w:val="316B3085"/>
    <w:rsid w:val="31767CAB"/>
    <w:rsid w:val="31831A5A"/>
    <w:rsid w:val="31832A66"/>
    <w:rsid w:val="318354DD"/>
    <w:rsid w:val="318555E4"/>
    <w:rsid w:val="31877CE7"/>
    <w:rsid w:val="31896773"/>
    <w:rsid w:val="318D6777"/>
    <w:rsid w:val="319548B2"/>
    <w:rsid w:val="319F3D30"/>
    <w:rsid w:val="31AF6657"/>
    <w:rsid w:val="31B82007"/>
    <w:rsid w:val="31B96573"/>
    <w:rsid w:val="31C66706"/>
    <w:rsid w:val="31C83AD3"/>
    <w:rsid w:val="31CD2595"/>
    <w:rsid w:val="31D37155"/>
    <w:rsid w:val="31F15906"/>
    <w:rsid w:val="31F249C0"/>
    <w:rsid w:val="31F93F81"/>
    <w:rsid w:val="320056E0"/>
    <w:rsid w:val="32050F35"/>
    <w:rsid w:val="320A16BD"/>
    <w:rsid w:val="321A0A0D"/>
    <w:rsid w:val="32236264"/>
    <w:rsid w:val="322B548B"/>
    <w:rsid w:val="32381C6B"/>
    <w:rsid w:val="324443E1"/>
    <w:rsid w:val="324C7D2D"/>
    <w:rsid w:val="32577E3F"/>
    <w:rsid w:val="32593357"/>
    <w:rsid w:val="32647267"/>
    <w:rsid w:val="326C44D7"/>
    <w:rsid w:val="32731F64"/>
    <w:rsid w:val="328079D8"/>
    <w:rsid w:val="328612FF"/>
    <w:rsid w:val="32903C32"/>
    <w:rsid w:val="32A5347B"/>
    <w:rsid w:val="32A55F3E"/>
    <w:rsid w:val="32A6096B"/>
    <w:rsid w:val="32A75EB2"/>
    <w:rsid w:val="32AA0E91"/>
    <w:rsid w:val="32AF337B"/>
    <w:rsid w:val="32AF4F03"/>
    <w:rsid w:val="32B53143"/>
    <w:rsid w:val="32B57B53"/>
    <w:rsid w:val="32BB6DE3"/>
    <w:rsid w:val="32C66783"/>
    <w:rsid w:val="32CA3CE1"/>
    <w:rsid w:val="32CC1159"/>
    <w:rsid w:val="32CD334B"/>
    <w:rsid w:val="32D11F25"/>
    <w:rsid w:val="32DA30C1"/>
    <w:rsid w:val="32DC1E62"/>
    <w:rsid w:val="32EA599F"/>
    <w:rsid w:val="32F02636"/>
    <w:rsid w:val="32FE6473"/>
    <w:rsid w:val="330D4B76"/>
    <w:rsid w:val="33150D97"/>
    <w:rsid w:val="33170489"/>
    <w:rsid w:val="332709F4"/>
    <w:rsid w:val="33272DAD"/>
    <w:rsid w:val="332A6648"/>
    <w:rsid w:val="332E4862"/>
    <w:rsid w:val="3332115F"/>
    <w:rsid w:val="33377E88"/>
    <w:rsid w:val="33442B34"/>
    <w:rsid w:val="334834C6"/>
    <w:rsid w:val="33517C25"/>
    <w:rsid w:val="335A3DD4"/>
    <w:rsid w:val="336B32E0"/>
    <w:rsid w:val="337279B1"/>
    <w:rsid w:val="33740FFA"/>
    <w:rsid w:val="3377425A"/>
    <w:rsid w:val="338035AE"/>
    <w:rsid w:val="33890C31"/>
    <w:rsid w:val="338B12C9"/>
    <w:rsid w:val="338C4253"/>
    <w:rsid w:val="33926296"/>
    <w:rsid w:val="33A0415B"/>
    <w:rsid w:val="33A11E1D"/>
    <w:rsid w:val="33C26B23"/>
    <w:rsid w:val="33DC4912"/>
    <w:rsid w:val="33E05444"/>
    <w:rsid w:val="33E67355"/>
    <w:rsid w:val="340A6B01"/>
    <w:rsid w:val="34135299"/>
    <w:rsid w:val="34176F9F"/>
    <w:rsid w:val="341F17AC"/>
    <w:rsid w:val="34221D7B"/>
    <w:rsid w:val="342D02F2"/>
    <w:rsid w:val="34360E17"/>
    <w:rsid w:val="3436339E"/>
    <w:rsid w:val="34365DD7"/>
    <w:rsid w:val="34375F76"/>
    <w:rsid w:val="34383A37"/>
    <w:rsid w:val="343A5640"/>
    <w:rsid w:val="343F37BC"/>
    <w:rsid w:val="34411EFD"/>
    <w:rsid w:val="34445CBD"/>
    <w:rsid w:val="34573AB8"/>
    <w:rsid w:val="3465485F"/>
    <w:rsid w:val="346A4A15"/>
    <w:rsid w:val="347524FA"/>
    <w:rsid w:val="347544C8"/>
    <w:rsid w:val="347579D9"/>
    <w:rsid w:val="347C1EB3"/>
    <w:rsid w:val="34823665"/>
    <w:rsid w:val="34854826"/>
    <w:rsid w:val="34855CC7"/>
    <w:rsid w:val="348C3EE9"/>
    <w:rsid w:val="348F4490"/>
    <w:rsid w:val="349108C5"/>
    <w:rsid w:val="34935D23"/>
    <w:rsid w:val="3497742D"/>
    <w:rsid w:val="34A02AB2"/>
    <w:rsid w:val="34B363FB"/>
    <w:rsid w:val="34B40B24"/>
    <w:rsid w:val="34B64046"/>
    <w:rsid w:val="34C04B85"/>
    <w:rsid w:val="34CC6788"/>
    <w:rsid w:val="34D26677"/>
    <w:rsid w:val="34E86158"/>
    <w:rsid w:val="34ED68F8"/>
    <w:rsid w:val="34F71623"/>
    <w:rsid w:val="34F860CC"/>
    <w:rsid w:val="34FC6213"/>
    <w:rsid w:val="35012275"/>
    <w:rsid w:val="35035471"/>
    <w:rsid w:val="350B2A93"/>
    <w:rsid w:val="350D65C4"/>
    <w:rsid w:val="35167EE0"/>
    <w:rsid w:val="35183FE5"/>
    <w:rsid w:val="35190539"/>
    <w:rsid w:val="352C2331"/>
    <w:rsid w:val="35335357"/>
    <w:rsid w:val="35475B13"/>
    <w:rsid w:val="35510961"/>
    <w:rsid w:val="35520481"/>
    <w:rsid w:val="355523D3"/>
    <w:rsid w:val="35565456"/>
    <w:rsid w:val="356C5D3A"/>
    <w:rsid w:val="35773CA0"/>
    <w:rsid w:val="35786048"/>
    <w:rsid w:val="35787427"/>
    <w:rsid w:val="358509BF"/>
    <w:rsid w:val="35881427"/>
    <w:rsid w:val="358E0C93"/>
    <w:rsid w:val="358F144D"/>
    <w:rsid w:val="359F2A2B"/>
    <w:rsid w:val="35A15AF7"/>
    <w:rsid w:val="35A3326B"/>
    <w:rsid w:val="35A64C46"/>
    <w:rsid w:val="35AA59EC"/>
    <w:rsid w:val="35BE24F8"/>
    <w:rsid w:val="35BF5852"/>
    <w:rsid w:val="35C51C6F"/>
    <w:rsid w:val="35C71B4C"/>
    <w:rsid w:val="35CB558F"/>
    <w:rsid w:val="35D15706"/>
    <w:rsid w:val="35E26E83"/>
    <w:rsid w:val="35E42275"/>
    <w:rsid w:val="35E93BB3"/>
    <w:rsid w:val="35EA18A9"/>
    <w:rsid w:val="35ED1532"/>
    <w:rsid w:val="35FB5BB0"/>
    <w:rsid w:val="35FB7403"/>
    <w:rsid w:val="35FE0FDD"/>
    <w:rsid w:val="36022E30"/>
    <w:rsid w:val="360878B6"/>
    <w:rsid w:val="360B6DFC"/>
    <w:rsid w:val="360E5DE7"/>
    <w:rsid w:val="360F03C6"/>
    <w:rsid w:val="36110670"/>
    <w:rsid w:val="361239EA"/>
    <w:rsid w:val="36132341"/>
    <w:rsid w:val="361710EA"/>
    <w:rsid w:val="36174266"/>
    <w:rsid w:val="36280263"/>
    <w:rsid w:val="362E5D15"/>
    <w:rsid w:val="36323ACB"/>
    <w:rsid w:val="363E52E3"/>
    <w:rsid w:val="36463462"/>
    <w:rsid w:val="36520415"/>
    <w:rsid w:val="366168E5"/>
    <w:rsid w:val="36652668"/>
    <w:rsid w:val="3667591E"/>
    <w:rsid w:val="36676D0F"/>
    <w:rsid w:val="36690EF4"/>
    <w:rsid w:val="36715306"/>
    <w:rsid w:val="36752753"/>
    <w:rsid w:val="368B1772"/>
    <w:rsid w:val="368B6BFC"/>
    <w:rsid w:val="368D414F"/>
    <w:rsid w:val="368E065F"/>
    <w:rsid w:val="3692651B"/>
    <w:rsid w:val="3696149E"/>
    <w:rsid w:val="369C4EB9"/>
    <w:rsid w:val="369F4712"/>
    <w:rsid w:val="36A75037"/>
    <w:rsid w:val="36AC20B1"/>
    <w:rsid w:val="36B112B1"/>
    <w:rsid w:val="36B740D4"/>
    <w:rsid w:val="36BA6CA8"/>
    <w:rsid w:val="36BA7E97"/>
    <w:rsid w:val="36BF6CE4"/>
    <w:rsid w:val="36DC0993"/>
    <w:rsid w:val="36F0425B"/>
    <w:rsid w:val="36F94103"/>
    <w:rsid w:val="36FA6C4A"/>
    <w:rsid w:val="37097DCB"/>
    <w:rsid w:val="3712452A"/>
    <w:rsid w:val="372639DF"/>
    <w:rsid w:val="3728034B"/>
    <w:rsid w:val="372C23D5"/>
    <w:rsid w:val="372F552F"/>
    <w:rsid w:val="37316828"/>
    <w:rsid w:val="373A2B5C"/>
    <w:rsid w:val="373D26F6"/>
    <w:rsid w:val="374B0CAB"/>
    <w:rsid w:val="374B1E1F"/>
    <w:rsid w:val="375709C1"/>
    <w:rsid w:val="37646A3C"/>
    <w:rsid w:val="3766210D"/>
    <w:rsid w:val="37692E5A"/>
    <w:rsid w:val="376E6481"/>
    <w:rsid w:val="377159F7"/>
    <w:rsid w:val="37722895"/>
    <w:rsid w:val="37743F34"/>
    <w:rsid w:val="37783F47"/>
    <w:rsid w:val="37784A8F"/>
    <w:rsid w:val="378160BF"/>
    <w:rsid w:val="37837CA0"/>
    <w:rsid w:val="37940BD5"/>
    <w:rsid w:val="37962BFC"/>
    <w:rsid w:val="379F5537"/>
    <w:rsid w:val="37A6571D"/>
    <w:rsid w:val="37A9619D"/>
    <w:rsid w:val="37AA4F30"/>
    <w:rsid w:val="37BA0B30"/>
    <w:rsid w:val="37C220F9"/>
    <w:rsid w:val="37C33949"/>
    <w:rsid w:val="37CF6F75"/>
    <w:rsid w:val="37D053FD"/>
    <w:rsid w:val="37D62770"/>
    <w:rsid w:val="37DA583A"/>
    <w:rsid w:val="37DC2361"/>
    <w:rsid w:val="37DC3704"/>
    <w:rsid w:val="37E14BDF"/>
    <w:rsid w:val="37EA29C3"/>
    <w:rsid w:val="37EE3534"/>
    <w:rsid w:val="37F57F98"/>
    <w:rsid w:val="37FC0B16"/>
    <w:rsid w:val="37FF1D7B"/>
    <w:rsid w:val="3802181C"/>
    <w:rsid w:val="380B608D"/>
    <w:rsid w:val="380D13C1"/>
    <w:rsid w:val="380F78AA"/>
    <w:rsid w:val="3812321B"/>
    <w:rsid w:val="38154DF4"/>
    <w:rsid w:val="38163545"/>
    <w:rsid w:val="38215310"/>
    <w:rsid w:val="3826792F"/>
    <w:rsid w:val="38270896"/>
    <w:rsid w:val="383006F3"/>
    <w:rsid w:val="38315C29"/>
    <w:rsid w:val="383C58FF"/>
    <w:rsid w:val="38411606"/>
    <w:rsid w:val="38615DD8"/>
    <w:rsid w:val="38657E16"/>
    <w:rsid w:val="38697A87"/>
    <w:rsid w:val="386F2B4A"/>
    <w:rsid w:val="387067FC"/>
    <w:rsid w:val="3874420B"/>
    <w:rsid w:val="387522D2"/>
    <w:rsid w:val="3875590C"/>
    <w:rsid w:val="387622DC"/>
    <w:rsid w:val="389276FC"/>
    <w:rsid w:val="389D4F44"/>
    <w:rsid w:val="389E451B"/>
    <w:rsid w:val="389F2D31"/>
    <w:rsid w:val="38A1418B"/>
    <w:rsid w:val="38A33680"/>
    <w:rsid w:val="38A525C6"/>
    <w:rsid w:val="38A57571"/>
    <w:rsid w:val="38B04CF6"/>
    <w:rsid w:val="38B210BD"/>
    <w:rsid w:val="38B33F0D"/>
    <w:rsid w:val="38C723E8"/>
    <w:rsid w:val="38D512EF"/>
    <w:rsid w:val="38DA11B4"/>
    <w:rsid w:val="38DC282B"/>
    <w:rsid w:val="38E56DC2"/>
    <w:rsid w:val="38F164D5"/>
    <w:rsid w:val="38F85C43"/>
    <w:rsid w:val="38FB3C3D"/>
    <w:rsid w:val="38FC39DA"/>
    <w:rsid w:val="39024A46"/>
    <w:rsid w:val="390C7A4F"/>
    <w:rsid w:val="390F4B13"/>
    <w:rsid w:val="39112A2E"/>
    <w:rsid w:val="39133446"/>
    <w:rsid w:val="392432BE"/>
    <w:rsid w:val="392C46D9"/>
    <w:rsid w:val="3935530A"/>
    <w:rsid w:val="39444C1B"/>
    <w:rsid w:val="394867B5"/>
    <w:rsid w:val="394B6070"/>
    <w:rsid w:val="39570D12"/>
    <w:rsid w:val="39685A04"/>
    <w:rsid w:val="396C4118"/>
    <w:rsid w:val="39730968"/>
    <w:rsid w:val="397C5042"/>
    <w:rsid w:val="397F069F"/>
    <w:rsid w:val="39812E2B"/>
    <w:rsid w:val="39862EF0"/>
    <w:rsid w:val="398D0892"/>
    <w:rsid w:val="399A1E48"/>
    <w:rsid w:val="399B21F0"/>
    <w:rsid w:val="39A24648"/>
    <w:rsid w:val="39A43F94"/>
    <w:rsid w:val="39B23A54"/>
    <w:rsid w:val="39C12B0A"/>
    <w:rsid w:val="39C149D6"/>
    <w:rsid w:val="39CA6FFF"/>
    <w:rsid w:val="39CD7600"/>
    <w:rsid w:val="39D60792"/>
    <w:rsid w:val="39DD4EC5"/>
    <w:rsid w:val="39E11CF5"/>
    <w:rsid w:val="39E97788"/>
    <w:rsid w:val="39F95558"/>
    <w:rsid w:val="39FB555A"/>
    <w:rsid w:val="39FD1C98"/>
    <w:rsid w:val="3A0615D7"/>
    <w:rsid w:val="3A1B3C59"/>
    <w:rsid w:val="3A1D57F7"/>
    <w:rsid w:val="3A1F1500"/>
    <w:rsid w:val="3A223C0A"/>
    <w:rsid w:val="3A23599A"/>
    <w:rsid w:val="3A276D6E"/>
    <w:rsid w:val="3A2A1153"/>
    <w:rsid w:val="3A2C76CB"/>
    <w:rsid w:val="3A306E4D"/>
    <w:rsid w:val="3A3A60D7"/>
    <w:rsid w:val="3A43603C"/>
    <w:rsid w:val="3A454580"/>
    <w:rsid w:val="3A4B7C3C"/>
    <w:rsid w:val="3A4F01A0"/>
    <w:rsid w:val="3A505A5F"/>
    <w:rsid w:val="3A591784"/>
    <w:rsid w:val="3A5A559C"/>
    <w:rsid w:val="3A662480"/>
    <w:rsid w:val="3A697149"/>
    <w:rsid w:val="3A7D355B"/>
    <w:rsid w:val="3A7D3C52"/>
    <w:rsid w:val="3A8A2A4E"/>
    <w:rsid w:val="3A903698"/>
    <w:rsid w:val="3A9830F2"/>
    <w:rsid w:val="3A990E96"/>
    <w:rsid w:val="3A99128E"/>
    <w:rsid w:val="3A9D261A"/>
    <w:rsid w:val="3AA44C15"/>
    <w:rsid w:val="3AA61187"/>
    <w:rsid w:val="3AAB6393"/>
    <w:rsid w:val="3AAD2ACB"/>
    <w:rsid w:val="3AB331C1"/>
    <w:rsid w:val="3AB36ED1"/>
    <w:rsid w:val="3AB41B43"/>
    <w:rsid w:val="3AB6389A"/>
    <w:rsid w:val="3ABE0468"/>
    <w:rsid w:val="3AC3717D"/>
    <w:rsid w:val="3ACF30F9"/>
    <w:rsid w:val="3ACF695C"/>
    <w:rsid w:val="3ADA5B2C"/>
    <w:rsid w:val="3AE14EF3"/>
    <w:rsid w:val="3AE33279"/>
    <w:rsid w:val="3AE44965"/>
    <w:rsid w:val="3AED190D"/>
    <w:rsid w:val="3AED1950"/>
    <w:rsid w:val="3AEE4B6D"/>
    <w:rsid w:val="3B017FD1"/>
    <w:rsid w:val="3B0D0C60"/>
    <w:rsid w:val="3B0F15A3"/>
    <w:rsid w:val="3B157641"/>
    <w:rsid w:val="3B192A36"/>
    <w:rsid w:val="3B1F0441"/>
    <w:rsid w:val="3B1F13F5"/>
    <w:rsid w:val="3B28573C"/>
    <w:rsid w:val="3B285DDE"/>
    <w:rsid w:val="3B2B48B8"/>
    <w:rsid w:val="3B2C6211"/>
    <w:rsid w:val="3B3677A7"/>
    <w:rsid w:val="3B377284"/>
    <w:rsid w:val="3B3B4FA0"/>
    <w:rsid w:val="3B416F8B"/>
    <w:rsid w:val="3B431FE5"/>
    <w:rsid w:val="3B437C64"/>
    <w:rsid w:val="3B6A5CAA"/>
    <w:rsid w:val="3B7064E4"/>
    <w:rsid w:val="3B8B19F7"/>
    <w:rsid w:val="3B8D6BAE"/>
    <w:rsid w:val="3B8E5700"/>
    <w:rsid w:val="3B9037DB"/>
    <w:rsid w:val="3B9D5AE4"/>
    <w:rsid w:val="3BA742DE"/>
    <w:rsid w:val="3BB3158B"/>
    <w:rsid w:val="3BB508B7"/>
    <w:rsid w:val="3BB83BBC"/>
    <w:rsid w:val="3BC069C1"/>
    <w:rsid w:val="3BC455F6"/>
    <w:rsid w:val="3BC70066"/>
    <w:rsid w:val="3BCF7081"/>
    <w:rsid w:val="3BDB04D6"/>
    <w:rsid w:val="3BEB6441"/>
    <w:rsid w:val="3BF1352E"/>
    <w:rsid w:val="3BF91955"/>
    <w:rsid w:val="3C0B25EC"/>
    <w:rsid w:val="3C0E48A1"/>
    <w:rsid w:val="3C207C7B"/>
    <w:rsid w:val="3C241E0A"/>
    <w:rsid w:val="3C4E618A"/>
    <w:rsid w:val="3C5005BE"/>
    <w:rsid w:val="3C522C7B"/>
    <w:rsid w:val="3C534BA3"/>
    <w:rsid w:val="3C687A9A"/>
    <w:rsid w:val="3C7271ED"/>
    <w:rsid w:val="3C742B13"/>
    <w:rsid w:val="3C7B59BF"/>
    <w:rsid w:val="3C842292"/>
    <w:rsid w:val="3C864411"/>
    <w:rsid w:val="3C966EE1"/>
    <w:rsid w:val="3C9C3D52"/>
    <w:rsid w:val="3CA00103"/>
    <w:rsid w:val="3CB65061"/>
    <w:rsid w:val="3CB755F3"/>
    <w:rsid w:val="3CBA56D3"/>
    <w:rsid w:val="3CC149A7"/>
    <w:rsid w:val="3CC81813"/>
    <w:rsid w:val="3CCA65A0"/>
    <w:rsid w:val="3CCD2E22"/>
    <w:rsid w:val="3CD47B11"/>
    <w:rsid w:val="3CDD0505"/>
    <w:rsid w:val="3CE4321E"/>
    <w:rsid w:val="3CE9031B"/>
    <w:rsid w:val="3CEB1CB0"/>
    <w:rsid w:val="3CEF257D"/>
    <w:rsid w:val="3CFA044D"/>
    <w:rsid w:val="3D053A0F"/>
    <w:rsid w:val="3D137B35"/>
    <w:rsid w:val="3D1C334C"/>
    <w:rsid w:val="3D204E4A"/>
    <w:rsid w:val="3D2A2EF3"/>
    <w:rsid w:val="3D416AE7"/>
    <w:rsid w:val="3D4536E0"/>
    <w:rsid w:val="3D530520"/>
    <w:rsid w:val="3D5841CC"/>
    <w:rsid w:val="3D621AE3"/>
    <w:rsid w:val="3D675E6C"/>
    <w:rsid w:val="3D846FB4"/>
    <w:rsid w:val="3D9B107B"/>
    <w:rsid w:val="3DA01F03"/>
    <w:rsid w:val="3DA8565B"/>
    <w:rsid w:val="3DAC4CAA"/>
    <w:rsid w:val="3DAE0A59"/>
    <w:rsid w:val="3DB04CF3"/>
    <w:rsid w:val="3DB36281"/>
    <w:rsid w:val="3DBD6101"/>
    <w:rsid w:val="3DC07C55"/>
    <w:rsid w:val="3DC14587"/>
    <w:rsid w:val="3DCB53BD"/>
    <w:rsid w:val="3DCE7EFF"/>
    <w:rsid w:val="3DCF5216"/>
    <w:rsid w:val="3DDB4A13"/>
    <w:rsid w:val="3DE37005"/>
    <w:rsid w:val="3DEA38F6"/>
    <w:rsid w:val="3DED0F67"/>
    <w:rsid w:val="3DFB0C02"/>
    <w:rsid w:val="3E027D14"/>
    <w:rsid w:val="3E046256"/>
    <w:rsid w:val="3E267554"/>
    <w:rsid w:val="3E283851"/>
    <w:rsid w:val="3E2E0306"/>
    <w:rsid w:val="3E343C06"/>
    <w:rsid w:val="3E360DA5"/>
    <w:rsid w:val="3E3F3876"/>
    <w:rsid w:val="3E5A1309"/>
    <w:rsid w:val="3E5A183D"/>
    <w:rsid w:val="3E7010B7"/>
    <w:rsid w:val="3E736CC3"/>
    <w:rsid w:val="3E773B17"/>
    <w:rsid w:val="3E7B3E25"/>
    <w:rsid w:val="3E7D42B5"/>
    <w:rsid w:val="3E7F245F"/>
    <w:rsid w:val="3E8037F2"/>
    <w:rsid w:val="3E8D29A1"/>
    <w:rsid w:val="3E8D73F7"/>
    <w:rsid w:val="3E915C55"/>
    <w:rsid w:val="3E96497F"/>
    <w:rsid w:val="3E9B6953"/>
    <w:rsid w:val="3EA04FA4"/>
    <w:rsid w:val="3EA34561"/>
    <w:rsid w:val="3EA60292"/>
    <w:rsid w:val="3EAA45DA"/>
    <w:rsid w:val="3EB12373"/>
    <w:rsid w:val="3EB9636A"/>
    <w:rsid w:val="3EBD06C0"/>
    <w:rsid w:val="3EBE1C89"/>
    <w:rsid w:val="3EC00E30"/>
    <w:rsid w:val="3EC14AD1"/>
    <w:rsid w:val="3ECB1868"/>
    <w:rsid w:val="3ECC51AB"/>
    <w:rsid w:val="3ECF3085"/>
    <w:rsid w:val="3EF31989"/>
    <w:rsid w:val="3EFA671B"/>
    <w:rsid w:val="3F02701A"/>
    <w:rsid w:val="3F047054"/>
    <w:rsid w:val="3F054628"/>
    <w:rsid w:val="3F172772"/>
    <w:rsid w:val="3F222D71"/>
    <w:rsid w:val="3F2B3DA4"/>
    <w:rsid w:val="3F2B4FCF"/>
    <w:rsid w:val="3F313ED3"/>
    <w:rsid w:val="3F3D45F0"/>
    <w:rsid w:val="3F5B1061"/>
    <w:rsid w:val="3F5D11E7"/>
    <w:rsid w:val="3F66629D"/>
    <w:rsid w:val="3F7C78B5"/>
    <w:rsid w:val="3F840733"/>
    <w:rsid w:val="3F8919ED"/>
    <w:rsid w:val="3F9136F8"/>
    <w:rsid w:val="3F964BCA"/>
    <w:rsid w:val="3F972FC2"/>
    <w:rsid w:val="3F9758CA"/>
    <w:rsid w:val="3FA07FA6"/>
    <w:rsid w:val="3FA55EE0"/>
    <w:rsid w:val="3FC65F59"/>
    <w:rsid w:val="3FC66533"/>
    <w:rsid w:val="3FD40F0D"/>
    <w:rsid w:val="3FD61293"/>
    <w:rsid w:val="3FDB37C7"/>
    <w:rsid w:val="3FE435AC"/>
    <w:rsid w:val="3FE9113B"/>
    <w:rsid w:val="3FEA63F7"/>
    <w:rsid w:val="3FEC1E60"/>
    <w:rsid w:val="3FEE31BB"/>
    <w:rsid w:val="3FF102E8"/>
    <w:rsid w:val="3FFD47F9"/>
    <w:rsid w:val="3FFE6532"/>
    <w:rsid w:val="400C1BCC"/>
    <w:rsid w:val="400F741F"/>
    <w:rsid w:val="4016011B"/>
    <w:rsid w:val="4016284A"/>
    <w:rsid w:val="40170806"/>
    <w:rsid w:val="40170827"/>
    <w:rsid w:val="401A6987"/>
    <w:rsid w:val="401D3D2E"/>
    <w:rsid w:val="401F67A1"/>
    <w:rsid w:val="40225FC4"/>
    <w:rsid w:val="402C5186"/>
    <w:rsid w:val="402F361C"/>
    <w:rsid w:val="40330DB6"/>
    <w:rsid w:val="4041345F"/>
    <w:rsid w:val="404B778B"/>
    <w:rsid w:val="405351C8"/>
    <w:rsid w:val="405E76CC"/>
    <w:rsid w:val="406770FE"/>
    <w:rsid w:val="406833D7"/>
    <w:rsid w:val="406B1132"/>
    <w:rsid w:val="406C2AE0"/>
    <w:rsid w:val="407456FD"/>
    <w:rsid w:val="407F61AA"/>
    <w:rsid w:val="40816F06"/>
    <w:rsid w:val="40817A81"/>
    <w:rsid w:val="40836A8A"/>
    <w:rsid w:val="40843D0D"/>
    <w:rsid w:val="40964037"/>
    <w:rsid w:val="409970D6"/>
    <w:rsid w:val="409A6679"/>
    <w:rsid w:val="40A37C1A"/>
    <w:rsid w:val="40A45DEC"/>
    <w:rsid w:val="40A6613E"/>
    <w:rsid w:val="40A83236"/>
    <w:rsid w:val="40AE1F64"/>
    <w:rsid w:val="40B2738A"/>
    <w:rsid w:val="40B3610A"/>
    <w:rsid w:val="40C010E1"/>
    <w:rsid w:val="40D0487A"/>
    <w:rsid w:val="40E96F49"/>
    <w:rsid w:val="40F94E08"/>
    <w:rsid w:val="40FB7843"/>
    <w:rsid w:val="410575C5"/>
    <w:rsid w:val="41071815"/>
    <w:rsid w:val="410D3F12"/>
    <w:rsid w:val="410D4D32"/>
    <w:rsid w:val="410E190C"/>
    <w:rsid w:val="410F3205"/>
    <w:rsid w:val="411615DD"/>
    <w:rsid w:val="411D5DC8"/>
    <w:rsid w:val="412244BA"/>
    <w:rsid w:val="412459E0"/>
    <w:rsid w:val="41291E6A"/>
    <w:rsid w:val="412949AF"/>
    <w:rsid w:val="413A5583"/>
    <w:rsid w:val="413C3B3A"/>
    <w:rsid w:val="41416DDF"/>
    <w:rsid w:val="414836A2"/>
    <w:rsid w:val="4157696B"/>
    <w:rsid w:val="41592E08"/>
    <w:rsid w:val="415977E8"/>
    <w:rsid w:val="415B73BB"/>
    <w:rsid w:val="416A189C"/>
    <w:rsid w:val="41770627"/>
    <w:rsid w:val="41784D02"/>
    <w:rsid w:val="418534BA"/>
    <w:rsid w:val="41915DC1"/>
    <w:rsid w:val="41922F6C"/>
    <w:rsid w:val="4192696D"/>
    <w:rsid w:val="419867EB"/>
    <w:rsid w:val="419C7804"/>
    <w:rsid w:val="419E0AB3"/>
    <w:rsid w:val="419F0B14"/>
    <w:rsid w:val="41A465CD"/>
    <w:rsid w:val="41A5138A"/>
    <w:rsid w:val="41B53FCE"/>
    <w:rsid w:val="41C4056B"/>
    <w:rsid w:val="41CF5EF7"/>
    <w:rsid w:val="41D173AA"/>
    <w:rsid w:val="41D35E6C"/>
    <w:rsid w:val="41D37BC1"/>
    <w:rsid w:val="41DB1FB0"/>
    <w:rsid w:val="41DC1D9C"/>
    <w:rsid w:val="41DE235F"/>
    <w:rsid w:val="41DF1FBE"/>
    <w:rsid w:val="41E00E8E"/>
    <w:rsid w:val="41EA6660"/>
    <w:rsid w:val="41EC1B4C"/>
    <w:rsid w:val="41ED03B3"/>
    <w:rsid w:val="41F2311B"/>
    <w:rsid w:val="41F26DF7"/>
    <w:rsid w:val="41F52F7E"/>
    <w:rsid w:val="41F6457D"/>
    <w:rsid w:val="41FC73F8"/>
    <w:rsid w:val="41FE403C"/>
    <w:rsid w:val="42026C74"/>
    <w:rsid w:val="420B1F27"/>
    <w:rsid w:val="421B1756"/>
    <w:rsid w:val="421F7C2D"/>
    <w:rsid w:val="42221FF1"/>
    <w:rsid w:val="42263D5C"/>
    <w:rsid w:val="42312BB5"/>
    <w:rsid w:val="4232051E"/>
    <w:rsid w:val="423261F4"/>
    <w:rsid w:val="42326F8A"/>
    <w:rsid w:val="42425228"/>
    <w:rsid w:val="424A70AF"/>
    <w:rsid w:val="4254034E"/>
    <w:rsid w:val="42541166"/>
    <w:rsid w:val="425B2D2D"/>
    <w:rsid w:val="4263008B"/>
    <w:rsid w:val="42702386"/>
    <w:rsid w:val="42875A5D"/>
    <w:rsid w:val="42890CAC"/>
    <w:rsid w:val="428F2B77"/>
    <w:rsid w:val="4291277D"/>
    <w:rsid w:val="429150CF"/>
    <w:rsid w:val="42953666"/>
    <w:rsid w:val="42B363D4"/>
    <w:rsid w:val="42B63FD3"/>
    <w:rsid w:val="42B75B58"/>
    <w:rsid w:val="42C473F4"/>
    <w:rsid w:val="42CB7E00"/>
    <w:rsid w:val="42D5598D"/>
    <w:rsid w:val="42DB4796"/>
    <w:rsid w:val="42DF6389"/>
    <w:rsid w:val="42EA576D"/>
    <w:rsid w:val="42ED6E26"/>
    <w:rsid w:val="42EE3DB9"/>
    <w:rsid w:val="42EE54A4"/>
    <w:rsid w:val="42EF7482"/>
    <w:rsid w:val="42F34862"/>
    <w:rsid w:val="42F80D26"/>
    <w:rsid w:val="42F8282D"/>
    <w:rsid w:val="43010D0D"/>
    <w:rsid w:val="43094BA6"/>
    <w:rsid w:val="430B7F32"/>
    <w:rsid w:val="431139CD"/>
    <w:rsid w:val="43134121"/>
    <w:rsid w:val="4317139E"/>
    <w:rsid w:val="43186D7B"/>
    <w:rsid w:val="431878AF"/>
    <w:rsid w:val="431A50EB"/>
    <w:rsid w:val="43243CDA"/>
    <w:rsid w:val="432A1EF0"/>
    <w:rsid w:val="43360B44"/>
    <w:rsid w:val="43370274"/>
    <w:rsid w:val="433B3327"/>
    <w:rsid w:val="433E473B"/>
    <w:rsid w:val="43406448"/>
    <w:rsid w:val="434B7AE5"/>
    <w:rsid w:val="434E43A7"/>
    <w:rsid w:val="436E10BD"/>
    <w:rsid w:val="43705A97"/>
    <w:rsid w:val="437730E0"/>
    <w:rsid w:val="43795299"/>
    <w:rsid w:val="4380173F"/>
    <w:rsid w:val="438066F6"/>
    <w:rsid w:val="4383149F"/>
    <w:rsid w:val="438A0A2F"/>
    <w:rsid w:val="439126E1"/>
    <w:rsid w:val="43935A68"/>
    <w:rsid w:val="439C54B1"/>
    <w:rsid w:val="43AB4176"/>
    <w:rsid w:val="43B14755"/>
    <w:rsid w:val="43B564A2"/>
    <w:rsid w:val="43B676D8"/>
    <w:rsid w:val="43BB3ED1"/>
    <w:rsid w:val="43BC4918"/>
    <w:rsid w:val="43C05272"/>
    <w:rsid w:val="43C33F73"/>
    <w:rsid w:val="43CD635B"/>
    <w:rsid w:val="43D179BB"/>
    <w:rsid w:val="43E83631"/>
    <w:rsid w:val="43F40B99"/>
    <w:rsid w:val="44185D9F"/>
    <w:rsid w:val="441C0074"/>
    <w:rsid w:val="441C221E"/>
    <w:rsid w:val="44246322"/>
    <w:rsid w:val="442505A8"/>
    <w:rsid w:val="443D6DED"/>
    <w:rsid w:val="444870CF"/>
    <w:rsid w:val="444A08E2"/>
    <w:rsid w:val="444E2A14"/>
    <w:rsid w:val="44527879"/>
    <w:rsid w:val="445656C8"/>
    <w:rsid w:val="445719C7"/>
    <w:rsid w:val="445C1AAD"/>
    <w:rsid w:val="445D1928"/>
    <w:rsid w:val="445F3A72"/>
    <w:rsid w:val="446217B4"/>
    <w:rsid w:val="446E3EEA"/>
    <w:rsid w:val="44741EA5"/>
    <w:rsid w:val="447B5EBD"/>
    <w:rsid w:val="44827226"/>
    <w:rsid w:val="448F587A"/>
    <w:rsid w:val="44916157"/>
    <w:rsid w:val="44917138"/>
    <w:rsid w:val="449244FE"/>
    <w:rsid w:val="44987EE6"/>
    <w:rsid w:val="44AA4F4A"/>
    <w:rsid w:val="44AD71B1"/>
    <w:rsid w:val="44AF57E6"/>
    <w:rsid w:val="44C75EA4"/>
    <w:rsid w:val="44D32E81"/>
    <w:rsid w:val="44D506E8"/>
    <w:rsid w:val="44D87A91"/>
    <w:rsid w:val="44D87B5E"/>
    <w:rsid w:val="44DA6B77"/>
    <w:rsid w:val="44DC68F2"/>
    <w:rsid w:val="44E6098C"/>
    <w:rsid w:val="44E74452"/>
    <w:rsid w:val="44F47685"/>
    <w:rsid w:val="44FE054C"/>
    <w:rsid w:val="45026B4B"/>
    <w:rsid w:val="450E35E8"/>
    <w:rsid w:val="452245C3"/>
    <w:rsid w:val="452C515D"/>
    <w:rsid w:val="453053B7"/>
    <w:rsid w:val="45361AF5"/>
    <w:rsid w:val="45403618"/>
    <w:rsid w:val="45451F57"/>
    <w:rsid w:val="4545342E"/>
    <w:rsid w:val="45495C5B"/>
    <w:rsid w:val="45555CC4"/>
    <w:rsid w:val="45576887"/>
    <w:rsid w:val="45597BE7"/>
    <w:rsid w:val="455B289F"/>
    <w:rsid w:val="45693BE0"/>
    <w:rsid w:val="457B7D8B"/>
    <w:rsid w:val="45800807"/>
    <w:rsid w:val="45936C80"/>
    <w:rsid w:val="45951D4B"/>
    <w:rsid w:val="459F48C9"/>
    <w:rsid w:val="45A0503B"/>
    <w:rsid w:val="45A17E62"/>
    <w:rsid w:val="45AF16F9"/>
    <w:rsid w:val="45B26485"/>
    <w:rsid w:val="45B3640D"/>
    <w:rsid w:val="45B419AC"/>
    <w:rsid w:val="45B41BB8"/>
    <w:rsid w:val="45B64C9D"/>
    <w:rsid w:val="45B72685"/>
    <w:rsid w:val="45BC6202"/>
    <w:rsid w:val="45C7523C"/>
    <w:rsid w:val="45CC097F"/>
    <w:rsid w:val="45F70ED7"/>
    <w:rsid w:val="45F9287D"/>
    <w:rsid w:val="46011BB4"/>
    <w:rsid w:val="460B117C"/>
    <w:rsid w:val="46125032"/>
    <w:rsid w:val="461B2FBF"/>
    <w:rsid w:val="4627406A"/>
    <w:rsid w:val="463014CD"/>
    <w:rsid w:val="463616C5"/>
    <w:rsid w:val="463C260C"/>
    <w:rsid w:val="46405C59"/>
    <w:rsid w:val="464C5AA6"/>
    <w:rsid w:val="46660DBD"/>
    <w:rsid w:val="46664E15"/>
    <w:rsid w:val="466735FF"/>
    <w:rsid w:val="46694B13"/>
    <w:rsid w:val="46747D70"/>
    <w:rsid w:val="467C54E8"/>
    <w:rsid w:val="467E203D"/>
    <w:rsid w:val="468243AB"/>
    <w:rsid w:val="469F17F9"/>
    <w:rsid w:val="46A579CD"/>
    <w:rsid w:val="46A7076E"/>
    <w:rsid w:val="46A80B8A"/>
    <w:rsid w:val="46AC538B"/>
    <w:rsid w:val="46B4196B"/>
    <w:rsid w:val="46C13871"/>
    <w:rsid w:val="46C530CD"/>
    <w:rsid w:val="46CF37C4"/>
    <w:rsid w:val="46D17EBE"/>
    <w:rsid w:val="46D94BBF"/>
    <w:rsid w:val="46D963FC"/>
    <w:rsid w:val="46DF6586"/>
    <w:rsid w:val="46E1772A"/>
    <w:rsid w:val="46EF7494"/>
    <w:rsid w:val="46F40E21"/>
    <w:rsid w:val="47011606"/>
    <w:rsid w:val="470346AA"/>
    <w:rsid w:val="470D72BD"/>
    <w:rsid w:val="47214EDF"/>
    <w:rsid w:val="472F06AB"/>
    <w:rsid w:val="47356FBE"/>
    <w:rsid w:val="473C176C"/>
    <w:rsid w:val="474D599A"/>
    <w:rsid w:val="47511D60"/>
    <w:rsid w:val="475843B2"/>
    <w:rsid w:val="475F2B99"/>
    <w:rsid w:val="476244F2"/>
    <w:rsid w:val="477C3B28"/>
    <w:rsid w:val="477E032E"/>
    <w:rsid w:val="47867BCC"/>
    <w:rsid w:val="478E453E"/>
    <w:rsid w:val="47957071"/>
    <w:rsid w:val="479B2774"/>
    <w:rsid w:val="479F2DF8"/>
    <w:rsid w:val="479F737F"/>
    <w:rsid w:val="47A353A7"/>
    <w:rsid w:val="47AB76B1"/>
    <w:rsid w:val="47AE44B7"/>
    <w:rsid w:val="47C77DC0"/>
    <w:rsid w:val="47D266DA"/>
    <w:rsid w:val="47DC0A6B"/>
    <w:rsid w:val="47E276C0"/>
    <w:rsid w:val="47EB7AFA"/>
    <w:rsid w:val="47F026EB"/>
    <w:rsid w:val="47F1513F"/>
    <w:rsid w:val="47F37D49"/>
    <w:rsid w:val="47F4770A"/>
    <w:rsid w:val="47F9603C"/>
    <w:rsid w:val="47FB27C9"/>
    <w:rsid w:val="480D0DCA"/>
    <w:rsid w:val="481054A8"/>
    <w:rsid w:val="48225668"/>
    <w:rsid w:val="48225B1F"/>
    <w:rsid w:val="482E2FEE"/>
    <w:rsid w:val="48332AF8"/>
    <w:rsid w:val="48335942"/>
    <w:rsid w:val="48385380"/>
    <w:rsid w:val="483A6A2C"/>
    <w:rsid w:val="483D7B7F"/>
    <w:rsid w:val="484627A2"/>
    <w:rsid w:val="484964B9"/>
    <w:rsid w:val="484C5CEA"/>
    <w:rsid w:val="485204F9"/>
    <w:rsid w:val="48620FB9"/>
    <w:rsid w:val="48627B3C"/>
    <w:rsid w:val="48684976"/>
    <w:rsid w:val="486C4DD6"/>
    <w:rsid w:val="48833CC7"/>
    <w:rsid w:val="48854524"/>
    <w:rsid w:val="48890B5E"/>
    <w:rsid w:val="48936538"/>
    <w:rsid w:val="489E2C65"/>
    <w:rsid w:val="48A043CD"/>
    <w:rsid w:val="48A24E4E"/>
    <w:rsid w:val="48A93D2D"/>
    <w:rsid w:val="48AE6A1C"/>
    <w:rsid w:val="48B4318C"/>
    <w:rsid w:val="48B86C5E"/>
    <w:rsid w:val="48BA4A16"/>
    <w:rsid w:val="48BF45D4"/>
    <w:rsid w:val="48C019A3"/>
    <w:rsid w:val="48C32C79"/>
    <w:rsid w:val="48C578E4"/>
    <w:rsid w:val="48D077F5"/>
    <w:rsid w:val="48D5499A"/>
    <w:rsid w:val="48E74441"/>
    <w:rsid w:val="48F12292"/>
    <w:rsid w:val="48F203F6"/>
    <w:rsid w:val="48F567EB"/>
    <w:rsid w:val="48FF501A"/>
    <w:rsid w:val="490B712D"/>
    <w:rsid w:val="490F5A9F"/>
    <w:rsid w:val="490F67CE"/>
    <w:rsid w:val="490F772A"/>
    <w:rsid w:val="49176D4E"/>
    <w:rsid w:val="491F42D0"/>
    <w:rsid w:val="49257EE1"/>
    <w:rsid w:val="492A36E5"/>
    <w:rsid w:val="492E4260"/>
    <w:rsid w:val="49302655"/>
    <w:rsid w:val="493A5912"/>
    <w:rsid w:val="493C775F"/>
    <w:rsid w:val="49407B71"/>
    <w:rsid w:val="49434B6C"/>
    <w:rsid w:val="494C4B54"/>
    <w:rsid w:val="494F286B"/>
    <w:rsid w:val="494F58C3"/>
    <w:rsid w:val="49541169"/>
    <w:rsid w:val="49556C3D"/>
    <w:rsid w:val="4958484D"/>
    <w:rsid w:val="495F0BC8"/>
    <w:rsid w:val="495F64F7"/>
    <w:rsid w:val="4960086C"/>
    <w:rsid w:val="496439E8"/>
    <w:rsid w:val="49655D89"/>
    <w:rsid w:val="49685509"/>
    <w:rsid w:val="4969458C"/>
    <w:rsid w:val="496D12F3"/>
    <w:rsid w:val="49835EC1"/>
    <w:rsid w:val="49874DF6"/>
    <w:rsid w:val="49892E2E"/>
    <w:rsid w:val="49895397"/>
    <w:rsid w:val="498D0B82"/>
    <w:rsid w:val="498D7E16"/>
    <w:rsid w:val="4991452D"/>
    <w:rsid w:val="49924E09"/>
    <w:rsid w:val="49936E13"/>
    <w:rsid w:val="49960C88"/>
    <w:rsid w:val="49A15F10"/>
    <w:rsid w:val="49A26E8E"/>
    <w:rsid w:val="49A46A98"/>
    <w:rsid w:val="49A777C0"/>
    <w:rsid w:val="49A86745"/>
    <w:rsid w:val="49BA3F7B"/>
    <w:rsid w:val="49C947EA"/>
    <w:rsid w:val="49D45CD1"/>
    <w:rsid w:val="49D543AC"/>
    <w:rsid w:val="49E14E8A"/>
    <w:rsid w:val="49E64022"/>
    <w:rsid w:val="49E8706E"/>
    <w:rsid w:val="49F10450"/>
    <w:rsid w:val="49F54B35"/>
    <w:rsid w:val="4A07268E"/>
    <w:rsid w:val="4A0932DF"/>
    <w:rsid w:val="4A0C24DE"/>
    <w:rsid w:val="4A127DB5"/>
    <w:rsid w:val="4A155D52"/>
    <w:rsid w:val="4A22660A"/>
    <w:rsid w:val="4A296A91"/>
    <w:rsid w:val="4A302EBC"/>
    <w:rsid w:val="4A4873F9"/>
    <w:rsid w:val="4A490C98"/>
    <w:rsid w:val="4A57193B"/>
    <w:rsid w:val="4A62050C"/>
    <w:rsid w:val="4A7A046C"/>
    <w:rsid w:val="4A7A665F"/>
    <w:rsid w:val="4A851D59"/>
    <w:rsid w:val="4A885BE5"/>
    <w:rsid w:val="4A922970"/>
    <w:rsid w:val="4A954950"/>
    <w:rsid w:val="4A963EF4"/>
    <w:rsid w:val="4A9700AB"/>
    <w:rsid w:val="4A9A2433"/>
    <w:rsid w:val="4AAA04F7"/>
    <w:rsid w:val="4AAD72C9"/>
    <w:rsid w:val="4AB3018E"/>
    <w:rsid w:val="4AB368C6"/>
    <w:rsid w:val="4AB91E0F"/>
    <w:rsid w:val="4ABA4771"/>
    <w:rsid w:val="4AC01FD1"/>
    <w:rsid w:val="4AC32174"/>
    <w:rsid w:val="4AC46207"/>
    <w:rsid w:val="4AC5070C"/>
    <w:rsid w:val="4AC94E6D"/>
    <w:rsid w:val="4ACE184D"/>
    <w:rsid w:val="4AD42DE7"/>
    <w:rsid w:val="4AD64D94"/>
    <w:rsid w:val="4AE73F8A"/>
    <w:rsid w:val="4AEA1BD9"/>
    <w:rsid w:val="4B093234"/>
    <w:rsid w:val="4B0E6384"/>
    <w:rsid w:val="4B2916DA"/>
    <w:rsid w:val="4B2C5485"/>
    <w:rsid w:val="4B320440"/>
    <w:rsid w:val="4B3C4E66"/>
    <w:rsid w:val="4B3E024C"/>
    <w:rsid w:val="4B3E7CE3"/>
    <w:rsid w:val="4B59268F"/>
    <w:rsid w:val="4B594138"/>
    <w:rsid w:val="4B607AF6"/>
    <w:rsid w:val="4B671EEB"/>
    <w:rsid w:val="4B6C72A1"/>
    <w:rsid w:val="4B7D098D"/>
    <w:rsid w:val="4B806E8C"/>
    <w:rsid w:val="4B843807"/>
    <w:rsid w:val="4B87288D"/>
    <w:rsid w:val="4B8923D2"/>
    <w:rsid w:val="4B8A523F"/>
    <w:rsid w:val="4B8C4FD8"/>
    <w:rsid w:val="4B91411C"/>
    <w:rsid w:val="4B922D36"/>
    <w:rsid w:val="4B9630A4"/>
    <w:rsid w:val="4B976C88"/>
    <w:rsid w:val="4BA2306C"/>
    <w:rsid w:val="4BA64BFD"/>
    <w:rsid w:val="4BAA121D"/>
    <w:rsid w:val="4BAD072E"/>
    <w:rsid w:val="4BB07767"/>
    <w:rsid w:val="4BB36BCD"/>
    <w:rsid w:val="4BC11AFB"/>
    <w:rsid w:val="4BD25C65"/>
    <w:rsid w:val="4BD33BA1"/>
    <w:rsid w:val="4BD878B4"/>
    <w:rsid w:val="4BE47F28"/>
    <w:rsid w:val="4BED1E50"/>
    <w:rsid w:val="4BF22D96"/>
    <w:rsid w:val="4BF93F4E"/>
    <w:rsid w:val="4C08290C"/>
    <w:rsid w:val="4C0B7C5F"/>
    <w:rsid w:val="4C115595"/>
    <w:rsid w:val="4C1A2420"/>
    <w:rsid w:val="4C1A7E8E"/>
    <w:rsid w:val="4C1E502E"/>
    <w:rsid w:val="4C2229D6"/>
    <w:rsid w:val="4C302FBF"/>
    <w:rsid w:val="4C3208FC"/>
    <w:rsid w:val="4C327EC9"/>
    <w:rsid w:val="4C347661"/>
    <w:rsid w:val="4C46245B"/>
    <w:rsid w:val="4C4A24C4"/>
    <w:rsid w:val="4C506B64"/>
    <w:rsid w:val="4C530FF3"/>
    <w:rsid w:val="4C6036D8"/>
    <w:rsid w:val="4C6664D9"/>
    <w:rsid w:val="4C6A28FF"/>
    <w:rsid w:val="4C702137"/>
    <w:rsid w:val="4C7951AC"/>
    <w:rsid w:val="4C7A0F13"/>
    <w:rsid w:val="4C867150"/>
    <w:rsid w:val="4C934CC8"/>
    <w:rsid w:val="4C986DAE"/>
    <w:rsid w:val="4C9B4581"/>
    <w:rsid w:val="4CA61A08"/>
    <w:rsid w:val="4CB53463"/>
    <w:rsid w:val="4CC43231"/>
    <w:rsid w:val="4CDC0DEF"/>
    <w:rsid w:val="4CE22F06"/>
    <w:rsid w:val="4CE3699E"/>
    <w:rsid w:val="4CE876A1"/>
    <w:rsid w:val="4CF0390D"/>
    <w:rsid w:val="4CF25769"/>
    <w:rsid w:val="4CFA74FB"/>
    <w:rsid w:val="4D0C2394"/>
    <w:rsid w:val="4D0D18F9"/>
    <w:rsid w:val="4D176BC1"/>
    <w:rsid w:val="4D3608DC"/>
    <w:rsid w:val="4D430789"/>
    <w:rsid w:val="4D4321E1"/>
    <w:rsid w:val="4D5136F8"/>
    <w:rsid w:val="4D554E8D"/>
    <w:rsid w:val="4D5863E0"/>
    <w:rsid w:val="4D634C7F"/>
    <w:rsid w:val="4D6643D5"/>
    <w:rsid w:val="4D774332"/>
    <w:rsid w:val="4D7C35B0"/>
    <w:rsid w:val="4D8066AF"/>
    <w:rsid w:val="4D8A384B"/>
    <w:rsid w:val="4DA4646B"/>
    <w:rsid w:val="4DAC4351"/>
    <w:rsid w:val="4DAC4800"/>
    <w:rsid w:val="4DB041EA"/>
    <w:rsid w:val="4DB42EB0"/>
    <w:rsid w:val="4DB61A68"/>
    <w:rsid w:val="4DBA6E98"/>
    <w:rsid w:val="4DBE1589"/>
    <w:rsid w:val="4DC119B5"/>
    <w:rsid w:val="4DD03C33"/>
    <w:rsid w:val="4DD40443"/>
    <w:rsid w:val="4DDB7C9E"/>
    <w:rsid w:val="4DDE11DE"/>
    <w:rsid w:val="4DFB2B17"/>
    <w:rsid w:val="4DFB30C4"/>
    <w:rsid w:val="4E0157F4"/>
    <w:rsid w:val="4E06379A"/>
    <w:rsid w:val="4E09515F"/>
    <w:rsid w:val="4E0F4958"/>
    <w:rsid w:val="4E131879"/>
    <w:rsid w:val="4E1F3705"/>
    <w:rsid w:val="4E250F56"/>
    <w:rsid w:val="4E292738"/>
    <w:rsid w:val="4E2E3494"/>
    <w:rsid w:val="4E2E7FDA"/>
    <w:rsid w:val="4E386039"/>
    <w:rsid w:val="4E3D6857"/>
    <w:rsid w:val="4E4340BC"/>
    <w:rsid w:val="4E474A80"/>
    <w:rsid w:val="4E4962DF"/>
    <w:rsid w:val="4E500FA6"/>
    <w:rsid w:val="4E680BD5"/>
    <w:rsid w:val="4E6A4B6D"/>
    <w:rsid w:val="4E72352B"/>
    <w:rsid w:val="4E761D54"/>
    <w:rsid w:val="4E762031"/>
    <w:rsid w:val="4E7A353E"/>
    <w:rsid w:val="4E7B7920"/>
    <w:rsid w:val="4E7E31ED"/>
    <w:rsid w:val="4E81749A"/>
    <w:rsid w:val="4E974501"/>
    <w:rsid w:val="4EA25FC0"/>
    <w:rsid w:val="4EA370B2"/>
    <w:rsid w:val="4EA816D4"/>
    <w:rsid w:val="4EAC061F"/>
    <w:rsid w:val="4EAE4D12"/>
    <w:rsid w:val="4EBC4D27"/>
    <w:rsid w:val="4EC325DD"/>
    <w:rsid w:val="4EC51D49"/>
    <w:rsid w:val="4EC56ACB"/>
    <w:rsid w:val="4ED600FB"/>
    <w:rsid w:val="4ED7551B"/>
    <w:rsid w:val="4EDC031A"/>
    <w:rsid w:val="4EDD3614"/>
    <w:rsid w:val="4EE71BCC"/>
    <w:rsid w:val="4EE730E9"/>
    <w:rsid w:val="4EEC05F8"/>
    <w:rsid w:val="4EF56A8F"/>
    <w:rsid w:val="4EF911DD"/>
    <w:rsid w:val="4F002088"/>
    <w:rsid w:val="4F0448F4"/>
    <w:rsid w:val="4F0A4710"/>
    <w:rsid w:val="4F1B5A70"/>
    <w:rsid w:val="4F212C88"/>
    <w:rsid w:val="4F2A68FF"/>
    <w:rsid w:val="4F2D3ACE"/>
    <w:rsid w:val="4F3E2B31"/>
    <w:rsid w:val="4F4011E6"/>
    <w:rsid w:val="4F561F16"/>
    <w:rsid w:val="4F5E1A05"/>
    <w:rsid w:val="4F607AF7"/>
    <w:rsid w:val="4F63643C"/>
    <w:rsid w:val="4F69639F"/>
    <w:rsid w:val="4F6F4704"/>
    <w:rsid w:val="4F7A72D0"/>
    <w:rsid w:val="4F7F46F9"/>
    <w:rsid w:val="4F82470A"/>
    <w:rsid w:val="4F824F16"/>
    <w:rsid w:val="4F9A3927"/>
    <w:rsid w:val="4F9B4D96"/>
    <w:rsid w:val="4F9F514C"/>
    <w:rsid w:val="4FA3310F"/>
    <w:rsid w:val="4FBE653B"/>
    <w:rsid w:val="4FC130DF"/>
    <w:rsid w:val="4FCB057D"/>
    <w:rsid w:val="4FCB0EB9"/>
    <w:rsid w:val="4FCB2845"/>
    <w:rsid w:val="4FD50B66"/>
    <w:rsid w:val="4FD55283"/>
    <w:rsid w:val="4FDC5E1B"/>
    <w:rsid w:val="4FDD6009"/>
    <w:rsid w:val="4FDE0971"/>
    <w:rsid w:val="4FE41EB1"/>
    <w:rsid w:val="4FF16DF7"/>
    <w:rsid w:val="4FF3560C"/>
    <w:rsid w:val="4FF972DA"/>
    <w:rsid w:val="50024BDD"/>
    <w:rsid w:val="500269FB"/>
    <w:rsid w:val="50034089"/>
    <w:rsid w:val="500521DB"/>
    <w:rsid w:val="50081E1F"/>
    <w:rsid w:val="500828B9"/>
    <w:rsid w:val="500A5FB8"/>
    <w:rsid w:val="500B02E5"/>
    <w:rsid w:val="501469A5"/>
    <w:rsid w:val="502A10FD"/>
    <w:rsid w:val="502A2B94"/>
    <w:rsid w:val="503F7759"/>
    <w:rsid w:val="50455FE3"/>
    <w:rsid w:val="50485956"/>
    <w:rsid w:val="504A0386"/>
    <w:rsid w:val="504B69D4"/>
    <w:rsid w:val="50504ACD"/>
    <w:rsid w:val="506E3090"/>
    <w:rsid w:val="506F14E1"/>
    <w:rsid w:val="50716541"/>
    <w:rsid w:val="50755F82"/>
    <w:rsid w:val="50892728"/>
    <w:rsid w:val="509007CD"/>
    <w:rsid w:val="50974FB7"/>
    <w:rsid w:val="50A45915"/>
    <w:rsid w:val="50AB4A92"/>
    <w:rsid w:val="50B14CC8"/>
    <w:rsid w:val="50C07CC2"/>
    <w:rsid w:val="50C67392"/>
    <w:rsid w:val="50CF1580"/>
    <w:rsid w:val="50D337E9"/>
    <w:rsid w:val="50E63D0C"/>
    <w:rsid w:val="50FE4613"/>
    <w:rsid w:val="51005DC6"/>
    <w:rsid w:val="510126C5"/>
    <w:rsid w:val="510A3067"/>
    <w:rsid w:val="511564FD"/>
    <w:rsid w:val="511B08DB"/>
    <w:rsid w:val="511D0E02"/>
    <w:rsid w:val="512558E5"/>
    <w:rsid w:val="512D1462"/>
    <w:rsid w:val="512F4CBA"/>
    <w:rsid w:val="51417EFD"/>
    <w:rsid w:val="514932DD"/>
    <w:rsid w:val="514C0D49"/>
    <w:rsid w:val="514C2B09"/>
    <w:rsid w:val="514E1044"/>
    <w:rsid w:val="515F32B4"/>
    <w:rsid w:val="5163038D"/>
    <w:rsid w:val="516C42D2"/>
    <w:rsid w:val="517A6AAF"/>
    <w:rsid w:val="517E1DB4"/>
    <w:rsid w:val="51846CF3"/>
    <w:rsid w:val="518F233F"/>
    <w:rsid w:val="51940D0E"/>
    <w:rsid w:val="51A036DF"/>
    <w:rsid w:val="51A228CE"/>
    <w:rsid w:val="51AB32B3"/>
    <w:rsid w:val="51AC3692"/>
    <w:rsid w:val="51BC7459"/>
    <w:rsid w:val="51BD6F9F"/>
    <w:rsid w:val="51CA7584"/>
    <w:rsid w:val="51CF4381"/>
    <w:rsid w:val="51D23C4D"/>
    <w:rsid w:val="51D64392"/>
    <w:rsid w:val="51D76001"/>
    <w:rsid w:val="51E57186"/>
    <w:rsid w:val="51ED6715"/>
    <w:rsid w:val="51F223E7"/>
    <w:rsid w:val="52054FD8"/>
    <w:rsid w:val="520801CD"/>
    <w:rsid w:val="52080B4E"/>
    <w:rsid w:val="520C7A02"/>
    <w:rsid w:val="520C7E4C"/>
    <w:rsid w:val="5211321D"/>
    <w:rsid w:val="521A2EDD"/>
    <w:rsid w:val="521C1418"/>
    <w:rsid w:val="52213A80"/>
    <w:rsid w:val="52226099"/>
    <w:rsid w:val="522E21AC"/>
    <w:rsid w:val="522F6471"/>
    <w:rsid w:val="523B3520"/>
    <w:rsid w:val="52482F6B"/>
    <w:rsid w:val="52485FE7"/>
    <w:rsid w:val="524948E3"/>
    <w:rsid w:val="524D3B1E"/>
    <w:rsid w:val="525B70D6"/>
    <w:rsid w:val="526256F5"/>
    <w:rsid w:val="52672ABA"/>
    <w:rsid w:val="52705487"/>
    <w:rsid w:val="527C4F9D"/>
    <w:rsid w:val="5281528C"/>
    <w:rsid w:val="528A1EC6"/>
    <w:rsid w:val="5291490D"/>
    <w:rsid w:val="52A06B6F"/>
    <w:rsid w:val="52A75B78"/>
    <w:rsid w:val="52A85397"/>
    <w:rsid w:val="52B60CA8"/>
    <w:rsid w:val="52B717C6"/>
    <w:rsid w:val="52C441EE"/>
    <w:rsid w:val="52CC54C4"/>
    <w:rsid w:val="52CE7213"/>
    <w:rsid w:val="52D428EC"/>
    <w:rsid w:val="52DA07E5"/>
    <w:rsid w:val="52F06EEB"/>
    <w:rsid w:val="52F93F26"/>
    <w:rsid w:val="52FB5C13"/>
    <w:rsid w:val="52FC3155"/>
    <w:rsid w:val="53094AE3"/>
    <w:rsid w:val="530F186B"/>
    <w:rsid w:val="5313058E"/>
    <w:rsid w:val="531C1E6F"/>
    <w:rsid w:val="53206AC2"/>
    <w:rsid w:val="532164FC"/>
    <w:rsid w:val="53243B4D"/>
    <w:rsid w:val="53257D18"/>
    <w:rsid w:val="53302A56"/>
    <w:rsid w:val="53480B2D"/>
    <w:rsid w:val="5349492B"/>
    <w:rsid w:val="534F21C9"/>
    <w:rsid w:val="53513ED7"/>
    <w:rsid w:val="53603BE2"/>
    <w:rsid w:val="53605827"/>
    <w:rsid w:val="5361445F"/>
    <w:rsid w:val="53650CE1"/>
    <w:rsid w:val="537D6A18"/>
    <w:rsid w:val="538836A5"/>
    <w:rsid w:val="538A1F5B"/>
    <w:rsid w:val="538D73D2"/>
    <w:rsid w:val="53963DFD"/>
    <w:rsid w:val="53A75E68"/>
    <w:rsid w:val="53AC3ED1"/>
    <w:rsid w:val="53AF26EC"/>
    <w:rsid w:val="53B130F5"/>
    <w:rsid w:val="53BD5F0F"/>
    <w:rsid w:val="53BF2DD0"/>
    <w:rsid w:val="53C14D6F"/>
    <w:rsid w:val="53C74C41"/>
    <w:rsid w:val="53C85BAD"/>
    <w:rsid w:val="53CC45A6"/>
    <w:rsid w:val="53D403B0"/>
    <w:rsid w:val="53DB66D6"/>
    <w:rsid w:val="53E06312"/>
    <w:rsid w:val="53E126F6"/>
    <w:rsid w:val="53E22F3C"/>
    <w:rsid w:val="53F7266D"/>
    <w:rsid w:val="54032B23"/>
    <w:rsid w:val="5419667C"/>
    <w:rsid w:val="541F2591"/>
    <w:rsid w:val="54214814"/>
    <w:rsid w:val="542B1DC0"/>
    <w:rsid w:val="542C121F"/>
    <w:rsid w:val="542F436E"/>
    <w:rsid w:val="54345969"/>
    <w:rsid w:val="54362406"/>
    <w:rsid w:val="54384162"/>
    <w:rsid w:val="543A5A7F"/>
    <w:rsid w:val="54402E4F"/>
    <w:rsid w:val="544137D0"/>
    <w:rsid w:val="544F006D"/>
    <w:rsid w:val="544F4BDF"/>
    <w:rsid w:val="5452542D"/>
    <w:rsid w:val="54555B8C"/>
    <w:rsid w:val="545A58D6"/>
    <w:rsid w:val="5462551F"/>
    <w:rsid w:val="54660D5D"/>
    <w:rsid w:val="54670302"/>
    <w:rsid w:val="546940C0"/>
    <w:rsid w:val="546A0CB4"/>
    <w:rsid w:val="546A4FEA"/>
    <w:rsid w:val="546E57E8"/>
    <w:rsid w:val="546F2E6A"/>
    <w:rsid w:val="54785248"/>
    <w:rsid w:val="54785F1C"/>
    <w:rsid w:val="54787A0E"/>
    <w:rsid w:val="548956B8"/>
    <w:rsid w:val="5497725F"/>
    <w:rsid w:val="54A33F83"/>
    <w:rsid w:val="54A76E4A"/>
    <w:rsid w:val="54AE1A7C"/>
    <w:rsid w:val="54B13D20"/>
    <w:rsid w:val="54B2518E"/>
    <w:rsid w:val="54B534BC"/>
    <w:rsid w:val="54C14DB7"/>
    <w:rsid w:val="54C34258"/>
    <w:rsid w:val="54C969A5"/>
    <w:rsid w:val="54CA5D93"/>
    <w:rsid w:val="54E07BAD"/>
    <w:rsid w:val="54F47BF8"/>
    <w:rsid w:val="54F72CAF"/>
    <w:rsid w:val="54F74F35"/>
    <w:rsid w:val="5506002C"/>
    <w:rsid w:val="55074EEA"/>
    <w:rsid w:val="551460B6"/>
    <w:rsid w:val="551E636A"/>
    <w:rsid w:val="55276463"/>
    <w:rsid w:val="55285DB0"/>
    <w:rsid w:val="55332835"/>
    <w:rsid w:val="55376345"/>
    <w:rsid w:val="55483153"/>
    <w:rsid w:val="555016A0"/>
    <w:rsid w:val="556267FA"/>
    <w:rsid w:val="55627AC5"/>
    <w:rsid w:val="556837D7"/>
    <w:rsid w:val="55754274"/>
    <w:rsid w:val="557737AD"/>
    <w:rsid w:val="557D7174"/>
    <w:rsid w:val="55813370"/>
    <w:rsid w:val="55830C82"/>
    <w:rsid w:val="558B635E"/>
    <w:rsid w:val="559711A5"/>
    <w:rsid w:val="55AB1364"/>
    <w:rsid w:val="55AC37E9"/>
    <w:rsid w:val="55AD673B"/>
    <w:rsid w:val="55BD5DEA"/>
    <w:rsid w:val="55CD3960"/>
    <w:rsid w:val="55CD49CB"/>
    <w:rsid w:val="55CE2EBC"/>
    <w:rsid w:val="55CF0832"/>
    <w:rsid w:val="55CF6604"/>
    <w:rsid w:val="55D508BA"/>
    <w:rsid w:val="55DA77CF"/>
    <w:rsid w:val="55DC2164"/>
    <w:rsid w:val="55E17B9E"/>
    <w:rsid w:val="55E80987"/>
    <w:rsid w:val="55E83A1B"/>
    <w:rsid w:val="55E94688"/>
    <w:rsid w:val="55EB3B4D"/>
    <w:rsid w:val="55F42884"/>
    <w:rsid w:val="55F70124"/>
    <w:rsid w:val="55F85964"/>
    <w:rsid w:val="560D329B"/>
    <w:rsid w:val="56271649"/>
    <w:rsid w:val="562C769C"/>
    <w:rsid w:val="562D39ED"/>
    <w:rsid w:val="56326503"/>
    <w:rsid w:val="56526F29"/>
    <w:rsid w:val="56542843"/>
    <w:rsid w:val="56553675"/>
    <w:rsid w:val="56591F11"/>
    <w:rsid w:val="56597273"/>
    <w:rsid w:val="565B7709"/>
    <w:rsid w:val="56651807"/>
    <w:rsid w:val="56657911"/>
    <w:rsid w:val="566D0271"/>
    <w:rsid w:val="56760892"/>
    <w:rsid w:val="56773C60"/>
    <w:rsid w:val="567E5503"/>
    <w:rsid w:val="567F5622"/>
    <w:rsid w:val="568079AE"/>
    <w:rsid w:val="56822CA2"/>
    <w:rsid w:val="56835CE6"/>
    <w:rsid w:val="568C1F8E"/>
    <w:rsid w:val="569C1A91"/>
    <w:rsid w:val="56A24DF0"/>
    <w:rsid w:val="56B21036"/>
    <w:rsid w:val="56B440F1"/>
    <w:rsid w:val="56B537F7"/>
    <w:rsid w:val="56BA409A"/>
    <w:rsid w:val="56C172EC"/>
    <w:rsid w:val="56C53E47"/>
    <w:rsid w:val="56CA1EE2"/>
    <w:rsid w:val="56CF612D"/>
    <w:rsid w:val="56D27FDD"/>
    <w:rsid w:val="56DB205B"/>
    <w:rsid w:val="56E22D67"/>
    <w:rsid w:val="56E36194"/>
    <w:rsid w:val="56E57FF1"/>
    <w:rsid w:val="56E80DA3"/>
    <w:rsid w:val="56F82DDA"/>
    <w:rsid w:val="570518AA"/>
    <w:rsid w:val="571832C4"/>
    <w:rsid w:val="571E63DF"/>
    <w:rsid w:val="571F2051"/>
    <w:rsid w:val="572062E1"/>
    <w:rsid w:val="57255849"/>
    <w:rsid w:val="57294410"/>
    <w:rsid w:val="572C5D6F"/>
    <w:rsid w:val="573B3A1A"/>
    <w:rsid w:val="57460784"/>
    <w:rsid w:val="57497EB1"/>
    <w:rsid w:val="57555235"/>
    <w:rsid w:val="57587845"/>
    <w:rsid w:val="575D2406"/>
    <w:rsid w:val="576C73B5"/>
    <w:rsid w:val="5778511F"/>
    <w:rsid w:val="577E4098"/>
    <w:rsid w:val="578F0061"/>
    <w:rsid w:val="579119E2"/>
    <w:rsid w:val="579F29B9"/>
    <w:rsid w:val="579F38AD"/>
    <w:rsid w:val="57AF3E22"/>
    <w:rsid w:val="57B35D00"/>
    <w:rsid w:val="57B41FCC"/>
    <w:rsid w:val="57B8489D"/>
    <w:rsid w:val="57BE2C70"/>
    <w:rsid w:val="57C168BE"/>
    <w:rsid w:val="57C6094F"/>
    <w:rsid w:val="57D31AA5"/>
    <w:rsid w:val="57DF72E0"/>
    <w:rsid w:val="57E70032"/>
    <w:rsid w:val="57E87E75"/>
    <w:rsid w:val="57EA017C"/>
    <w:rsid w:val="57EE418B"/>
    <w:rsid w:val="57F6778E"/>
    <w:rsid w:val="5804575C"/>
    <w:rsid w:val="58251C18"/>
    <w:rsid w:val="58260D61"/>
    <w:rsid w:val="58282D5E"/>
    <w:rsid w:val="582C7FEE"/>
    <w:rsid w:val="58304BEB"/>
    <w:rsid w:val="58395570"/>
    <w:rsid w:val="583A130E"/>
    <w:rsid w:val="583B3851"/>
    <w:rsid w:val="58411485"/>
    <w:rsid w:val="58480361"/>
    <w:rsid w:val="5854093A"/>
    <w:rsid w:val="586414D6"/>
    <w:rsid w:val="58643077"/>
    <w:rsid w:val="587F2215"/>
    <w:rsid w:val="58837E89"/>
    <w:rsid w:val="588A6ABE"/>
    <w:rsid w:val="588C506A"/>
    <w:rsid w:val="589E38EA"/>
    <w:rsid w:val="58A957A1"/>
    <w:rsid w:val="58BD4A2A"/>
    <w:rsid w:val="58C72230"/>
    <w:rsid w:val="58C819AE"/>
    <w:rsid w:val="58D4451A"/>
    <w:rsid w:val="58D672AC"/>
    <w:rsid w:val="58DA6BF1"/>
    <w:rsid w:val="58DA7EEA"/>
    <w:rsid w:val="58E2514E"/>
    <w:rsid w:val="58EC1935"/>
    <w:rsid w:val="58F11B81"/>
    <w:rsid w:val="58F37C55"/>
    <w:rsid w:val="58F50FAD"/>
    <w:rsid w:val="58F612A6"/>
    <w:rsid w:val="58F97E16"/>
    <w:rsid w:val="58FB281C"/>
    <w:rsid w:val="58FC05AD"/>
    <w:rsid w:val="590F1EF4"/>
    <w:rsid w:val="591A38D3"/>
    <w:rsid w:val="591D7AF1"/>
    <w:rsid w:val="59212F2E"/>
    <w:rsid w:val="593B7A99"/>
    <w:rsid w:val="594364D6"/>
    <w:rsid w:val="59470C24"/>
    <w:rsid w:val="59472963"/>
    <w:rsid w:val="594D733F"/>
    <w:rsid w:val="595159D1"/>
    <w:rsid w:val="595D77E3"/>
    <w:rsid w:val="595F33B1"/>
    <w:rsid w:val="59727FD3"/>
    <w:rsid w:val="597867F3"/>
    <w:rsid w:val="597B455A"/>
    <w:rsid w:val="597E2916"/>
    <w:rsid w:val="59817517"/>
    <w:rsid w:val="59831B59"/>
    <w:rsid w:val="599D287E"/>
    <w:rsid w:val="59A07B1B"/>
    <w:rsid w:val="59A36D17"/>
    <w:rsid w:val="59A461A5"/>
    <w:rsid w:val="59AB7686"/>
    <w:rsid w:val="59BB3445"/>
    <w:rsid w:val="59C37536"/>
    <w:rsid w:val="59C45553"/>
    <w:rsid w:val="59CA372B"/>
    <w:rsid w:val="59CC3858"/>
    <w:rsid w:val="59D92010"/>
    <w:rsid w:val="59DB4944"/>
    <w:rsid w:val="59DC5DB2"/>
    <w:rsid w:val="59F15A4F"/>
    <w:rsid w:val="59F61872"/>
    <w:rsid w:val="59F64778"/>
    <w:rsid w:val="59F72B8A"/>
    <w:rsid w:val="59F830B5"/>
    <w:rsid w:val="59F966CA"/>
    <w:rsid w:val="5A00274D"/>
    <w:rsid w:val="5A04762F"/>
    <w:rsid w:val="5A07421B"/>
    <w:rsid w:val="5A0E29DD"/>
    <w:rsid w:val="5A0F46BE"/>
    <w:rsid w:val="5A3033FD"/>
    <w:rsid w:val="5A3A375E"/>
    <w:rsid w:val="5A3A3FB7"/>
    <w:rsid w:val="5A3A4DDC"/>
    <w:rsid w:val="5A3A549E"/>
    <w:rsid w:val="5A3B46C7"/>
    <w:rsid w:val="5A417E4E"/>
    <w:rsid w:val="5A4872DD"/>
    <w:rsid w:val="5A7075B0"/>
    <w:rsid w:val="5A734D4D"/>
    <w:rsid w:val="5A7B1933"/>
    <w:rsid w:val="5A7F3AB5"/>
    <w:rsid w:val="5A83416A"/>
    <w:rsid w:val="5A836D73"/>
    <w:rsid w:val="5A840E6E"/>
    <w:rsid w:val="5A851CC1"/>
    <w:rsid w:val="5A9C0392"/>
    <w:rsid w:val="5AA4368F"/>
    <w:rsid w:val="5ABE4A8C"/>
    <w:rsid w:val="5ACB7C5C"/>
    <w:rsid w:val="5AD74A1F"/>
    <w:rsid w:val="5ADD5294"/>
    <w:rsid w:val="5AE003B7"/>
    <w:rsid w:val="5AE5773E"/>
    <w:rsid w:val="5AE82595"/>
    <w:rsid w:val="5AEE02BF"/>
    <w:rsid w:val="5AF06E03"/>
    <w:rsid w:val="5AF10E2F"/>
    <w:rsid w:val="5AF76DF4"/>
    <w:rsid w:val="5AFB7952"/>
    <w:rsid w:val="5B041497"/>
    <w:rsid w:val="5B0849E9"/>
    <w:rsid w:val="5B1D265B"/>
    <w:rsid w:val="5B237360"/>
    <w:rsid w:val="5B267F28"/>
    <w:rsid w:val="5B2B4DC6"/>
    <w:rsid w:val="5B305587"/>
    <w:rsid w:val="5B3C036B"/>
    <w:rsid w:val="5B461D1F"/>
    <w:rsid w:val="5B485598"/>
    <w:rsid w:val="5B536FC8"/>
    <w:rsid w:val="5B5759F8"/>
    <w:rsid w:val="5B5D73AE"/>
    <w:rsid w:val="5B67557A"/>
    <w:rsid w:val="5B756446"/>
    <w:rsid w:val="5B79638D"/>
    <w:rsid w:val="5B7A0C8D"/>
    <w:rsid w:val="5B833DBD"/>
    <w:rsid w:val="5B861F54"/>
    <w:rsid w:val="5B8B36B5"/>
    <w:rsid w:val="5B8F33A7"/>
    <w:rsid w:val="5B917350"/>
    <w:rsid w:val="5B9F0644"/>
    <w:rsid w:val="5BAA38F0"/>
    <w:rsid w:val="5BB46669"/>
    <w:rsid w:val="5BB64E63"/>
    <w:rsid w:val="5BC11CF8"/>
    <w:rsid w:val="5BC204C0"/>
    <w:rsid w:val="5BC964B9"/>
    <w:rsid w:val="5BCB3A8F"/>
    <w:rsid w:val="5BD53DA5"/>
    <w:rsid w:val="5BE54091"/>
    <w:rsid w:val="5BED59B0"/>
    <w:rsid w:val="5BFB2551"/>
    <w:rsid w:val="5BFB52F1"/>
    <w:rsid w:val="5BFB571D"/>
    <w:rsid w:val="5BFE3BB2"/>
    <w:rsid w:val="5C087CDC"/>
    <w:rsid w:val="5C0A3DAE"/>
    <w:rsid w:val="5C0B6C19"/>
    <w:rsid w:val="5C0C5996"/>
    <w:rsid w:val="5C240071"/>
    <w:rsid w:val="5C4111AA"/>
    <w:rsid w:val="5C4B39B0"/>
    <w:rsid w:val="5C5A6816"/>
    <w:rsid w:val="5C5B1D01"/>
    <w:rsid w:val="5C6341BF"/>
    <w:rsid w:val="5C673D33"/>
    <w:rsid w:val="5C6E317B"/>
    <w:rsid w:val="5C761E11"/>
    <w:rsid w:val="5C7A5495"/>
    <w:rsid w:val="5C891A9B"/>
    <w:rsid w:val="5C8C71A9"/>
    <w:rsid w:val="5C915E9B"/>
    <w:rsid w:val="5C921C6F"/>
    <w:rsid w:val="5C92587C"/>
    <w:rsid w:val="5C9A1249"/>
    <w:rsid w:val="5C9F31B5"/>
    <w:rsid w:val="5CB342B6"/>
    <w:rsid w:val="5CB87186"/>
    <w:rsid w:val="5CB910C1"/>
    <w:rsid w:val="5CBD3D5C"/>
    <w:rsid w:val="5CC443DF"/>
    <w:rsid w:val="5CC95B0E"/>
    <w:rsid w:val="5CCA4EFE"/>
    <w:rsid w:val="5CCB169C"/>
    <w:rsid w:val="5CCF16F3"/>
    <w:rsid w:val="5CD800F2"/>
    <w:rsid w:val="5CDA5C14"/>
    <w:rsid w:val="5CDA7EB3"/>
    <w:rsid w:val="5CDD5C28"/>
    <w:rsid w:val="5CDD7962"/>
    <w:rsid w:val="5CE13089"/>
    <w:rsid w:val="5D0627E4"/>
    <w:rsid w:val="5D070BA9"/>
    <w:rsid w:val="5D074947"/>
    <w:rsid w:val="5D0D1580"/>
    <w:rsid w:val="5D125985"/>
    <w:rsid w:val="5D1319C2"/>
    <w:rsid w:val="5D1B4DC9"/>
    <w:rsid w:val="5D1B787E"/>
    <w:rsid w:val="5D30547F"/>
    <w:rsid w:val="5D353337"/>
    <w:rsid w:val="5D4568CD"/>
    <w:rsid w:val="5D4F2B31"/>
    <w:rsid w:val="5D550093"/>
    <w:rsid w:val="5D572D9E"/>
    <w:rsid w:val="5D586AE8"/>
    <w:rsid w:val="5D5F2F30"/>
    <w:rsid w:val="5D647F86"/>
    <w:rsid w:val="5D6972B8"/>
    <w:rsid w:val="5D7C6FEB"/>
    <w:rsid w:val="5D7D2D50"/>
    <w:rsid w:val="5D7E5CB2"/>
    <w:rsid w:val="5D8026ED"/>
    <w:rsid w:val="5D806AA8"/>
    <w:rsid w:val="5D877226"/>
    <w:rsid w:val="5D974670"/>
    <w:rsid w:val="5D9D2763"/>
    <w:rsid w:val="5DAB4BF3"/>
    <w:rsid w:val="5DAC3CE3"/>
    <w:rsid w:val="5DB44B00"/>
    <w:rsid w:val="5DB644E2"/>
    <w:rsid w:val="5DB84504"/>
    <w:rsid w:val="5DB85B5A"/>
    <w:rsid w:val="5DB87871"/>
    <w:rsid w:val="5DBB6A01"/>
    <w:rsid w:val="5DC071EA"/>
    <w:rsid w:val="5DC92133"/>
    <w:rsid w:val="5DCA08D5"/>
    <w:rsid w:val="5DCE3D1B"/>
    <w:rsid w:val="5DE477B5"/>
    <w:rsid w:val="5DE81742"/>
    <w:rsid w:val="5DE93139"/>
    <w:rsid w:val="5DEF79B1"/>
    <w:rsid w:val="5DF375CA"/>
    <w:rsid w:val="5DFF2C4A"/>
    <w:rsid w:val="5E044022"/>
    <w:rsid w:val="5E0A5410"/>
    <w:rsid w:val="5E0A5AE3"/>
    <w:rsid w:val="5E0A73E3"/>
    <w:rsid w:val="5E103B4C"/>
    <w:rsid w:val="5E154BC0"/>
    <w:rsid w:val="5E173320"/>
    <w:rsid w:val="5E1D7AF4"/>
    <w:rsid w:val="5E1E083E"/>
    <w:rsid w:val="5E467CD7"/>
    <w:rsid w:val="5E5325E2"/>
    <w:rsid w:val="5E612464"/>
    <w:rsid w:val="5E67480C"/>
    <w:rsid w:val="5E6C6077"/>
    <w:rsid w:val="5E70454D"/>
    <w:rsid w:val="5E7B1688"/>
    <w:rsid w:val="5E8967A9"/>
    <w:rsid w:val="5E8A300B"/>
    <w:rsid w:val="5E9A0BDC"/>
    <w:rsid w:val="5E9C1FC0"/>
    <w:rsid w:val="5EA419E7"/>
    <w:rsid w:val="5EA46C9D"/>
    <w:rsid w:val="5EA556BE"/>
    <w:rsid w:val="5EB43392"/>
    <w:rsid w:val="5EB65057"/>
    <w:rsid w:val="5EB737A1"/>
    <w:rsid w:val="5EC045F3"/>
    <w:rsid w:val="5EC07363"/>
    <w:rsid w:val="5EC361AA"/>
    <w:rsid w:val="5EC54C25"/>
    <w:rsid w:val="5EC74FB0"/>
    <w:rsid w:val="5EC85B22"/>
    <w:rsid w:val="5ED44988"/>
    <w:rsid w:val="5EED1A6F"/>
    <w:rsid w:val="5EEE594C"/>
    <w:rsid w:val="5EEF5638"/>
    <w:rsid w:val="5EF16746"/>
    <w:rsid w:val="5F057931"/>
    <w:rsid w:val="5F1630B8"/>
    <w:rsid w:val="5F1C603F"/>
    <w:rsid w:val="5F1E45CB"/>
    <w:rsid w:val="5F224E99"/>
    <w:rsid w:val="5F28567D"/>
    <w:rsid w:val="5F2E5672"/>
    <w:rsid w:val="5F3551BD"/>
    <w:rsid w:val="5F370E9A"/>
    <w:rsid w:val="5F493B41"/>
    <w:rsid w:val="5F4C0683"/>
    <w:rsid w:val="5F6117F0"/>
    <w:rsid w:val="5F641F95"/>
    <w:rsid w:val="5F6757D4"/>
    <w:rsid w:val="5F675B39"/>
    <w:rsid w:val="5F6B5141"/>
    <w:rsid w:val="5F74383B"/>
    <w:rsid w:val="5F753B6F"/>
    <w:rsid w:val="5F754B20"/>
    <w:rsid w:val="5F7C45AD"/>
    <w:rsid w:val="5F9529FF"/>
    <w:rsid w:val="5F9E70A3"/>
    <w:rsid w:val="5FA30688"/>
    <w:rsid w:val="5FA3129A"/>
    <w:rsid w:val="5FBD1864"/>
    <w:rsid w:val="5FC436F3"/>
    <w:rsid w:val="5FE513DB"/>
    <w:rsid w:val="5FF71CFA"/>
    <w:rsid w:val="5FF81AD2"/>
    <w:rsid w:val="5FFB12C4"/>
    <w:rsid w:val="60056915"/>
    <w:rsid w:val="600C3B04"/>
    <w:rsid w:val="60157323"/>
    <w:rsid w:val="60162BB3"/>
    <w:rsid w:val="601C7A58"/>
    <w:rsid w:val="6020796F"/>
    <w:rsid w:val="602822BD"/>
    <w:rsid w:val="602A0995"/>
    <w:rsid w:val="602B2E06"/>
    <w:rsid w:val="602C07E7"/>
    <w:rsid w:val="60336C06"/>
    <w:rsid w:val="60412FA3"/>
    <w:rsid w:val="605475D2"/>
    <w:rsid w:val="60551DB1"/>
    <w:rsid w:val="60576219"/>
    <w:rsid w:val="60580D6E"/>
    <w:rsid w:val="60635E06"/>
    <w:rsid w:val="606E4D78"/>
    <w:rsid w:val="60701077"/>
    <w:rsid w:val="60702A14"/>
    <w:rsid w:val="60727CC0"/>
    <w:rsid w:val="607478CE"/>
    <w:rsid w:val="60800A04"/>
    <w:rsid w:val="60946475"/>
    <w:rsid w:val="609A3F41"/>
    <w:rsid w:val="60B549F7"/>
    <w:rsid w:val="60BC42CF"/>
    <w:rsid w:val="60C14317"/>
    <w:rsid w:val="60C82DEF"/>
    <w:rsid w:val="60CE6F94"/>
    <w:rsid w:val="60D24DF0"/>
    <w:rsid w:val="60D60CB8"/>
    <w:rsid w:val="60DF499F"/>
    <w:rsid w:val="60E90AD8"/>
    <w:rsid w:val="60F84510"/>
    <w:rsid w:val="60F952E2"/>
    <w:rsid w:val="61006704"/>
    <w:rsid w:val="61045E54"/>
    <w:rsid w:val="61072829"/>
    <w:rsid w:val="61141759"/>
    <w:rsid w:val="61143B51"/>
    <w:rsid w:val="611C2538"/>
    <w:rsid w:val="611C3B55"/>
    <w:rsid w:val="612B7977"/>
    <w:rsid w:val="613B1B9B"/>
    <w:rsid w:val="61414B24"/>
    <w:rsid w:val="61446072"/>
    <w:rsid w:val="614647B9"/>
    <w:rsid w:val="614D4338"/>
    <w:rsid w:val="614F0933"/>
    <w:rsid w:val="61586A66"/>
    <w:rsid w:val="61594301"/>
    <w:rsid w:val="61594F34"/>
    <w:rsid w:val="61630A0F"/>
    <w:rsid w:val="617073CF"/>
    <w:rsid w:val="61727C3A"/>
    <w:rsid w:val="61772777"/>
    <w:rsid w:val="617A28D6"/>
    <w:rsid w:val="61862F1D"/>
    <w:rsid w:val="618E553F"/>
    <w:rsid w:val="61984ED8"/>
    <w:rsid w:val="619F7979"/>
    <w:rsid w:val="619F7F55"/>
    <w:rsid w:val="61A122C1"/>
    <w:rsid w:val="61A17848"/>
    <w:rsid w:val="61A748D0"/>
    <w:rsid w:val="61AA3F44"/>
    <w:rsid w:val="61BA2FA9"/>
    <w:rsid w:val="61BA5DDD"/>
    <w:rsid w:val="61C95CEF"/>
    <w:rsid w:val="61CD1F1D"/>
    <w:rsid w:val="61D9438F"/>
    <w:rsid w:val="61E25A65"/>
    <w:rsid w:val="61EA1898"/>
    <w:rsid w:val="61F21F72"/>
    <w:rsid w:val="61FE3933"/>
    <w:rsid w:val="62045C3E"/>
    <w:rsid w:val="6209753C"/>
    <w:rsid w:val="62170094"/>
    <w:rsid w:val="621B05D2"/>
    <w:rsid w:val="62294871"/>
    <w:rsid w:val="622C6B66"/>
    <w:rsid w:val="622E376A"/>
    <w:rsid w:val="623A4B32"/>
    <w:rsid w:val="623E186B"/>
    <w:rsid w:val="624527C3"/>
    <w:rsid w:val="6247447B"/>
    <w:rsid w:val="625B6B9C"/>
    <w:rsid w:val="625D3A39"/>
    <w:rsid w:val="626778C2"/>
    <w:rsid w:val="626911F8"/>
    <w:rsid w:val="626B740E"/>
    <w:rsid w:val="627143D0"/>
    <w:rsid w:val="62772892"/>
    <w:rsid w:val="627F18E6"/>
    <w:rsid w:val="628736D5"/>
    <w:rsid w:val="62937658"/>
    <w:rsid w:val="629B3841"/>
    <w:rsid w:val="62A12700"/>
    <w:rsid w:val="62A539E4"/>
    <w:rsid w:val="62A86F4E"/>
    <w:rsid w:val="62B67C4C"/>
    <w:rsid w:val="62B765E8"/>
    <w:rsid w:val="62B81355"/>
    <w:rsid w:val="62C47B12"/>
    <w:rsid w:val="62CC0F44"/>
    <w:rsid w:val="62CE0A9C"/>
    <w:rsid w:val="62DB6B83"/>
    <w:rsid w:val="62E900BC"/>
    <w:rsid w:val="62F165C5"/>
    <w:rsid w:val="62F20632"/>
    <w:rsid w:val="62F438A7"/>
    <w:rsid w:val="62F92682"/>
    <w:rsid w:val="630313B3"/>
    <w:rsid w:val="630E233B"/>
    <w:rsid w:val="630F1085"/>
    <w:rsid w:val="631001A2"/>
    <w:rsid w:val="631128DD"/>
    <w:rsid w:val="631F1DD1"/>
    <w:rsid w:val="63254056"/>
    <w:rsid w:val="63273B63"/>
    <w:rsid w:val="632B2012"/>
    <w:rsid w:val="632B6C6E"/>
    <w:rsid w:val="632C108F"/>
    <w:rsid w:val="63327F88"/>
    <w:rsid w:val="633C18DA"/>
    <w:rsid w:val="633E1EE2"/>
    <w:rsid w:val="633E79DB"/>
    <w:rsid w:val="634323F1"/>
    <w:rsid w:val="63516929"/>
    <w:rsid w:val="6362511B"/>
    <w:rsid w:val="63715B5A"/>
    <w:rsid w:val="637757D5"/>
    <w:rsid w:val="637A3FCD"/>
    <w:rsid w:val="638502A2"/>
    <w:rsid w:val="639207BE"/>
    <w:rsid w:val="63923255"/>
    <w:rsid w:val="639619A8"/>
    <w:rsid w:val="639D1944"/>
    <w:rsid w:val="639D6850"/>
    <w:rsid w:val="63A33D62"/>
    <w:rsid w:val="63AA54ED"/>
    <w:rsid w:val="63AF1E43"/>
    <w:rsid w:val="63B20162"/>
    <w:rsid w:val="63B352AE"/>
    <w:rsid w:val="63C22CB0"/>
    <w:rsid w:val="63DE3594"/>
    <w:rsid w:val="63E11704"/>
    <w:rsid w:val="63F45066"/>
    <w:rsid w:val="63FB04EB"/>
    <w:rsid w:val="640135C5"/>
    <w:rsid w:val="64066428"/>
    <w:rsid w:val="640775F4"/>
    <w:rsid w:val="640C0A42"/>
    <w:rsid w:val="640D71D9"/>
    <w:rsid w:val="640D7724"/>
    <w:rsid w:val="640F795D"/>
    <w:rsid w:val="64152990"/>
    <w:rsid w:val="64162907"/>
    <w:rsid w:val="641B6C1D"/>
    <w:rsid w:val="642A6E20"/>
    <w:rsid w:val="642B0DD1"/>
    <w:rsid w:val="642C1367"/>
    <w:rsid w:val="642F5665"/>
    <w:rsid w:val="64361A5A"/>
    <w:rsid w:val="643B5DAB"/>
    <w:rsid w:val="64600105"/>
    <w:rsid w:val="64601952"/>
    <w:rsid w:val="64635E14"/>
    <w:rsid w:val="64747F00"/>
    <w:rsid w:val="647A6FE1"/>
    <w:rsid w:val="647C1260"/>
    <w:rsid w:val="64900030"/>
    <w:rsid w:val="649337CC"/>
    <w:rsid w:val="649343F9"/>
    <w:rsid w:val="649723DE"/>
    <w:rsid w:val="64A547FE"/>
    <w:rsid w:val="64A64405"/>
    <w:rsid w:val="64AB0005"/>
    <w:rsid w:val="64AE2F11"/>
    <w:rsid w:val="64BA3D56"/>
    <w:rsid w:val="64BE1B30"/>
    <w:rsid w:val="64BF1A22"/>
    <w:rsid w:val="64CD2126"/>
    <w:rsid w:val="64D40615"/>
    <w:rsid w:val="64D40C78"/>
    <w:rsid w:val="64DC5AF8"/>
    <w:rsid w:val="64DE0888"/>
    <w:rsid w:val="64EE334B"/>
    <w:rsid w:val="64F06047"/>
    <w:rsid w:val="64F229C0"/>
    <w:rsid w:val="64FB43F1"/>
    <w:rsid w:val="651302E9"/>
    <w:rsid w:val="651351CC"/>
    <w:rsid w:val="6517683B"/>
    <w:rsid w:val="651806C7"/>
    <w:rsid w:val="651D663A"/>
    <w:rsid w:val="65284087"/>
    <w:rsid w:val="652C14FE"/>
    <w:rsid w:val="65355229"/>
    <w:rsid w:val="653B6592"/>
    <w:rsid w:val="65404CB1"/>
    <w:rsid w:val="65424F5E"/>
    <w:rsid w:val="65430AEE"/>
    <w:rsid w:val="65453330"/>
    <w:rsid w:val="65490723"/>
    <w:rsid w:val="655F47B0"/>
    <w:rsid w:val="65607174"/>
    <w:rsid w:val="6563319D"/>
    <w:rsid w:val="656A77BF"/>
    <w:rsid w:val="65743ACA"/>
    <w:rsid w:val="659B046B"/>
    <w:rsid w:val="659E08F0"/>
    <w:rsid w:val="65A3163B"/>
    <w:rsid w:val="65A557FB"/>
    <w:rsid w:val="65AA0CA8"/>
    <w:rsid w:val="65BE0EFB"/>
    <w:rsid w:val="65BE764B"/>
    <w:rsid w:val="65BF000F"/>
    <w:rsid w:val="65C24055"/>
    <w:rsid w:val="65CC7AD2"/>
    <w:rsid w:val="65CF1FD4"/>
    <w:rsid w:val="65D532CB"/>
    <w:rsid w:val="65DB75D9"/>
    <w:rsid w:val="65E11388"/>
    <w:rsid w:val="65E47C1D"/>
    <w:rsid w:val="65EA3C71"/>
    <w:rsid w:val="65EB57D5"/>
    <w:rsid w:val="65ED2202"/>
    <w:rsid w:val="65F70C15"/>
    <w:rsid w:val="65FF7451"/>
    <w:rsid w:val="6602659F"/>
    <w:rsid w:val="66115B94"/>
    <w:rsid w:val="66145133"/>
    <w:rsid w:val="661755EE"/>
    <w:rsid w:val="661A55F3"/>
    <w:rsid w:val="661E2836"/>
    <w:rsid w:val="662B2CDE"/>
    <w:rsid w:val="662B7E06"/>
    <w:rsid w:val="662D5120"/>
    <w:rsid w:val="663B7A6C"/>
    <w:rsid w:val="6640233F"/>
    <w:rsid w:val="664C179E"/>
    <w:rsid w:val="664E5D8F"/>
    <w:rsid w:val="66514EDA"/>
    <w:rsid w:val="6651777C"/>
    <w:rsid w:val="665B01A6"/>
    <w:rsid w:val="66676FA1"/>
    <w:rsid w:val="666E5726"/>
    <w:rsid w:val="66A1299B"/>
    <w:rsid w:val="66AC0D3C"/>
    <w:rsid w:val="66B22041"/>
    <w:rsid w:val="66B31457"/>
    <w:rsid w:val="66C0598E"/>
    <w:rsid w:val="66C20CF4"/>
    <w:rsid w:val="66CD09AA"/>
    <w:rsid w:val="66D0271B"/>
    <w:rsid w:val="66DF4313"/>
    <w:rsid w:val="66E63A99"/>
    <w:rsid w:val="66E91430"/>
    <w:rsid w:val="66EA70D0"/>
    <w:rsid w:val="66ED2268"/>
    <w:rsid w:val="66F61BBC"/>
    <w:rsid w:val="670169AD"/>
    <w:rsid w:val="67021B53"/>
    <w:rsid w:val="670E4A9F"/>
    <w:rsid w:val="670F51AF"/>
    <w:rsid w:val="67131D71"/>
    <w:rsid w:val="6727398B"/>
    <w:rsid w:val="67290ED3"/>
    <w:rsid w:val="673218BC"/>
    <w:rsid w:val="67485C23"/>
    <w:rsid w:val="674B6003"/>
    <w:rsid w:val="674F0307"/>
    <w:rsid w:val="674F7427"/>
    <w:rsid w:val="67536935"/>
    <w:rsid w:val="67583D78"/>
    <w:rsid w:val="675D427B"/>
    <w:rsid w:val="67681355"/>
    <w:rsid w:val="67803B7C"/>
    <w:rsid w:val="67825691"/>
    <w:rsid w:val="678C3BA4"/>
    <w:rsid w:val="678D21EB"/>
    <w:rsid w:val="679B624B"/>
    <w:rsid w:val="67A10204"/>
    <w:rsid w:val="67A3162B"/>
    <w:rsid w:val="67A902CE"/>
    <w:rsid w:val="67C72138"/>
    <w:rsid w:val="67CE49CD"/>
    <w:rsid w:val="67D322D0"/>
    <w:rsid w:val="67EC0F0F"/>
    <w:rsid w:val="67ED61C5"/>
    <w:rsid w:val="67EF02E8"/>
    <w:rsid w:val="67F03381"/>
    <w:rsid w:val="68085ACA"/>
    <w:rsid w:val="680E3627"/>
    <w:rsid w:val="68191266"/>
    <w:rsid w:val="682C43DB"/>
    <w:rsid w:val="682D6965"/>
    <w:rsid w:val="682F71C4"/>
    <w:rsid w:val="6830452C"/>
    <w:rsid w:val="68354ED4"/>
    <w:rsid w:val="684316C3"/>
    <w:rsid w:val="6847335E"/>
    <w:rsid w:val="684B398F"/>
    <w:rsid w:val="68532957"/>
    <w:rsid w:val="685B615F"/>
    <w:rsid w:val="68665628"/>
    <w:rsid w:val="6877677A"/>
    <w:rsid w:val="687C4343"/>
    <w:rsid w:val="688D15F4"/>
    <w:rsid w:val="68902811"/>
    <w:rsid w:val="689C7ABA"/>
    <w:rsid w:val="68AF0456"/>
    <w:rsid w:val="68B114F3"/>
    <w:rsid w:val="68BE0F0E"/>
    <w:rsid w:val="68C139EC"/>
    <w:rsid w:val="68C166DF"/>
    <w:rsid w:val="68CA4F1D"/>
    <w:rsid w:val="68CC3036"/>
    <w:rsid w:val="68D32D6B"/>
    <w:rsid w:val="68D3468C"/>
    <w:rsid w:val="68D4748B"/>
    <w:rsid w:val="68D579A0"/>
    <w:rsid w:val="68D60C7C"/>
    <w:rsid w:val="68DF6474"/>
    <w:rsid w:val="68E92E63"/>
    <w:rsid w:val="68F0481B"/>
    <w:rsid w:val="68F429F8"/>
    <w:rsid w:val="68F74BD3"/>
    <w:rsid w:val="69032AC9"/>
    <w:rsid w:val="69071115"/>
    <w:rsid w:val="69110916"/>
    <w:rsid w:val="6919581A"/>
    <w:rsid w:val="691B0000"/>
    <w:rsid w:val="691B2C45"/>
    <w:rsid w:val="691B5E9C"/>
    <w:rsid w:val="691E2B08"/>
    <w:rsid w:val="6928132D"/>
    <w:rsid w:val="69304184"/>
    <w:rsid w:val="693609D3"/>
    <w:rsid w:val="69364BC6"/>
    <w:rsid w:val="693826A2"/>
    <w:rsid w:val="6957144F"/>
    <w:rsid w:val="6959507C"/>
    <w:rsid w:val="695C5E52"/>
    <w:rsid w:val="695D4C72"/>
    <w:rsid w:val="695E1A33"/>
    <w:rsid w:val="69631EA5"/>
    <w:rsid w:val="69647885"/>
    <w:rsid w:val="696A1E06"/>
    <w:rsid w:val="696D7E54"/>
    <w:rsid w:val="6976327C"/>
    <w:rsid w:val="6979424A"/>
    <w:rsid w:val="698308CD"/>
    <w:rsid w:val="69931601"/>
    <w:rsid w:val="69957ED4"/>
    <w:rsid w:val="69A61937"/>
    <w:rsid w:val="69A708AF"/>
    <w:rsid w:val="69C320BC"/>
    <w:rsid w:val="69C45949"/>
    <w:rsid w:val="69C72F6E"/>
    <w:rsid w:val="69C9567A"/>
    <w:rsid w:val="69D35FAD"/>
    <w:rsid w:val="69D5008B"/>
    <w:rsid w:val="69DA7E00"/>
    <w:rsid w:val="69EA0371"/>
    <w:rsid w:val="69F32565"/>
    <w:rsid w:val="69FA2BA8"/>
    <w:rsid w:val="6A005E08"/>
    <w:rsid w:val="6A022E62"/>
    <w:rsid w:val="6A0356B9"/>
    <w:rsid w:val="6A085E24"/>
    <w:rsid w:val="6A0C706E"/>
    <w:rsid w:val="6A165386"/>
    <w:rsid w:val="6A2071AA"/>
    <w:rsid w:val="6A240CCD"/>
    <w:rsid w:val="6A2A42A0"/>
    <w:rsid w:val="6A3775B4"/>
    <w:rsid w:val="6A3A2698"/>
    <w:rsid w:val="6A3E26B7"/>
    <w:rsid w:val="6A541231"/>
    <w:rsid w:val="6A6A5C24"/>
    <w:rsid w:val="6A6D4BFB"/>
    <w:rsid w:val="6A703D62"/>
    <w:rsid w:val="6A725EE9"/>
    <w:rsid w:val="6A782E59"/>
    <w:rsid w:val="6A7A117B"/>
    <w:rsid w:val="6A7F7A4A"/>
    <w:rsid w:val="6A8055D3"/>
    <w:rsid w:val="6A832F67"/>
    <w:rsid w:val="6A8450A0"/>
    <w:rsid w:val="6A885E92"/>
    <w:rsid w:val="6A8B5674"/>
    <w:rsid w:val="6A907590"/>
    <w:rsid w:val="6A9249F2"/>
    <w:rsid w:val="6A9C6EAB"/>
    <w:rsid w:val="6A9C77FA"/>
    <w:rsid w:val="6AA96239"/>
    <w:rsid w:val="6AAA356E"/>
    <w:rsid w:val="6AB63580"/>
    <w:rsid w:val="6ABB7B32"/>
    <w:rsid w:val="6AC1656C"/>
    <w:rsid w:val="6AC81AB2"/>
    <w:rsid w:val="6AD30BE7"/>
    <w:rsid w:val="6ADE149E"/>
    <w:rsid w:val="6AE30FF2"/>
    <w:rsid w:val="6AE31B8C"/>
    <w:rsid w:val="6AE904AE"/>
    <w:rsid w:val="6AF11227"/>
    <w:rsid w:val="6AF422EE"/>
    <w:rsid w:val="6B023B26"/>
    <w:rsid w:val="6B062EC8"/>
    <w:rsid w:val="6B084BA3"/>
    <w:rsid w:val="6B0E7B90"/>
    <w:rsid w:val="6B105072"/>
    <w:rsid w:val="6B1A47D9"/>
    <w:rsid w:val="6B361121"/>
    <w:rsid w:val="6B3649B2"/>
    <w:rsid w:val="6B417758"/>
    <w:rsid w:val="6B483A72"/>
    <w:rsid w:val="6B533E34"/>
    <w:rsid w:val="6B562F62"/>
    <w:rsid w:val="6B5B50E4"/>
    <w:rsid w:val="6B5C7909"/>
    <w:rsid w:val="6B5C7D40"/>
    <w:rsid w:val="6B6C4057"/>
    <w:rsid w:val="6B6E15B3"/>
    <w:rsid w:val="6B7476E0"/>
    <w:rsid w:val="6B7A10DA"/>
    <w:rsid w:val="6B823B4E"/>
    <w:rsid w:val="6B8434CB"/>
    <w:rsid w:val="6B8B7E56"/>
    <w:rsid w:val="6B8C29FD"/>
    <w:rsid w:val="6B8C33C1"/>
    <w:rsid w:val="6B8D1179"/>
    <w:rsid w:val="6B8F51C5"/>
    <w:rsid w:val="6B9217FD"/>
    <w:rsid w:val="6B9312DD"/>
    <w:rsid w:val="6BAE234E"/>
    <w:rsid w:val="6BAF2C82"/>
    <w:rsid w:val="6BB838E4"/>
    <w:rsid w:val="6BBA2FC3"/>
    <w:rsid w:val="6BBF0048"/>
    <w:rsid w:val="6BBF1117"/>
    <w:rsid w:val="6BC37397"/>
    <w:rsid w:val="6BC90A36"/>
    <w:rsid w:val="6BCA1477"/>
    <w:rsid w:val="6BCC2080"/>
    <w:rsid w:val="6BD236ED"/>
    <w:rsid w:val="6BDB4711"/>
    <w:rsid w:val="6BE53A77"/>
    <w:rsid w:val="6BE93CF9"/>
    <w:rsid w:val="6BF02391"/>
    <w:rsid w:val="6BF053A3"/>
    <w:rsid w:val="6BFA16F5"/>
    <w:rsid w:val="6C021FC3"/>
    <w:rsid w:val="6C0255BB"/>
    <w:rsid w:val="6C025C5F"/>
    <w:rsid w:val="6C036BB3"/>
    <w:rsid w:val="6C097577"/>
    <w:rsid w:val="6C176C54"/>
    <w:rsid w:val="6C1B69DD"/>
    <w:rsid w:val="6C2023D6"/>
    <w:rsid w:val="6C292850"/>
    <w:rsid w:val="6C2E259E"/>
    <w:rsid w:val="6C305BCD"/>
    <w:rsid w:val="6C557385"/>
    <w:rsid w:val="6C5C2579"/>
    <w:rsid w:val="6C5E3800"/>
    <w:rsid w:val="6C614C17"/>
    <w:rsid w:val="6C637823"/>
    <w:rsid w:val="6C650698"/>
    <w:rsid w:val="6C687D98"/>
    <w:rsid w:val="6C6C543D"/>
    <w:rsid w:val="6C6D1842"/>
    <w:rsid w:val="6C6E0447"/>
    <w:rsid w:val="6C7A6C81"/>
    <w:rsid w:val="6C8040F3"/>
    <w:rsid w:val="6C845758"/>
    <w:rsid w:val="6C860683"/>
    <w:rsid w:val="6C860F5D"/>
    <w:rsid w:val="6C86228B"/>
    <w:rsid w:val="6C8C3392"/>
    <w:rsid w:val="6C9747CD"/>
    <w:rsid w:val="6CA742D8"/>
    <w:rsid w:val="6CAF1E19"/>
    <w:rsid w:val="6CB06CB1"/>
    <w:rsid w:val="6CB31EC2"/>
    <w:rsid w:val="6CB347D0"/>
    <w:rsid w:val="6CB558FE"/>
    <w:rsid w:val="6CB83D4E"/>
    <w:rsid w:val="6CC76C36"/>
    <w:rsid w:val="6CCE2380"/>
    <w:rsid w:val="6CCE7CB1"/>
    <w:rsid w:val="6CD45DEA"/>
    <w:rsid w:val="6CDD773F"/>
    <w:rsid w:val="6CE0641B"/>
    <w:rsid w:val="6CE6397C"/>
    <w:rsid w:val="6CEA7862"/>
    <w:rsid w:val="6CEA7C65"/>
    <w:rsid w:val="6CF26C6A"/>
    <w:rsid w:val="6CFF13C7"/>
    <w:rsid w:val="6D0066D5"/>
    <w:rsid w:val="6D011335"/>
    <w:rsid w:val="6D0E2B27"/>
    <w:rsid w:val="6D130D6D"/>
    <w:rsid w:val="6D164DAE"/>
    <w:rsid w:val="6D2A0188"/>
    <w:rsid w:val="6D444E96"/>
    <w:rsid w:val="6D4573FA"/>
    <w:rsid w:val="6D4A0EB4"/>
    <w:rsid w:val="6D5D2844"/>
    <w:rsid w:val="6D6D6904"/>
    <w:rsid w:val="6D723E1B"/>
    <w:rsid w:val="6D726F68"/>
    <w:rsid w:val="6D750372"/>
    <w:rsid w:val="6D7F7639"/>
    <w:rsid w:val="6D8308A1"/>
    <w:rsid w:val="6D8830C7"/>
    <w:rsid w:val="6D8E08A5"/>
    <w:rsid w:val="6DA61CFA"/>
    <w:rsid w:val="6DA64735"/>
    <w:rsid w:val="6DAC6A17"/>
    <w:rsid w:val="6DB15C7B"/>
    <w:rsid w:val="6DB56038"/>
    <w:rsid w:val="6DC21F5A"/>
    <w:rsid w:val="6DD13060"/>
    <w:rsid w:val="6DD25C9F"/>
    <w:rsid w:val="6DD453A3"/>
    <w:rsid w:val="6DDC4C5F"/>
    <w:rsid w:val="6DDE15FC"/>
    <w:rsid w:val="6DDF72D8"/>
    <w:rsid w:val="6DE02EB6"/>
    <w:rsid w:val="6DE64F70"/>
    <w:rsid w:val="6DE940EA"/>
    <w:rsid w:val="6DF62EFF"/>
    <w:rsid w:val="6DF7317E"/>
    <w:rsid w:val="6DF74B41"/>
    <w:rsid w:val="6DFC7AE3"/>
    <w:rsid w:val="6DFE00BD"/>
    <w:rsid w:val="6E001B85"/>
    <w:rsid w:val="6E0A0E46"/>
    <w:rsid w:val="6E103453"/>
    <w:rsid w:val="6E187E01"/>
    <w:rsid w:val="6E191B8A"/>
    <w:rsid w:val="6E1A5FCE"/>
    <w:rsid w:val="6E1F5DAF"/>
    <w:rsid w:val="6E223802"/>
    <w:rsid w:val="6E2B6674"/>
    <w:rsid w:val="6E2F14CB"/>
    <w:rsid w:val="6E317C1F"/>
    <w:rsid w:val="6E3818C6"/>
    <w:rsid w:val="6E43489E"/>
    <w:rsid w:val="6E4A1735"/>
    <w:rsid w:val="6E4D10AF"/>
    <w:rsid w:val="6E51365A"/>
    <w:rsid w:val="6E5778CF"/>
    <w:rsid w:val="6E5D1A10"/>
    <w:rsid w:val="6E602B2F"/>
    <w:rsid w:val="6E633B2F"/>
    <w:rsid w:val="6E762F0A"/>
    <w:rsid w:val="6E786426"/>
    <w:rsid w:val="6E7B75FF"/>
    <w:rsid w:val="6E834106"/>
    <w:rsid w:val="6E846F0A"/>
    <w:rsid w:val="6E8D7561"/>
    <w:rsid w:val="6EA22EC8"/>
    <w:rsid w:val="6EAB3975"/>
    <w:rsid w:val="6EB163AB"/>
    <w:rsid w:val="6EB45809"/>
    <w:rsid w:val="6EBD1411"/>
    <w:rsid w:val="6EC32903"/>
    <w:rsid w:val="6EC67B69"/>
    <w:rsid w:val="6ECC18A8"/>
    <w:rsid w:val="6ECD197C"/>
    <w:rsid w:val="6EE627AB"/>
    <w:rsid w:val="6EE76555"/>
    <w:rsid w:val="6EF20FE7"/>
    <w:rsid w:val="6EF32227"/>
    <w:rsid w:val="6EF65E5D"/>
    <w:rsid w:val="6EFC2506"/>
    <w:rsid w:val="6F0671CF"/>
    <w:rsid w:val="6F084B1F"/>
    <w:rsid w:val="6F12055D"/>
    <w:rsid w:val="6F154826"/>
    <w:rsid w:val="6F203A1F"/>
    <w:rsid w:val="6F2A1985"/>
    <w:rsid w:val="6F310A27"/>
    <w:rsid w:val="6F377B6E"/>
    <w:rsid w:val="6F392747"/>
    <w:rsid w:val="6F3C03D9"/>
    <w:rsid w:val="6F40489D"/>
    <w:rsid w:val="6F4709E3"/>
    <w:rsid w:val="6F501385"/>
    <w:rsid w:val="6F511CDC"/>
    <w:rsid w:val="6F5B1609"/>
    <w:rsid w:val="6F6324B5"/>
    <w:rsid w:val="6F690801"/>
    <w:rsid w:val="6F6926D9"/>
    <w:rsid w:val="6F740C12"/>
    <w:rsid w:val="6F7C25C8"/>
    <w:rsid w:val="6F7F50FD"/>
    <w:rsid w:val="6F8F1212"/>
    <w:rsid w:val="6F9314FF"/>
    <w:rsid w:val="6F940299"/>
    <w:rsid w:val="6F95306A"/>
    <w:rsid w:val="6FB44403"/>
    <w:rsid w:val="6FB645DF"/>
    <w:rsid w:val="6FB872BB"/>
    <w:rsid w:val="6FBB77A6"/>
    <w:rsid w:val="6FC02156"/>
    <w:rsid w:val="6FC119F0"/>
    <w:rsid w:val="6FC77DDC"/>
    <w:rsid w:val="6FC84EEF"/>
    <w:rsid w:val="6FD87F4D"/>
    <w:rsid w:val="6FDE4B74"/>
    <w:rsid w:val="6FDF2F8F"/>
    <w:rsid w:val="6FE41114"/>
    <w:rsid w:val="6FE4739E"/>
    <w:rsid w:val="6FF02C8F"/>
    <w:rsid w:val="6FFB6B19"/>
    <w:rsid w:val="70092FEA"/>
    <w:rsid w:val="700B3DB7"/>
    <w:rsid w:val="70106696"/>
    <w:rsid w:val="701B28B2"/>
    <w:rsid w:val="70204F5B"/>
    <w:rsid w:val="702F33E5"/>
    <w:rsid w:val="7030245F"/>
    <w:rsid w:val="70354040"/>
    <w:rsid w:val="70367F67"/>
    <w:rsid w:val="703A5575"/>
    <w:rsid w:val="703D3746"/>
    <w:rsid w:val="70406491"/>
    <w:rsid w:val="70431AEA"/>
    <w:rsid w:val="704C4CB0"/>
    <w:rsid w:val="705A7660"/>
    <w:rsid w:val="705E4081"/>
    <w:rsid w:val="7073232C"/>
    <w:rsid w:val="707B0A54"/>
    <w:rsid w:val="70803499"/>
    <w:rsid w:val="70882210"/>
    <w:rsid w:val="708B02F1"/>
    <w:rsid w:val="70A248F8"/>
    <w:rsid w:val="70A82DF8"/>
    <w:rsid w:val="70AD0F64"/>
    <w:rsid w:val="70C46FB2"/>
    <w:rsid w:val="70C71656"/>
    <w:rsid w:val="70D3416F"/>
    <w:rsid w:val="70DB04EB"/>
    <w:rsid w:val="70F87C3F"/>
    <w:rsid w:val="70FC6EE0"/>
    <w:rsid w:val="70FE6B3E"/>
    <w:rsid w:val="70FF1FB5"/>
    <w:rsid w:val="710B7D8D"/>
    <w:rsid w:val="71145ADD"/>
    <w:rsid w:val="71246998"/>
    <w:rsid w:val="7130140E"/>
    <w:rsid w:val="71313E40"/>
    <w:rsid w:val="713652FF"/>
    <w:rsid w:val="71371A6A"/>
    <w:rsid w:val="714536B8"/>
    <w:rsid w:val="714E6AA1"/>
    <w:rsid w:val="71522650"/>
    <w:rsid w:val="71544958"/>
    <w:rsid w:val="715469F3"/>
    <w:rsid w:val="715D36A7"/>
    <w:rsid w:val="71662115"/>
    <w:rsid w:val="71673B3F"/>
    <w:rsid w:val="716B5EC7"/>
    <w:rsid w:val="716E14C7"/>
    <w:rsid w:val="7172280C"/>
    <w:rsid w:val="7174727B"/>
    <w:rsid w:val="71760359"/>
    <w:rsid w:val="71763FE9"/>
    <w:rsid w:val="717B33A3"/>
    <w:rsid w:val="717C5B81"/>
    <w:rsid w:val="718562F4"/>
    <w:rsid w:val="718E6908"/>
    <w:rsid w:val="718F1C4C"/>
    <w:rsid w:val="719646C8"/>
    <w:rsid w:val="7198232E"/>
    <w:rsid w:val="71A47CF7"/>
    <w:rsid w:val="71AC3472"/>
    <w:rsid w:val="71BA642C"/>
    <w:rsid w:val="71CA7136"/>
    <w:rsid w:val="71CB06D9"/>
    <w:rsid w:val="71D572A3"/>
    <w:rsid w:val="71D77574"/>
    <w:rsid w:val="71DD3B29"/>
    <w:rsid w:val="71F21006"/>
    <w:rsid w:val="71F728B6"/>
    <w:rsid w:val="72043B89"/>
    <w:rsid w:val="720A35FE"/>
    <w:rsid w:val="720D0BE9"/>
    <w:rsid w:val="72222653"/>
    <w:rsid w:val="722343F0"/>
    <w:rsid w:val="72263617"/>
    <w:rsid w:val="722B08EE"/>
    <w:rsid w:val="722E61A7"/>
    <w:rsid w:val="72337D19"/>
    <w:rsid w:val="723D4B43"/>
    <w:rsid w:val="72455033"/>
    <w:rsid w:val="724645C6"/>
    <w:rsid w:val="724951DF"/>
    <w:rsid w:val="724A5A5A"/>
    <w:rsid w:val="72505E8B"/>
    <w:rsid w:val="72544D95"/>
    <w:rsid w:val="72562322"/>
    <w:rsid w:val="725A2444"/>
    <w:rsid w:val="72630306"/>
    <w:rsid w:val="72667F1D"/>
    <w:rsid w:val="726A0B12"/>
    <w:rsid w:val="726E0EFF"/>
    <w:rsid w:val="72806CF8"/>
    <w:rsid w:val="728579F0"/>
    <w:rsid w:val="728A667C"/>
    <w:rsid w:val="729D50BB"/>
    <w:rsid w:val="72A05EB6"/>
    <w:rsid w:val="72A63C1F"/>
    <w:rsid w:val="72AA05A4"/>
    <w:rsid w:val="72AA496D"/>
    <w:rsid w:val="72AC1CC9"/>
    <w:rsid w:val="72B20C5F"/>
    <w:rsid w:val="72BA0BC1"/>
    <w:rsid w:val="72BD3107"/>
    <w:rsid w:val="72C326F4"/>
    <w:rsid w:val="72CA7252"/>
    <w:rsid w:val="72DF16DD"/>
    <w:rsid w:val="72E1592A"/>
    <w:rsid w:val="72E70F53"/>
    <w:rsid w:val="72F15684"/>
    <w:rsid w:val="72F50447"/>
    <w:rsid w:val="72FC1C3F"/>
    <w:rsid w:val="730D230F"/>
    <w:rsid w:val="73131BCF"/>
    <w:rsid w:val="73143C52"/>
    <w:rsid w:val="732C6ACC"/>
    <w:rsid w:val="732F0935"/>
    <w:rsid w:val="733852B0"/>
    <w:rsid w:val="733D5948"/>
    <w:rsid w:val="734A4C59"/>
    <w:rsid w:val="734C7A77"/>
    <w:rsid w:val="734D4FEE"/>
    <w:rsid w:val="73541D4E"/>
    <w:rsid w:val="735D61F3"/>
    <w:rsid w:val="736341C9"/>
    <w:rsid w:val="736D7EA4"/>
    <w:rsid w:val="737777E5"/>
    <w:rsid w:val="737F418F"/>
    <w:rsid w:val="73934149"/>
    <w:rsid w:val="73A5583B"/>
    <w:rsid w:val="73A92A26"/>
    <w:rsid w:val="73AC3A12"/>
    <w:rsid w:val="73AE318E"/>
    <w:rsid w:val="73AF10ED"/>
    <w:rsid w:val="73B01595"/>
    <w:rsid w:val="73B71C2B"/>
    <w:rsid w:val="73C03F52"/>
    <w:rsid w:val="73C2536B"/>
    <w:rsid w:val="73CF287A"/>
    <w:rsid w:val="73D268B9"/>
    <w:rsid w:val="73D45CF7"/>
    <w:rsid w:val="73D8101F"/>
    <w:rsid w:val="73EC53EB"/>
    <w:rsid w:val="73F12920"/>
    <w:rsid w:val="73F66C66"/>
    <w:rsid w:val="73F75789"/>
    <w:rsid w:val="74111B71"/>
    <w:rsid w:val="74162DB0"/>
    <w:rsid w:val="74177613"/>
    <w:rsid w:val="741A175C"/>
    <w:rsid w:val="74240C0D"/>
    <w:rsid w:val="7424147E"/>
    <w:rsid w:val="742B41FC"/>
    <w:rsid w:val="743E6FDD"/>
    <w:rsid w:val="743F4CE7"/>
    <w:rsid w:val="74435320"/>
    <w:rsid w:val="744938AB"/>
    <w:rsid w:val="744B50E6"/>
    <w:rsid w:val="74541E3B"/>
    <w:rsid w:val="74602D43"/>
    <w:rsid w:val="74693E8C"/>
    <w:rsid w:val="7477546C"/>
    <w:rsid w:val="747A4C40"/>
    <w:rsid w:val="747D0DF1"/>
    <w:rsid w:val="748A1F70"/>
    <w:rsid w:val="749467A4"/>
    <w:rsid w:val="749A0813"/>
    <w:rsid w:val="749D0501"/>
    <w:rsid w:val="749E5320"/>
    <w:rsid w:val="74A50C02"/>
    <w:rsid w:val="74A668C5"/>
    <w:rsid w:val="74A96304"/>
    <w:rsid w:val="74AC7B3F"/>
    <w:rsid w:val="74AE6656"/>
    <w:rsid w:val="74B02F12"/>
    <w:rsid w:val="74B7654D"/>
    <w:rsid w:val="74B94ED8"/>
    <w:rsid w:val="74BB0363"/>
    <w:rsid w:val="74C3250F"/>
    <w:rsid w:val="74C65E93"/>
    <w:rsid w:val="74CE1173"/>
    <w:rsid w:val="74DB4C4B"/>
    <w:rsid w:val="74E834C5"/>
    <w:rsid w:val="74EB7834"/>
    <w:rsid w:val="74F56012"/>
    <w:rsid w:val="75090CA9"/>
    <w:rsid w:val="750C2A57"/>
    <w:rsid w:val="75132E08"/>
    <w:rsid w:val="75141193"/>
    <w:rsid w:val="751A35B6"/>
    <w:rsid w:val="751E3BD0"/>
    <w:rsid w:val="751F607E"/>
    <w:rsid w:val="75274E29"/>
    <w:rsid w:val="752A6C73"/>
    <w:rsid w:val="753D3D8B"/>
    <w:rsid w:val="75442A9A"/>
    <w:rsid w:val="75470D74"/>
    <w:rsid w:val="754B4382"/>
    <w:rsid w:val="754F7D49"/>
    <w:rsid w:val="75521525"/>
    <w:rsid w:val="75531964"/>
    <w:rsid w:val="755417F7"/>
    <w:rsid w:val="755539C6"/>
    <w:rsid w:val="75603AF0"/>
    <w:rsid w:val="75635C34"/>
    <w:rsid w:val="75650447"/>
    <w:rsid w:val="75662231"/>
    <w:rsid w:val="756C0718"/>
    <w:rsid w:val="757944DF"/>
    <w:rsid w:val="757A52B7"/>
    <w:rsid w:val="757A76E3"/>
    <w:rsid w:val="757B7C64"/>
    <w:rsid w:val="758805A1"/>
    <w:rsid w:val="758865CA"/>
    <w:rsid w:val="75955B03"/>
    <w:rsid w:val="75971AFE"/>
    <w:rsid w:val="75990F1B"/>
    <w:rsid w:val="75993FDA"/>
    <w:rsid w:val="759E7E32"/>
    <w:rsid w:val="75A97285"/>
    <w:rsid w:val="75AB0F45"/>
    <w:rsid w:val="75AF069F"/>
    <w:rsid w:val="75B070F0"/>
    <w:rsid w:val="75B568DC"/>
    <w:rsid w:val="75B907D3"/>
    <w:rsid w:val="75BD46BE"/>
    <w:rsid w:val="75C3246E"/>
    <w:rsid w:val="75D54C88"/>
    <w:rsid w:val="75DD244F"/>
    <w:rsid w:val="75E605F5"/>
    <w:rsid w:val="75EF25F8"/>
    <w:rsid w:val="76076473"/>
    <w:rsid w:val="760D6D04"/>
    <w:rsid w:val="760F280C"/>
    <w:rsid w:val="760F625F"/>
    <w:rsid w:val="7613382E"/>
    <w:rsid w:val="76156093"/>
    <w:rsid w:val="761C4317"/>
    <w:rsid w:val="762165AD"/>
    <w:rsid w:val="76246FFC"/>
    <w:rsid w:val="762B71EB"/>
    <w:rsid w:val="762C33A0"/>
    <w:rsid w:val="763A1AA6"/>
    <w:rsid w:val="76412FC6"/>
    <w:rsid w:val="76484ADA"/>
    <w:rsid w:val="764B7AE5"/>
    <w:rsid w:val="765161A6"/>
    <w:rsid w:val="76523A43"/>
    <w:rsid w:val="765D7F98"/>
    <w:rsid w:val="76625907"/>
    <w:rsid w:val="76686839"/>
    <w:rsid w:val="766916F1"/>
    <w:rsid w:val="766B6007"/>
    <w:rsid w:val="766D7810"/>
    <w:rsid w:val="767B680C"/>
    <w:rsid w:val="767C50CE"/>
    <w:rsid w:val="767D746A"/>
    <w:rsid w:val="7681705B"/>
    <w:rsid w:val="7685256B"/>
    <w:rsid w:val="76883A7E"/>
    <w:rsid w:val="768B7598"/>
    <w:rsid w:val="768F47D9"/>
    <w:rsid w:val="769861A5"/>
    <w:rsid w:val="769F7087"/>
    <w:rsid w:val="76B43A24"/>
    <w:rsid w:val="76B454DD"/>
    <w:rsid w:val="76BD504C"/>
    <w:rsid w:val="76C51D8B"/>
    <w:rsid w:val="76CD0BA0"/>
    <w:rsid w:val="76CD2477"/>
    <w:rsid w:val="76D258B3"/>
    <w:rsid w:val="76D426DF"/>
    <w:rsid w:val="76DD6B9C"/>
    <w:rsid w:val="76E25831"/>
    <w:rsid w:val="76E519B4"/>
    <w:rsid w:val="76E95082"/>
    <w:rsid w:val="76F00978"/>
    <w:rsid w:val="76F330C3"/>
    <w:rsid w:val="76F3482C"/>
    <w:rsid w:val="76F47DB6"/>
    <w:rsid w:val="76F65E5C"/>
    <w:rsid w:val="76F70316"/>
    <w:rsid w:val="76F7284D"/>
    <w:rsid w:val="77020377"/>
    <w:rsid w:val="77022128"/>
    <w:rsid w:val="770246A0"/>
    <w:rsid w:val="770B00D3"/>
    <w:rsid w:val="770C71DA"/>
    <w:rsid w:val="7714437D"/>
    <w:rsid w:val="771B274D"/>
    <w:rsid w:val="771E7B4F"/>
    <w:rsid w:val="77207237"/>
    <w:rsid w:val="772167E2"/>
    <w:rsid w:val="7722590D"/>
    <w:rsid w:val="772420F1"/>
    <w:rsid w:val="772A344E"/>
    <w:rsid w:val="772A7571"/>
    <w:rsid w:val="772F0777"/>
    <w:rsid w:val="77306D95"/>
    <w:rsid w:val="774350A9"/>
    <w:rsid w:val="774520B5"/>
    <w:rsid w:val="775A2B8F"/>
    <w:rsid w:val="775C48AC"/>
    <w:rsid w:val="776E60AE"/>
    <w:rsid w:val="7771703D"/>
    <w:rsid w:val="777317AF"/>
    <w:rsid w:val="77751553"/>
    <w:rsid w:val="777B4C55"/>
    <w:rsid w:val="777D1DC1"/>
    <w:rsid w:val="778E0F0F"/>
    <w:rsid w:val="77944CE7"/>
    <w:rsid w:val="779874ED"/>
    <w:rsid w:val="77A27427"/>
    <w:rsid w:val="77AC6952"/>
    <w:rsid w:val="77AF589E"/>
    <w:rsid w:val="77BE09EB"/>
    <w:rsid w:val="77BF07B7"/>
    <w:rsid w:val="77C474AF"/>
    <w:rsid w:val="77C5402F"/>
    <w:rsid w:val="77CF5728"/>
    <w:rsid w:val="77D92F5C"/>
    <w:rsid w:val="77D96CE8"/>
    <w:rsid w:val="77DF110B"/>
    <w:rsid w:val="77E07B20"/>
    <w:rsid w:val="77FE2909"/>
    <w:rsid w:val="7803027C"/>
    <w:rsid w:val="78090EAC"/>
    <w:rsid w:val="78097D12"/>
    <w:rsid w:val="780D0A5A"/>
    <w:rsid w:val="78192E32"/>
    <w:rsid w:val="782468AB"/>
    <w:rsid w:val="78272FA2"/>
    <w:rsid w:val="78276C97"/>
    <w:rsid w:val="782853E1"/>
    <w:rsid w:val="782C6DDF"/>
    <w:rsid w:val="782F17AC"/>
    <w:rsid w:val="783F390D"/>
    <w:rsid w:val="783F47D0"/>
    <w:rsid w:val="783F7459"/>
    <w:rsid w:val="784712B0"/>
    <w:rsid w:val="785749C6"/>
    <w:rsid w:val="785B2585"/>
    <w:rsid w:val="78663EC8"/>
    <w:rsid w:val="786650B0"/>
    <w:rsid w:val="786913E1"/>
    <w:rsid w:val="786B2018"/>
    <w:rsid w:val="78754341"/>
    <w:rsid w:val="78793198"/>
    <w:rsid w:val="7889720C"/>
    <w:rsid w:val="789206AF"/>
    <w:rsid w:val="78932D77"/>
    <w:rsid w:val="789B0106"/>
    <w:rsid w:val="789D0C97"/>
    <w:rsid w:val="78A21907"/>
    <w:rsid w:val="78A57A19"/>
    <w:rsid w:val="78B03585"/>
    <w:rsid w:val="78B546FC"/>
    <w:rsid w:val="78C26479"/>
    <w:rsid w:val="78D365F7"/>
    <w:rsid w:val="78E434A4"/>
    <w:rsid w:val="78ED3A3C"/>
    <w:rsid w:val="78F50002"/>
    <w:rsid w:val="78F8122D"/>
    <w:rsid w:val="79016308"/>
    <w:rsid w:val="79020895"/>
    <w:rsid w:val="790D7A3D"/>
    <w:rsid w:val="791277C4"/>
    <w:rsid w:val="791677D6"/>
    <w:rsid w:val="79176D5F"/>
    <w:rsid w:val="7917736C"/>
    <w:rsid w:val="79265BAF"/>
    <w:rsid w:val="792D4A81"/>
    <w:rsid w:val="79386064"/>
    <w:rsid w:val="7946086B"/>
    <w:rsid w:val="7948566E"/>
    <w:rsid w:val="794A2552"/>
    <w:rsid w:val="794A6D84"/>
    <w:rsid w:val="7953247C"/>
    <w:rsid w:val="79561748"/>
    <w:rsid w:val="7959716D"/>
    <w:rsid w:val="79671251"/>
    <w:rsid w:val="796A2C71"/>
    <w:rsid w:val="797558AF"/>
    <w:rsid w:val="797606B5"/>
    <w:rsid w:val="79771661"/>
    <w:rsid w:val="79802A1F"/>
    <w:rsid w:val="79831FDD"/>
    <w:rsid w:val="7988128B"/>
    <w:rsid w:val="798D6769"/>
    <w:rsid w:val="79924658"/>
    <w:rsid w:val="799261F9"/>
    <w:rsid w:val="799755B7"/>
    <w:rsid w:val="79A101B2"/>
    <w:rsid w:val="79A17BAB"/>
    <w:rsid w:val="79A41C0E"/>
    <w:rsid w:val="79AC560E"/>
    <w:rsid w:val="79B24DFB"/>
    <w:rsid w:val="79B449DC"/>
    <w:rsid w:val="79B967C1"/>
    <w:rsid w:val="79BB3724"/>
    <w:rsid w:val="79CA3C6C"/>
    <w:rsid w:val="79CE043F"/>
    <w:rsid w:val="79D905E7"/>
    <w:rsid w:val="79E02738"/>
    <w:rsid w:val="79E2370F"/>
    <w:rsid w:val="79E26422"/>
    <w:rsid w:val="79E46955"/>
    <w:rsid w:val="79E61F34"/>
    <w:rsid w:val="79EA5AAA"/>
    <w:rsid w:val="79EA7204"/>
    <w:rsid w:val="79FA4622"/>
    <w:rsid w:val="79FB36D6"/>
    <w:rsid w:val="79FB56D5"/>
    <w:rsid w:val="7A06571B"/>
    <w:rsid w:val="7A0839E6"/>
    <w:rsid w:val="7A08540C"/>
    <w:rsid w:val="7A090D91"/>
    <w:rsid w:val="7A1645E4"/>
    <w:rsid w:val="7A1C674A"/>
    <w:rsid w:val="7A1E4468"/>
    <w:rsid w:val="7A214FE6"/>
    <w:rsid w:val="7A225F34"/>
    <w:rsid w:val="7A272EF7"/>
    <w:rsid w:val="7A294682"/>
    <w:rsid w:val="7A34506E"/>
    <w:rsid w:val="7A4A788D"/>
    <w:rsid w:val="7A4C5B68"/>
    <w:rsid w:val="7A540837"/>
    <w:rsid w:val="7A5769B0"/>
    <w:rsid w:val="7A5D7970"/>
    <w:rsid w:val="7A7374FF"/>
    <w:rsid w:val="7A7523B2"/>
    <w:rsid w:val="7A752774"/>
    <w:rsid w:val="7A933FD1"/>
    <w:rsid w:val="7A9A0F42"/>
    <w:rsid w:val="7A9A5AF4"/>
    <w:rsid w:val="7AA14074"/>
    <w:rsid w:val="7AA93A01"/>
    <w:rsid w:val="7AB8631A"/>
    <w:rsid w:val="7ABA14B5"/>
    <w:rsid w:val="7ABA61D4"/>
    <w:rsid w:val="7ABB2F84"/>
    <w:rsid w:val="7ABD3916"/>
    <w:rsid w:val="7AC3340A"/>
    <w:rsid w:val="7AC54C8E"/>
    <w:rsid w:val="7ACC355C"/>
    <w:rsid w:val="7AD241A1"/>
    <w:rsid w:val="7AD938CF"/>
    <w:rsid w:val="7AD97B67"/>
    <w:rsid w:val="7AD97F9C"/>
    <w:rsid w:val="7AE123E1"/>
    <w:rsid w:val="7AE418A8"/>
    <w:rsid w:val="7AEE392C"/>
    <w:rsid w:val="7AEF2C3E"/>
    <w:rsid w:val="7AF05157"/>
    <w:rsid w:val="7B266453"/>
    <w:rsid w:val="7B277C6A"/>
    <w:rsid w:val="7B2B3945"/>
    <w:rsid w:val="7B2D5FFE"/>
    <w:rsid w:val="7B350FB5"/>
    <w:rsid w:val="7B375659"/>
    <w:rsid w:val="7B3801D3"/>
    <w:rsid w:val="7B3835EE"/>
    <w:rsid w:val="7B3A78AB"/>
    <w:rsid w:val="7B3B4A61"/>
    <w:rsid w:val="7B402198"/>
    <w:rsid w:val="7B460756"/>
    <w:rsid w:val="7B48459B"/>
    <w:rsid w:val="7B4969D3"/>
    <w:rsid w:val="7B5639C0"/>
    <w:rsid w:val="7B603189"/>
    <w:rsid w:val="7B6507BF"/>
    <w:rsid w:val="7B671E5C"/>
    <w:rsid w:val="7B70722D"/>
    <w:rsid w:val="7B765104"/>
    <w:rsid w:val="7B793A8C"/>
    <w:rsid w:val="7B877ACE"/>
    <w:rsid w:val="7B8A023A"/>
    <w:rsid w:val="7B9077FC"/>
    <w:rsid w:val="7B935219"/>
    <w:rsid w:val="7BA30361"/>
    <w:rsid w:val="7BA46CDF"/>
    <w:rsid w:val="7BB13CE9"/>
    <w:rsid w:val="7BB74E0E"/>
    <w:rsid w:val="7BBD22B5"/>
    <w:rsid w:val="7BC11C3E"/>
    <w:rsid w:val="7BC642F2"/>
    <w:rsid w:val="7BC8735D"/>
    <w:rsid w:val="7BCA505F"/>
    <w:rsid w:val="7BD07E02"/>
    <w:rsid w:val="7BD21632"/>
    <w:rsid w:val="7BD55F21"/>
    <w:rsid w:val="7BDB5897"/>
    <w:rsid w:val="7BDD364E"/>
    <w:rsid w:val="7BEF1479"/>
    <w:rsid w:val="7BF9780B"/>
    <w:rsid w:val="7BFF5400"/>
    <w:rsid w:val="7C0300CC"/>
    <w:rsid w:val="7C040408"/>
    <w:rsid w:val="7C0C47DF"/>
    <w:rsid w:val="7C1B43DB"/>
    <w:rsid w:val="7C1C6804"/>
    <w:rsid w:val="7C303B7B"/>
    <w:rsid w:val="7C324215"/>
    <w:rsid w:val="7C36452C"/>
    <w:rsid w:val="7C3711DF"/>
    <w:rsid w:val="7C385574"/>
    <w:rsid w:val="7C3C4A4E"/>
    <w:rsid w:val="7C3C4ED0"/>
    <w:rsid w:val="7C3D1422"/>
    <w:rsid w:val="7C3E4C4A"/>
    <w:rsid w:val="7C43369E"/>
    <w:rsid w:val="7C4C3D85"/>
    <w:rsid w:val="7C5533D1"/>
    <w:rsid w:val="7C6D79EB"/>
    <w:rsid w:val="7C71234B"/>
    <w:rsid w:val="7C8E2A29"/>
    <w:rsid w:val="7C9B2245"/>
    <w:rsid w:val="7C9B338B"/>
    <w:rsid w:val="7CA0439F"/>
    <w:rsid w:val="7CAC1243"/>
    <w:rsid w:val="7CB577F2"/>
    <w:rsid w:val="7CB617CD"/>
    <w:rsid w:val="7CB95C8B"/>
    <w:rsid w:val="7CC3614C"/>
    <w:rsid w:val="7CCD3297"/>
    <w:rsid w:val="7CD5524F"/>
    <w:rsid w:val="7CDB22FD"/>
    <w:rsid w:val="7CE85E5B"/>
    <w:rsid w:val="7CE8746C"/>
    <w:rsid w:val="7CF542E4"/>
    <w:rsid w:val="7CF677B3"/>
    <w:rsid w:val="7CFB6751"/>
    <w:rsid w:val="7D01583D"/>
    <w:rsid w:val="7D025AD4"/>
    <w:rsid w:val="7D037BFB"/>
    <w:rsid w:val="7D1927AE"/>
    <w:rsid w:val="7D19417B"/>
    <w:rsid w:val="7D2B47E1"/>
    <w:rsid w:val="7D306841"/>
    <w:rsid w:val="7D322F8A"/>
    <w:rsid w:val="7D39084C"/>
    <w:rsid w:val="7D395823"/>
    <w:rsid w:val="7D400333"/>
    <w:rsid w:val="7D4768EE"/>
    <w:rsid w:val="7D4C467E"/>
    <w:rsid w:val="7D4C54F0"/>
    <w:rsid w:val="7D4C5D2E"/>
    <w:rsid w:val="7D5900F8"/>
    <w:rsid w:val="7D7106B0"/>
    <w:rsid w:val="7D7B4FAF"/>
    <w:rsid w:val="7D801DC0"/>
    <w:rsid w:val="7D8C1FA1"/>
    <w:rsid w:val="7D966F32"/>
    <w:rsid w:val="7DA42E56"/>
    <w:rsid w:val="7DB02836"/>
    <w:rsid w:val="7DB41B85"/>
    <w:rsid w:val="7DB8411A"/>
    <w:rsid w:val="7DBD6D4F"/>
    <w:rsid w:val="7DD238CE"/>
    <w:rsid w:val="7DD9578A"/>
    <w:rsid w:val="7DE54B75"/>
    <w:rsid w:val="7DF300F5"/>
    <w:rsid w:val="7DF72FD1"/>
    <w:rsid w:val="7DF87124"/>
    <w:rsid w:val="7DF95094"/>
    <w:rsid w:val="7DFA631C"/>
    <w:rsid w:val="7E006BE8"/>
    <w:rsid w:val="7E0358EE"/>
    <w:rsid w:val="7E03795E"/>
    <w:rsid w:val="7E085492"/>
    <w:rsid w:val="7E095EE1"/>
    <w:rsid w:val="7E0973BF"/>
    <w:rsid w:val="7E0E2BAB"/>
    <w:rsid w:val="7E0E2FA8"/>
    <w:rsid w:val="7E23102D"/>
    <w:rsid w:val="7E281069"/>
    <w:rsid w:val="7E2A0962"/>
    <w:rsid w:val="7E2D018D"/>
    <w:rsid w:val="7E30075A"/>
    <w:rsid w:val="7E38154A"/>
    <w:rsid w:val="7E453D14"/>
    <w:rsid w:val="7E465577"/>
    <w:rsid w:val="7E4932C4"/>
    <w:rsid w:val="7E503B07"/>
    <w:rsid w:val="7E512CAE"/>
    <w:rsid w:val="7E5661BF"/>
    <w:rsid w:val="7E591BBB"/>
    <w:rsid w:val="7E6016E6"/>
    <w:rsid w:val="7E64510B"/>
    <w:rsid w:val="7E655AA0"/>
    <w:rsid w:val="7E745D91"/>
    <w:rsid w:val="7E754829"/>
    <w:rsid w:val="7E775919"/>
    <w:rsid w:val="7E777091"/>
    <w:rsid w:val="7E855DF1"/>
    <w:rsid w:val="7E8E3A57"/>
    <w:rsid w:val="7EAB1297"/>
    <w:rsid w:val="7EB56E39"/>
    <w:rsid w:val="7EBA4264"/>
    <w:rsid w:val="7ED014A3"/>
    <w:rsid w:val="7ED420F1"/>
    <w:rsid w:val="7ED9490E"/>
    <w:rsid w:val="7EDC2080"/>
    <w:rsid w:val="7EE04B43"/>
    <w:rsid w:val="7EE3511C"/>
    <w:rsid w:val="7EE51137"/>
    <w:rsid w:val="7EE678FA"/>
    <w:rsid w:val="7EEC246D"/>
    <w:rsid w:val="7EEC28EB"/>
    <w:rsid w:val="7EF12C87"/>
    <w:rsid w:val="7EF77D36"/>
    <w:rsid w:val="7F021286"/>
    <w:rsid w:val="7F033FDA"/>
    <w:rsid w:val="7F0D7C5D"/>
    <w:rsid w:val="7F122925"/>
    <w:rsid w:val="7F126354"/>
    <w:rsid w:val="7F197B07"/>
    <w:rsid w:val="7F28671C"/>
    <w:rsid w:val="7F2F2E35"/>
    <w:rsid w:val="7F32771F"/>
    <w:rsid w:val="7F3B6CBA"/>
    <w:rsid w:val="7F4C0F41"/>
    <w:rsid w:val="7F4E2207"/>
    <w:rsid w:val="7F52427A"/>
    <w:rsid w:val="7F5331B8"/>
    <w:rsid w:val="7F68731A"/>
    <w:rsid w:val="7F6A602F"/>
    <w:rsid w:val="7F7A2044"/>
    <w:rsid w:val="7F7D7738"/>
    <w:rsid w:val="7F7F3CCC"/>
    <w:rsid w:val="7F8068FE"/>
    <w:rsid w:val="7F9B559F"/>
    <w:rsid w:val="7FA952CA"/>
    <w:rsid w:val="7FB32622"/>
    <w:rsid w:val="7FBB2FF3"/>
    <w:rsid w:val="7FBD3767"/>
    <w:rsid w:val="7FBE0749"/>
    <w:rsid w:val="7FD02EB2"/>
    <w:rsid w:val="7FD44B4B"/>
    <w:rsid w:val="7FDA2FB8"/>
    <w:rsid w:val="7FDB048E"/>
    <w:rsid w:val="7FE40DBC"/>
    <w:rsid w:val="7FEF5E03"/>
    <w:rsid w:val="7FF4698E"/>
    <w:rsid w:val="7FFE0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autoRedefine/>
    <w:qFormat/>
    <w:uiPriority w:val="0"/>
    <w:pPr>
      <w:keepNext/>
      <w:keepLines/>
      <w:pageBreakBefore/>
      <w:spacing w:before="156" w:beforeLines="50" w:after="156" w:afterLines="50" w:line="600" w:lineRule="exact"/>
      <w:ind w:firstLine="0" w:firstLineChars="0"/>
      <w:jc w:val="center"/>
      <w:outlineLvl w:val="0"/>
    </w:pPr>
    <w:rPr>
      <w:rFonts w:ascii="黑体" w:hAnsi="Calibri" w:eastAsia="黑体"/>
      <w:bCs/>
      <w:kern w:val="44"/>
      <w:sz w:val="32"/>
      <w:szCs w:val="44"/>
    </w:rPr>
  </w:style>
  <w:style w:type="paragraph" w:styleId="4">
    <w:name w:val="heading 2"/>
    <w:basedOn w:val="1"/>
    <w:next w:val="1"/>
    <w:autoRedefine/>
    <w:qFormat/>
    <w:uiPriority w:val="0"/>
    <w:pPr>
      <w:keepNext/>
      <w:keepLines/>
      <w:spacing w:before="156" w:beforeLines="50" w:after="156" w:afterLines="50" w:line="600" w:lineRule="exact"/>
      <w:ind w:firstLine="0" w:firstLineChars="0"/>
      <w:jc w:val="center"/>
      <w:outlineLvl w:val="1"/>
    </w:pPr>
    <w:rPr>
      <w:rFonts w:ascii="宋体" w:hAnsi="宋体"/>
      <w:b/>
      <w:bCs/>
      <w:color w:val="000000"/>
      <w:sz w:val="32"/>
      <w:szCs w:val="30"/>
    </w:rPr>
  </w:style>
  <w:style w:type="character" w:default="1" w:styleId="14">
    <w:name w:val="Default Paragraph Font"/>
    <w:autoRedefine/>
    <w:semiHidden/>
    <w:qFormat/>
    <w:uiPriority w:val="0"/>
  </w:style>
  <w:style w:type="table" w:default="1" w:styleId="12">
    <w:name w:val="Normal Table"/>
    <w:autoRedefin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index 8"/>
    <w:basedOn w:val="1"/>
    <w:next w:val="1"/>
    <w:autoRedefine/>
    <w:qFormat/>
    <w:uiPriority w:val="99"/>
    <w:pPr>
      <w:ind w:left="0" w:firstLine="880" w:firstLineChars="200"/>
      <w:jc w:val="left"/>
    </w:pPr>
    <w:rPr>
      <w:rFonts w:eastAsia="宋体"/>
    </w:rPr>
  </w:style>
  <w:style w:type="paragraph" w:styleId="6">
    <w:name w:val="Body Text"/>
    <w:basedOn w:val="1"/>
    <w:autoRedefine/>
    <w:qFormat/>
    <w:uiPriority w:val="1"/>
    <w:rPr>
      <w:rFonts w:ascii="宋体" w:hAnsi="宋体" w:eastAsia="宋体" w:cs="宋体"/>
      <w:sz w:val="24"/>
      <w:szCs w:val="24"/>
      <w:lang w:val="zh-CN" w:eastAsia="zh-CN" w:bidi="zh-CN"/>
    </w:rPr>
  </w:style>
  <w:style w:type="paragraph" w:styleId="7">
    <w:name w:val="footer"/>
    <w:basedOn w:val="1"/>
    <w:autoRedefine/>
    <w:unhideWhenUsed/>
    <w:qFormat/>
    <w:uiPriority w:val="99"/>
    <w:pPr>
      <w:tabs>
        <w:tab w:val="center" w:pos="4153"/>
        <w:tab w:val="right" w:pos="8306"/>
      </w:tabs>
      <w:jc w:val="left"/>
    </w:pPr>
    <w:rPr>
      <w:rFonts w:ascii="Calibri" w:hAnsi="Calibri"/>
      <w:kern w:val="0"/>
      <w:sz w:val="18"/>
      <w:szCs w:val="18"/>
    </w:rPr>
  </w:style>
  <w:style w:type="paragraph" w:styleId="8">
    <w:name w:val="header"/>
    <w:basedOn w:val="1"/>
    <w:autoRedefine/>
    <w:unhideWhenUsed/>
    <w:qFormat/>
    <w:uiPriority w:val="0"/>
    <w:pPr>
      <w:tabs>
        <w:tab w:val="center" w:pos="4153"/>
        <w:tab w:val="right" w:pos="8306"/>
      </w:tabs>
      <w:jc w:val="center"/>
    </w:pPr>
    <w:rPr>
      <w:rFonts w:ascii="Calibri" w:hAnsi="Calibri"/>
      <w:sz w:val="18"/>
      <w:szCs w:val="18"/>
    </w:rPr>
  </w:style>
  <w:style w:type="paragraph" w:styleId="9">
    <w:name w:val="toc 1"/>
    <w:basedOn w:val="1"/>
    <w:next w:val="1"/>
    <w:autoRedefine/>
    <w:qFormat/>
    <w:uiPriority w:val="39"/>
    <w:pPr>
      <w:adjustRightInd/>
      <w:snapToGrid/>
      <w:spacing w:before="120" w:beforeLines="0" w:after="120" w:afterLines="0" w:line="240" w:lineRule="auto"/>
      <w:ind w:firstLine="0" w:firstLineChars="0"/>
      <w:jc w:val="left"/>
    </w:pPr>
    <w:rPr>
      <w:b/>
      <w:bCs/>
      <w:caps/>
    </w:rPr>
  </w:style>
  <w:style w:type="paragraph" w:styleId="10">
    <w:name w:val="toc 2"/>
    <w:basedOn w:val="1"/>
    <w:next w:val="1"/>
    <w:autoRedefine/>
    <w:qFormat/>
    <w:uiPriority w:val="39"/>
    <w:pPr>
      <w:adjustRightInd/>
      <w:snapToGrid/>
      <w:spacing w:line="240" w:lineRule="auto"/>
      <w:ind w:left="301" w:firstLine="0" w:firstLineChars="0"/>
      <w:jc w:val="left"/>
    </w:pPr>
    <w:rPr>
      <w:smallCaps/>
    </w:rPr>
  </w:style>
  <w:style w:type="paragraph" w:styleId="11">
    <w:name w:val="Normal (Web)"/>
    <w:basedOn w:val="1"/>
    <w:autoRedefine/>
    <w:qFormat/>
    <w:uiPriority w:val="0"/>
    <w:rPr>
      <w:sz w:val="24"/>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5">
    <w:name w:val="page number"/>
    <w:basedOn w:val="14"/>
    <w:autoRedefine/>
    <w:qFormat/>
    <w:uiPriority w:val="0"/>
  </w:style>
  <w:style w:type="paragraph" w:customStyle="1" w:styleId="16">
    <w:name w:val="_正文格式"/>
    <w:basedOn w:val="1"/>
    <w:autoRedefine/>
    <w:qFormat/>
    <w:uiPriority w:val="0"/>
    <w:pPr>
      <w:adjustRightInd/>
      <w:snapToGrid/>
      <w:spacing w:line="560" w:lineRule="exact"/>
    </w:pPr>
    <w:rPr>
      <w:rFonts w:ascii="Calibri" w:hAnsi="Calibri" w:eastAsia="仿宋_GB2312"/>
      <w:sz w:val="28"/>
      <w:szCs w:val="24"/>
    </w:rPr>
  </w:style>
  <w:style w:type="character" w:customStyle="1" w:styleId="17">
    <w:name w:val="表头 Char Char"/>
    <w:autoRedefine/>
    <w:qFormat/>
    <w:uiPriority w:val="0"/>
    <w:rPr>
      <w:rFonts w:ascii="黑体" w:hAnsi="Calibri" w:eastAsia="黑体"/>
      <w:kern w:val="0"/>
    </w:rPr>
  </w:style>
  <w:style w:type="paragraph" w:customStyle="1" w:styleId="18">
    <w:name w:val="表头"/>
    <w:basedOn w:val="1"/>
    <w:link w:val="22"/>
    <w:autoRedefine/>
    <w:qFormat/>
    <w:uiPriority w:val="0"/>
    <w:pPr>
      <w:adjustRightInd/>
      <w:snapToGrid/>
      <w:ind w:firstLine="0" w:firstLineChars="0"/>
      <w:jc w:val="center"/>
    </w:pPr>
    <w:rPr>
      <w:rFonts w:ascii="黑体" w:hAnsi="Calibri" w:eastAsia="黑体"/>
      <w:kern w:val="0"/>
    </w:rPr>
  </w:style>
  <w:style w:type="paragraph" w:customStyle="1" w:styleId="19">
    <w:name w:val="p0"/>
    <w:basedOn w:val="1"/>
    <w:autoRedefine/>
    <w:qFormat/>
    <w:uiPriority w:val="0"/>
    <w:pPr>
      <w:widowControl/>
      <w:adjustRightInd/>
      <w:snapToGrid/>
      <w:spacing w:line="240" w:lineRule="auto"/>
      <w:ind w:firstLine="0" w:firstLineChars="0"/>
    </w:pPr>
    <w:rPr>
      <w:kern w:val="0"/>
      <w:sz w:val="21"/>
      <w:szCs w:val="21"/>
    </w:rPr>
  </w:style>
  <w:style w:type="character" w:customStyle="1" w:styleId="20">
    <w:name w:val="font41"/>
    <w:autoRedefine/>
    <w:qFormat/>
    <w:uiPriority w:val="0"/>
    <w:rPr>
      <w:rFonts w:hint="eastAsia" w:ascii="宋体" w:hAnsi="宋体" w:eastAsia="宋体" w:cs="宋体"/>
      <w:color w:val="000000"/>
      <w:sz w:val="21"/>
      <w:szCs w:val="21"/>
      <w:u w:val="none"/>
    </w:rPr>
  </w:style>
  <w:style w:type="character" w:customStyle="1" w:styleId="21">
    <w:name w:val="font71"/>
    <w:autoRedefine/>
    <w:qFormat/>
    <w:uiPriority w:val="0"/>
    <w:rPr>
      <w:rFonts w:hint="eastAsia" w:ascii="Times New Roman" w:hAnsi="Times New Roman" w:cs="Times New Roman"/>
      <w:color w:val="000000"/>
      <w:sz w:val="21"/>
      <w:szCs w:val="21"/>
      <w:u w:val="none"/>
    </w:rPr>
  </w:style>
  <w:style w:type="character" w:customStyle="1" w:styleId="22">
    <w:name w:val="表头 Char"/>
    <w:link w:val="18"/>
    <w:autoRedefine/>
    <w:qFormat/>
    <w:uiPriority w:val="0"/>
    <w:rPr>
      <w:rFonts w:eastAsia="黑体"/>
      <w:sz w:val="24"/>
      <w:lang w:bidi="ar-SA"/>
    </w:rPr>
  </w:style>
  <w:style w:type="paragraph" w:customStyle="1" w:styleId="23">
    <w:name w:val="Table Paragraph"/>
    <w:basedOn w:val="1"/>
    <w:autoRedefine/>
    <w:qFormat/>
    <w:uiPriority w:val="1"/>
    <w:pPr>
      <w:jc w:val="center"/>
    </w:pPr>
    <w:rPr>
      <w:rFonts w:ascii="宋体" w:hAnsi="宋体" w:eastAsia="宋体" w:cs="宋体"/>
      <w:lang w:val="zh-CN" w:eastAsia="zh-CN" w:bidi="zh-CN"/>
    </w:rPr>
  </w:style>
  <w:style w:type="paragraph" w:customStyle="1" w:styleId="24">
    <w:name w:val="列出段落"/>
    <w:basedOn w:val="1"/>
    <w:autoRedefine/>
    <w:qFormat/>
    <w:uiPriority w:val="34"/>
    <w:pPr>
      <w:ind w:firstLine="420"/>
    </w:p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autoRedefine/>
    <w:qFormat/>
    <w:uiPriority w:val="0"/>
    <w:pPr>
      <w:ind w:leftChars="200"/>
    </w:pPr>
    <w:rPr>
      <w:rFonts w:ascii="Times New Roman" w:hAnsi="Times New Roman" w:eastAsia="宋体" w:cs="Times New Roman"/>
      <w:sz w:val="20"/>
      <w:szCs w:val="20"/>
    </w:rPr>
  </w:style>
  <w:style w:type="paragraph" w:customStyle="1" w:styleId="27">
    <w:name w:val="表格"/>
    <w:basedOn w:val="1"/>
    <w:next w:val="1"/>
    <w:autoRedefine/>
    <w:qFormat/>
    <w:uiPriority w:val="0"/>
    <w:pPr>
      <w:spacing w:line="240" w:lineRule="auto"/>
      <w:ind w:firstLine="0" w:firstLineChars="0"/>
      <w:jc w:val="center"/>
    </w:pPr>
    <w:rPr>
      <w:rFonts w:hint="eastAsia"/>
      <w:kern w:val="0"/>
      <w:sz w:val="24"/>
      <w:szCs w:val="24"/>
    </w:rPr>
  </w:style>
  <w:style w:type="paragraph" w:customStyle="1" w:styleId="28">
    <w:name w:val="ParaAttribute6"/>
    <w:autoRedefine/>
    <w:qFormat/>
    <w:uiPriority w:val="0"/>
    <w:pPr>
      <w:widowControl w:val="0"/>
      <w:wordWrap w:val="0"/>
      <w:spacing w:line="240" w:lineRule="exact"/>
      <w:ind w:left="0"/>
      <w:jc w:val="left"/>
    </w:pPr>
    <w:rPr>
      <w:rFonts w:ascii="Times New Roman" w:hAnsi="Times New Roman" w:eastAsia="宋体" w:cs="Times New Roman"/>
    </w:rPr>
  </w:style>
  <w:style w:type="paragraph" w:customStyle="1" w:styleId="29">
    <w:name w:val="我的正文"/>
    <w:basedOn w:val="1"/>
    <w:next w:val="1"/>
    <w:autoRedefine/>
    <w:qFormat/>
    <w:uiPriority w:val="0"/>
    <w:pPr>
      <w:keepNext w:val="0"/>
      <w:keepLines w:val="0"/>
      <w:widowControl w:val="0"/>
      <w:suppressLineNumbers w:val="0"/>
      <w:spacing w:before="0" w:beforeAutospacing="0" w:after="0" w:afterAutospacing="0"/>
      <w:ind w:left="0" w:right="0" w:firstLine="480"/>
      <w:jc w:val="both"/>
    </w:pPr>
    <w:rPr>
      <w:rFonts w:hint="default" w:ascii="Times New Roman" w:hAnsi="Times New Roman" w:eastAsia="宋体" w:cs="宋体"/>
      <w:kern w:val="2"/>
      <w:sz w:val="21"/>
      <w:szCs w:val="24"/>
      <w:lang w:val="en-US" w:eastAsia="zh-CN" w:bidi="ar"/>
    </w:rPr>
  </w:style>
  <w:style w:type="paragraph" w:customStyle="1" w:styleId="30">
    <w:name w:val="ParaAttribute33"/>
    <w:autoRedefine/>
    <w:qFormat/>
    <w:uiPriority w:val="0"/>
    <w:pPr>
      <w:widowControl w:val="0"/>
      <w:wordWrap w:val="0"/>
      <w:spacing w:line="274" w:lineRule="exact"/>
      <w:ind w:left="0"/>
      <w:jc w:val="left"/>
    </w:pPr>
    <w:rPr>
      <w:rFonts w:ascii="Times New Roman" w:hAnsi="Times New Roman" w:eastAsia="宋体" w:cs="Times New Roman"/>
    </w:rPr>
  </w:style>
  <w:style w:type="character" w:customStyle="1" w:styleId="31">
    <w:name w:val="CharAttribute12"/>
    <w:autoRedefine/>
    <w:qFormat/>
    <w:uiPriority w:val="0"/>
    <w:rPr>
      <w:rFonts w:ascii="??¨¬?" w:hAnsi="??¨¬?" w:eastAsia="??¨¬?"/>
      <w:sz w:val="24"/>
    </w:rPr>
  </w:style>
  <w:style w:type="paragraph" w:customStyle="1" w:styleId="32">
    <w:name w:val="ParaAttribute23"/>
    <w:autoRedefine/>
    <w:qFormat/>
    <w:uiPriority w:val="0"/>
    <w:pPr>
      <w:widowControl w:val="0"/>
      <w:wordWrap w:val="0"/>
      <w:spacing w:line="264" w:lineRule="exact"/>
      <w:ind w:left="0"/>
      <w:jc w:val="left"/>
    </w:pPr>
    <w:rPr>
      <w:rFonts w:ascii="Times New Roman" w:hAnsi="Times New Roman" w:eastAsia="宋体" w:cs="Times New Roman"/>
    </w:rPr>
  </w:style>
  <w:style w:type="paragraph" w:customStyle="1" w:styleId="33">
    <w:name w:val="ParaAttribute34"/>
    <w:autoRedefine/>
    <w:qFormat/>
    <w:uiPriority w:val="0"/>
    <w:pPr>
      <w:widowControl w:val="0"/>
      <w:wordWrap w:val="0"/>
      <w:spacing w:line="273" w:lineRule="exact"/>
      <w:ind w:left="0"/>
      <w:jc w:val="left"/>
    </w:pPr>
    <w:rPr>
      <w:rFonts w:ascii="Times New Roman" w:hAnsi="Times New Roman" w:eastAsia="宋体" w:cs="Times New Roman"/>
    </w:rPr>
  </w:style>
  <w:style w:type="character" w:customStyle="1" w:styleId="34">
    <w:name w:val="font21"/>
    <w:basedOn w:val="14"/>
    <w:autoRedefine/>
    <w:qFormat/>
    <w:uiPriority w:val="0"/>
    <w:rPr>
      <w:rFonts w:hint="eastAsia" w:ascii="宋体" w:hAnsi="宋体" w:eastAsia="宋体" w:cs="宋体"/>
      <w:color w:val="000000"/>
      <w:sz w:val="20"/>
      <w:szCs w:val="20"/>
      <w:u w:val="none"/>
    </w:rPr>
  </w:style>
  <w:style w:type="character" w:customStyle="1" w:styleId="35">
    <w:name w:val="font11"/>
    <w:basedOn w:val="14"/>
    <w:autoRedefine/>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1621</Words>
  <Characters>1965</Characters>
  <Lines>0</Lines>
  <Paragraphs>0</Paragraphs>
  <TotalTime>8</TotalTime>
  <ScaleCrop>false</ScaleCrop>
  <LinksUpToDate>false</LinksUpToDate>
  <CharactersWithSpaces>2008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2020-03-31T08:54:00Z</dcterms:created>
  <dc:creator>Administrator</dc:creator>
  <cp:lastModifiedBy>13947617819</cp:lastModifiedBy>
  <cp:lastPrinted>2024-03-22T10:11:00Z</cp:lastPrinted>
  <dcterms:modified xsi:type="dcterms:W3CDTF">2025-08-01T01:05:47Z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B3C48935C2FA48EE826010E8A9EF6801_13</vt:lpwstr>
  </property>
  <property fmtid="{D5CDD505-2E9C-101B-9397-08002B2CF9AE}" pid="4" name="KSOTemplateDocerSaveRecord">
    <vt:lpwstr>eyJoZGlkIjoiZGUyYWM5YTE4ZmFhNzRkYjUyNjczNWMwYjRhMDQyYmEiLCJ1c2VySWQiOiIzMTc5NDEwNjgifQ==</vt:lpwstr>
  </property>
</Properties>
</file>