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284A">
      <w:pPr>
        <w:snapToGrid/>
        <w:ind w:firstLine="0" w:firstLineChars="0"/>
        <w:outlineLvl w:val="0"/>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eastAsia="zh-CN"/>
          <w14:textFill>
            <w14:solidFill>
              <w14:schemeClr w14:val="tx1"/>
            </w14:solidFill>
          </w14:textFill>
        </w:rPr>
        <w:t>附件</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2</w:t>
      </w:r>
    </w:p>
    <w:p w14:paraId="2A36C17A">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18D77F73">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58D34A63">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bookmarkStart w:id="20" w:name="_GoBack"/>
      <w: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t>内蒙古自治区翁牛特旗毛卜沟萤石矿</w:t>
      </w:r>
      <w: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t>普查</w:t>
      </w:r>
    </w:p>
    <w:p w14:paraId="2E315C0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color w:val="000000" w:themeColor="text1"/>
          <w:sz w:val="56"/>
          <w:szCs w:val="56"/>
          <w:highlight w:val="none"/>
          <w14:textFill>
            <w14:solidFill>
              <w14:schemeClr w14:val="tx1"/>
            </w14:solidFill>
          </w14:textFill>
        </w:rPr>
      </w:pPr>
      <w:r>
        <w:rPr>
          <w:rFonts w:hint="eastAsia" w:ascii="黑体" w:hAnsi="黑体" w:eastAsia="黑体" w:cs="黑体"/>
          <w:i w:val="0"/>
          <w:iCs w:val="0"/>
          <w:caps w:val="0"/>
          <w:color w:val="000000" w:themeColor="text1"/>
          <w:spacing w:val="0"/>
          <w:sz w:val="44"/>
          <w:szCs w:val="44"/>
          <w:highlight w:val="none"/>
          <w:shd w:val="clear" w:fill="FFFFFF"/>
          <w14:textFill>
            <w14:solidFill>
              <w14:schemeClr w14:val="tx1"/>
            </w14:solidFill>
          </w14:textFill>
        </w:rPr>
        <w:t>探矿权挂牌出让文件</w:t>
      </w:r>
    </w:p>
    <w:bookmarkEnd w:id="20"/>
    <w:p w14:paraId="4B12D15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422774A3">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14:textFill>
            <w14:solidFill>
              <w14:schemeClr w14:val="tx1"/>
            </w14:solidFill>
          </w14:textFill>
        </w:rPr>
      </w:pPr>
    </w:p>
    <w:p w14:paraId="258D412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14:textFill>
            <w14:solidFill>
              <w14:schemeClr w14:val="tx1"/>
            </w14:solidFill>
          </w14:textFill>
        </w:rPr>
      </w:pPr>
    </w:p>
    <w:tbl>
      <w:tblPr>
        <w:tblStyle w:val="9"/>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6C352457">
        <w:tblPrEx>
          <w:tblCellMar>
            <w:top w:w="0" w:type="dxa"/>
            <w:left w:w="108" w:type="dxa"/>
            <w:bottom w:w="0" w:type="dxa"/>
            <w:right w:w="108" w:type="dxa"/>
          </w:tblCellMar>
        </w:tblPrEx>
        <w:trPr>
          <w:trHeight w:val="655" w:hRule="atLeast"/>
        </w:trPr>
        <w:tc>
          <w:tcPr>
            <w:tcW w:w="2712" w:type="dxa"/>
            <w:vAlign w:val="top"/>
          </w:tcPr>
          <w:p w14:paraId="757735B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项目编号：</w:t>
            </w:r>
          </w:p>
        </w:tc>
        <w:tc>
          <w:tcPr>
            <w:tcW w:w="5710" w:type="dxa"/>
            <w:vAlign w:val="top"/>
          </w:tcPr>
          <w:p w14:paraId="4B048B51">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赤公矿交告〔2025〕</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8</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号</w:t>
            </w:r>
          </w:p>
        </w:tc>
      </w:tr>
      <w:tr w14:paraId="77BF603C">
        <w:tblPrEx>
          <w:tblCellMar>
            <w:top w:w="0" w:type="dxa"/>
            <w:left w:w="108" w:type="dxa"/>
            <w:bottom w:w="0" w:type="dxa"/>
            <w:right w:w="108" w:type="dxa"/>
          </w:tblCellMar>
        </w:tblPrEx>
        <w:trPr>
          <w:trHeight w:val="1035" w:hRule="atLeast"/>
        </w:trPr>
        <w:tc>
          <w:tcPr>
            <w:tcW w:w="2712" w:type="dxa"/>
            <w:vAlign w:val="top"/>
          </w:tcPr>
          <w:p w14:paraId="54D3F8D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项目名称：</w:t>
            </w:r>
          </w:p>
        </w:tc>
        <w:tc>
          <w:tcPr>
            <w:tcW w:w="5710" w:type="dxa"/>
            <w:vAlign w:val="top"/>
          </w:tcPr>
          <w:p w14:paraId="6872DEF3">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内蒙古自治区翁牛特旗毛卜沟萤石矿</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普查</w:t>
            </w:r>
          </w:p>
        </w:tc>
      </w:tr>
      <w:tr w14:paraId="578CB615">
        <w:tblPrEx>
          <w:tblCellMar>
            <w:top w:w="0" w:type="dxa"/>
            <w:left w:w="108" w:type="dxa"/>
            <w:bottom w:w="0" w:type="dxa"/>
            <w:right w:w="108" w:type="dxa"/>
          </w:tblCellMar>
        </w:tblPrEx>
        <w:trPr>
          <w:trHeight w:val="676" w:hRule="atLeast"/>
        </w:trPr>
        <w:tc>
          <w:tcPr>
            <w:tcW w:w="2712" w:type="dxa"/>
            <w:vAlign w:val="top"/>
          </w:tcPr>
          <w:p w14:paraId="125CE0AA">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出让人：</w:t>
            </w:r>
          </w:p>
        </w:tc>
        <w:tc>
          <w:tcPr>
            <w:tcW w:w="5710" w:type="dxa"/>
            <w:vAlign w:val="top"/>
          </w:tcPr>
          <w:p w14:paraId="0005C7C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赤峰市自然资源局</w:t>
            </w:r>
          </w:p>
        </w:tc>
      </w:tr>
      <w:tr w14:paraId="6059CD7C">
        <w:tblPrEx>
          <w:tblCellMar>
            <w:top w:w="0" w:type="dxa"/>
            <w:left w:w="108" w:type="dxa"/>
            <w:bottom w:w="0" w:type="dxa"/>
            <w:right w:w="108" w:type="dxa"/>
          </w:tblCellMar>
        </w:tblPrEx>
        <w:trPr>
          <w:trHeight w:val="676" w:hRule="atLeast"/>
        </w:trPr>
        <w:tc>
          <w:tcPr>
            <w:tcW w:w="2712" w:type="dxa"/>
            <w:shd w:val="clear" w:color="auto" w:fill="auto"/>
            <w:vAlign w:val="top"/>
          </w:tcPr>
          <w:p w14:paraId="5223970F">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交易平台：</w:t>
            </w:r>
          </w:p>
        </w:tc>
        <w:tc>
          <w:tcPr>
            <w:tcW w:w="5710" w:type="dxa"/>
            <w:shd w:val="clear" w:color="auto" w:fill="auto"/>
            <w:vAlign w:val="top"/>
          </w:tcPr>
          <w:p w14:paraId="71858E7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赤峰市公共资源交易中心</w:t>
            </w:r>
          </w:p>
        </w:tc>
      </w:tr>
    </w:tbl>
    <w:p w14:paraId="7A35B79B">
      <w:pPr>
        <w:snapToGrid/>
        <w:ind w:firstLine="0" w:firstLineChars="0"/>
        <w:rPr>
          <w:rFonts w:ascii="Times New Roman" w:hAnsi="Times New Roman" w:eastAsia="仿宋_GB2312"/>
          <w:b/>
          <w:bCs/>
          <w:color w:val="000000" w:themeColor="text1"/>
          <w14:textFill>
            <w14:solidFill>
              <w14:schemeClr w14:val="tx1"/>
            </w14:solidFill>
          </w14:textFill>
        </w:rPr>
      </w:pPr>
    </w:p>
    <w:p w14:paraId="5BF236B4">
      <w:pPr>
        <w:snapToGrid/>
        <w:ind w:firstLine="0" w:firstLineChars="0"/>
        <w:rPr>
          <w:rFonts w:ascii="Times New Roman" w:hAnsi="Times New Roman" w:eastAsia="仿宋_GB2312"/>
          <w:b/>
          <w:bCs/>
          <w:color w:val="000000" w:themeColor="text1"/>
          <w14:textFill>
            <w14:solidFill>
              <w14:schemeClr w14:val="tx1"/>
            </w14:solidFill>
          </w14:textFill>
        </w:rPr>
      </w:pPr>
    </w:p>
    <w:p w14:paraId="761B6ED9">
      <w:pPr>
        <w:snapToGrid/>
        <w:ind w:firstLine="0" w:firstLineChars="0"/>
        <w:rPr>
          <w:rFonts w:ascii="Times New Roman" w:hAnsi="Times New Roman" w:eastAsia="仿宋_GB2312"/>
          <w:b/>
          <w:bCs/>
          <w:color w:val="000000" w:themeColor="text1"/>
          <w14:textFill>
            <w14:solidFill>
              <w14:schemeClr w14:val="tx1"/>
            </w14:solidFill>
          </w14:textFill>
        </w:rPr>
      </w:pPr>
    </w:p>
    <w:p w14:paraId="34C43A4F">
      <w:pPr>
        <w:pStyle w:val="3"/>
        <w:rPr>
          <w:rFonts w:ascii="Times New Roman" w:hAnsi="Times New Roman" w:eastAsia="仿宋_GB2312"/>
          <w:b/>
          <w:bCs/>
          <w:color w:val="000000" w:themeColor="text1"/>
          <w14:textFill>
            <w14:solidFill>
              <w14:schemeClr w14:val="tx1"/>
            </w14:solidFill>
          </w14:textFill>
        </w:rPr>
      </w:pPr>
    </w:p>
    <w:p w14:paraId="0B0CA995">
      <w:pPr>
        <w:pStyle w:val="2"/>
        <w:ind w:left="0" w:leftChars="0" w:firstLine="0" w:firstLineChars="0"/>
        <w:jc w:val="center"/>
        <w:rPr>
          <w:rFonts w:ascii="Times New Roman" w:hAnsi="Times New Roman"/>
          <w:color w:val="000000" w:themeColor="text1"/>
          <w14:textFill>
            <w14:solidFill>
              <w14:schemeClr w14:val="tx1"/>
            </w14:solidFill>
          </w14:textFill>
        </w:rPr>
        <w:sectPr>
          <w:headerReference r:id="rId3" w:type="default"/>
          <w:footerReference r:id="rId4" w:type="default"/>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r>
        <w:rPr>
          <w:rFonts w:hint="eastAsia" w:ascii="Times New Roman" w:hAnsi="Times New Roman"/>
          <w:color w:val="000000" w:themeColor="text1"/>
          <w14:textFill>
            <w14:solidFill>
              <w14:schemeClr w14:val="tx1"/>
            </w14:solidFill>
          </w14:textFill>
        </w:rPr>
        <w:t>202</w:t>
      </w:r>
      <w:r>
        <w:rPr>
          <w:rFonts w:hint="eastAsia" w:ascii="Times New Roman" w:hAnsi="Times New Roman"/>
          <w:color w:val="000000" w:themeColor="text1"/>
          <w:lang w:val="en-US" w:eastAsia="zh-CN"/>
          <w14:textFill>
            <w14:solidFill>
              <w14:schemeClr w14:val="tx1"/>
            </w14:solidFill>
          </w14:textFill>
        </w:rPr>
        <w:t>5</w:t>
      </w:r>
      <w:r>
        <w:rPr>
          <w:rFonts w:ascii="Times New Roman" w:hAnsi="Times New Roman"/>
          <w:color w:val="000000" w:themeColor="text1"/>
          <w:lang w:val="en"/>
          <w14:textFill>
            <w14:solidFill>
              <w14:schemeClr w14:val="tx1"/>
            </w14:solidFill>
          </w14:textFill>
        </w:rPr>
        <w:t>年</w:t>
      </w:r>
      <w:r>
        <w:rPr>
          <w:rFonts w:hint="eastAsia" w:ascii="Times New Roman" w:hAnsi="Times New Roman"/>
          <w:color w:val="000000" w:themeColor="text1"/>
          <w:u w:val="single"/>
          <w:lang w:val="en-US" w:eastAsia="zh-CN"/>
          <w14:textFill>
            <w14:solidFill>
              <w14:schemeClr w14:val="tx1"/>
            </w14:solidFill>
          </w14:textFill>
        </w:rPr>
        <w:t>9</w:t>
      </w:r>
      <w:r>
        <w:rPr>
          <w:rFonts w:ascii="Times New Roman" w:hAnsi="Times New Roman"/>
          <w:color w:val="000000" w:themeColor="text1"/>
          <w14:textFill>
            <w14:solidFill>
              <w14:schemeClr w14:val="tx1"/>
            </w14:solidFill>
          </w14:textFill>
        </w:rPr>
        <w:t>月</w:t>
      </w:r>
      <w:r>
        <w:rPr>
          <w:rFonts w:hint="eastAsia" w:ascii="Times New Roman" w:hAnsi="Times New Roman"/>
          <w:color w:val="000000" w:themeColor="text1"/>
          <w:u w:val="single"/>
          <w:lang w:val="en-US" w:eastAsia="zh-CN"/>
          <w14:textFill>
            <w14:solidFill>
              <w14:schemeClr w14:val="tx1"/>
            </w14:solidFill>
          </w14:textFill>
        </w:rPr>
        <w:t xml:space="preserve"> 1</w:t>
      </w:r>
      <w:r>
        <w:rPr>
          <w:rFonts w:hint="eastAsia" w:ascii="Times New Roman" w:hAnsi="Times New Roman"/>
          <w:color w:val="000000" w:themeColor="text1"/>
          <w14:textFill>
            <w14:solidFill>
              <w14:schemeClr w14:val="tx1"/>
            </w14:solidFill>
          </w14:textFill>
        </w:rPr>
        <w:t>日</w:t>
      </w:r>
    </w:p>
    <w:p w14:paraId="110015DE">
      <w:pPr>
        <w:pStyle w:val="2"/>
        <w:jc w:val="center"/>
        <w:rPr>
          <w:rFonts w:hint="eastAsia" w:ascii="黑体" w:hAnsi="黑体" w:eastAsia="黑体" w:cs="黑体"/>
          <w:color w:val="000000" w:themeColor="text1"/>
          <w:sz w:val="36"/>
          <w:szCs w:val="36"/>
          <w14:textFill>
            <w14:solidFill>
              <w14:schemeClr w14:val="tx1"/>
            </w14:solidFill>
          </w14:textFill>
        </w:rPr>
      </w:pPr>
      <w:bookmarkStart w:id="0" w:name="_Toc6511"/>
      <w:bookmarkEnd w:id="0"/>
      <w:bookmarkStart w:id="1" w:name="_Toc7534"/>
      <w:r>
        <w:rPr>
          <w:rFonts w:hint="eastAsia" w:ascii="黑体" w:hAnsi="黑体" w:eastAsia="黑体" w:cs="黑体"/>
          <w:color w:val="000000" w:themeColor="text1"/>
          <w:sz w:val="36"/>
          <w:szCs w:val="36"/>
          <w14:textFill>
            <w14:solidFill>
              <w14:schemeClr w14:val="tx1"/>
            </w14:solidFill>
          </w14:textFill>
        </w:rPr>
        <w:t xml:space="preserve">第一章 </w:t>
      </w:r>
      <w:bookmarkEnd w:id="1"/>
      <w:r>
        <w:rPr>
          <w:rFonts w:hint="eastAsia" w:ascii="黑体" w:hAnsi="黑体" w:eastAsia="黑体" w:cs="黑体"/>
          <w:color w:val="000000" w:themeColor="text1"/>
          <w:sz w:val="36"/>
          <w:szCs w:val="36"/>
          <w14:textFill>
            <w14:solidFill>
              <w14:schemeClr w14:val="tx1"/>
            </w14:solidFill>
          </w14:textFill>
        </w:rPr>
        <w:t>竞买须知</w:t>
      </w:r>
    </w:p>
    <w:p w14:paraId="52D9E0BB">
      <w:pPr>
        <w:keepNext/>
        <w:keepLines/>
        <w:widowControl/>
        <w:snapToGrid/>
        <w:spacing w:line="600" w:lineRule="exact"/>
        <w:ind w:firstLine="640" w:firstLineChars="200"/>
        <w:outlineLvl w:val="1"/>
        <w:rPr>
          <w:rFonts w:ascii="Times New Roman" w:hAnsi="Times New Roman" w:eastAsia="黑体"/>
          <w:color w:val="000000" w:themeColor="text1"/>
          <w:kern w:val="0"/>
          <w:sz w:val="32"/>
          <w:szCs w:val="32"/>
          <w14:textFill>
            <w14:solidFill>
              <w14:schemeClr w14:val="tx1"/>
            </w14:solidFill>
          </w14:textFill>
        </w:rPr>
      </w:pPr>
      <w:bookmarkStart w:id="2" w:name="_Toc467235654"/>
      <w:bookmarkEnd w:id="2"/>
      <w:bookmarkStart w:id="3" w:name="_Toc11629"/>
      <w:bookmarkEnd w:id="3"/>
      <w:bookmarkStart w:id="4" w:name="_Toc22159"/>
      <w:bookmarkEnd w:id="4"/>
      <w:bookmarkStart w:id="5" w:name="_Toc23315"/>
      <w:bookmarkEnd w:id="5"/>
      <w:bookmarkStart w:id="6" w:name="_Toc466928017"/>
      <w:bookmarkEnd w:id="6"/>
      <w:r>
        <w:rPr>
          <w:rFonts w:hint="eastAsia" w:ascii="Times New Roman" w:hAnsi="Times New Roman" w:eastAsia="黑体"/>
          <w:color w:val="000000" w:themeColor="text1"/>
          <w:kern w:val="0"/>
          <w:sz w:val="32"/>
          <w:szCs w:val="32"/>
          <w14:textFill>
            <w14:solidFill>
              <w14:schemeClr w14:val="tx1"/>
            </w14:solidFill>
          </w14:textFill>
        </w:rPr>
        <w:t>一</w:t>
      </w:r>
      <w:r>
        <w:rPr>
          <w:rFonts w:ascii="Times New Roman" w:hAnsi="Times New Roman" w:eastAsia="黑体"/>
          <w:color w:val="000000" w:themeColor="text1"/>
          <w:kern w:val="0"/>
          <w:sz w:val="32"/>
          <w:szCs w:val="32"/>
          <w14:textFill>
            <w14:solidFill>
              <w14:schemeClr w14:val="tx1"/>
            </w14:solidFill>
          </w14:textFill>
        </w:rPr>
        <w:t>、</w:t>
      </w:r>
      <w:r>
        <w:rPr>
          <w:rFonts w:hint="eastAsia" w:ascii="Times New Roman" w:hAnsi="Times New Roman" w:eastAsia="黑体"/>
          <w:color w:val="000000" w:themeColor="text1"/>
          <w:kern w:val="0"/>
          <w:sz w:val="32"/>
          <w:szCs w:val="32"/>
          <w14:textFill>
            <w14:solidFill>
              <w14:schemeClr w14:val="tx1"/>
            </w14:solidFill>
          </w14:textFill>
        </w:rPr>
        <w:t>关于</w:t>
      </w:r>
      <w:r>
        <w:rPr>
          <w:rFonts w:ascii="Times New Roman" w:hAnsi="Times New Roman" w:eastAsia="黑体"/>
          <w:color w:val="000000" w:themeColor="text1"/>
          <w:kern w:val="0"/>
          <w:sz w:val="32"/>
          <w:szCs w:val="32"/>
          <w14:textFill>
            <w14:solidFill>
              <w14:schemeClr w14:val="tx1"/>
            </w14:solidFill>
          </w14:textFill>
        </w:rPr>
        <w:t>出让文件</w:t>
      </w:r>
    </w:p>
    <w:p w14:paraId="6F032603">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bookmarkStart w:id="7" w:name="_Toc37108511"/>
      <w:bookmarkEnd w:id="7"/>
      <w:r>
        <w:rPr>
          <w:rFonts w:hint="eastAsia" w:ascii="Times New Roman" w:hAnsi="Times New Roman" w:eastAsia="仿宋_GB2312"/>
          <w:color w:val="000000" w:themeColor="text1"/>
          <w:sz w:val="32"/>
          <w:szCs w:val="32"/>
          <w:highlight w:val="none"/>
          <w14:textFill>
            <w14:solidFill>
              <w14:schemeClr w14:val="tx1"/>
            </w14:solidFill>
          </w14:textFill>
        </w:rPr>
        <w:t>（一）出让文件的解释、澄清</w:t>
      </w:r>
    </w:p>
    <w:p w14:paraId="75A72000">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1.竞买人获取出让文</w:t>
      </w:r>
      <w:r>
        <w:rPr>
          <w:rFonts w:ascii="Times New Roman" w:hAnsi="Times New Roman" w:eastAsia="仿宋_GB2312"/>
          <w:color w:val="000000" w:themeColor="text1"/>
          <w:sz w:val="32"/>
          <w:szCs w:val="32"/>
          <w:highlight w:val="none"/>
          <w14:textFill>
            <w14:solidFill>
              <w14:schemeClr w14:val="tx1"/>
            </w14:solidFill>
          </w14:textFill>
        </w:rPr>
        <w:t>件后，应认真阅读出让文件中所有的事项、格式、条款和规范要求等</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如有疑问，于出让公告截止时间15个工作日前，</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ascii="Times New Roman" w:hAnsi="Times New Roman" w:eastAsia="仿宋_GB2312"/>
          <w:color w:val="000000" w:themeColor="text1"/>
          <w:sz w:val="32"/>
          <w:szCs w:val="32"/>
          <w:highlight w:val="none"/>
          <w14:textFill>
            <w14:solidFill>
              <w14:schemeClr w14:val="tx1"/>
            </w14:solidFill>
          </w14:textFill>
        </w:rPr>
        <w:t>，否则由此引起的损失自行承担。</w:t>
      </w:r>
      <w:r>
        <w:rPr>
          <w:rFonts w:hint="eastAsia" w:ascii="Times New Roman" w:hAnsi="Times New Roman" w:eastAsia="仿宋_GB2312"/>
          <w:color w:val="000000" w:themeColor="text1"/>
          <w:sz w:val="32"/>
          <w:szCs w:val="32"/>
          <w:highlight w:val="none"/>
          <w14:textFill>
            <w14:solidFill>
              <w14:schemeClr w14:val="tx1"/>
            </w14:solidFill>
          </w14:textFill>
        </w:rPr>
        <w:t>竞买人未按要求办理有关事项，</w:t>
      </w:r>
      <w:r>
        <w:rPr>
          <w:rFonts w:ascii="Times New Roman" w:hAnsi="Times New Roman" w:eastAsia="仿宋_GB2312"/>
          <w:color w:val="000000" w:themeColor="text1"/>
          <w:sz w:val="32"/>
          <w:szCs w:val="32"/>
          <w:highlight w:val="none"/>
          <w14:textFill>
            <w14:solidFill>
              <w14:schemeClr w14:val="tx1"/>
            </w14:solidFill>
          </w14:textFill>
        </w:rPr>
        <w:t>其风险自行承担。</w:t>
      </w:r>
    </w:p>
    <w:p w14:paraId="28D66738">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cs" w:ascii="Times New Roman" w:hAnsi="Times New Roman" w:eastAsia="仿宋_GB2312"/>
          <w:color w:val="000000" w:themeColor="text1"/>
          <w:sz w:val="32"/>
          <w:szCs w:val="32"/>
          <w:highlight w:val="none"/>
          <w:cs/>
          <w14:textFill>
            <w14:solidFill>
              <w14:schemeClr w14:val="tx1"/>
            </w14:solidFill>
          </w14:textFill>
        </w:rPr>
        <w:t>2.</w:t>
      </w:r>
      <w:r>
        <w:rPr>
          <w:rFonts w:ascii="Times New Roman" w:hAnsi="Times New Roman" w:eastAsia="仿宋_GB2312"/>
          <w:color w:val="000000" w:themeColor="text1"/>
          <w:sz w:val="32"/>
          <w:szCs w:val="32"/>
          <w:highlight w:val="none"/>
          <w14:textFill>
            <w14:solidFill>
              <w14:schemeClr w14:val="tx1"/>
            </w14:solidFill>
          </w14:textFill>
        </w:rPr>
        <w:t>竞买人若对出让</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探矿权</w:t>
      </w:r>
      <w:r>
        <w:rPr>
          <w:rFonts w:ascii="Times New Roman" w:hAnsi="Times New Roman" w:eastAsia="仿宋_GB2312"/>
          <w:color w:val="000000" w:themeColor="text1"/>
          <w:sz w:val="32"/>
          <w:szCs w:val="32"/>
          <w:highlight w:val="none"/>
          <w14:textFill>
            <w14:solidFill>
              <w14:schemeClr w14:val="tx1"/>
            </w14:solidFill>
          </w14:textFill>
        </w:rPr>
        <w:t>有疑问，应于出让公告截止时间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15</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个工</w:t>
      </w:r>
      <w:r>
        <w:rPr>
          <w:rFonts w:ascii="Times New Roman" w:hAnsi="Times New Roman" w:eastAsia="仿宋_GB2312"/>
          <w:color w:val="000000" w:themeColor="text1"/>
          <w:sz w:val="32"/>
          <w:szCs w:val="32"/>
          <w:highlight w:val="none"/>
          <w14:textFill>
            <w14:solidFill>
              <w14:schemeClr w14:val="tx1"/>
            </w14:solidFill>
          </w14:textFill>
        </w:rPr>
        <w:t>作日前</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赤峰市自然资源局</w:t>
      </w:r>
      <w:r>
        <w:rPr>
          <w:rFonts w:ascii="Times New Roman" w:hAnsi="Times New Roman" w:eastAsia="仿宋_GB2312"/>
          <w:color w:val="000000" w:themeColor="text1"/>
          <w:sz w:val="32"/>
          <w:szCs w:val="32"/>
          <w:highlight w:val="none"/>
          <w14:textFill>
            <w14:solidFill>
              <w14:schemeClr w14:val="tx1"/>
            </w14:solidFill>
          </w14:textFill>
        </w:rPr>
        <w:t>。</w:t>
      </w:r>
    </w:p>
    <w:p w14:paraId="7F26C9A9">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3.根据竞买人的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疑问，</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及赤峰市自然资源局</w:t>
      </w:r>
      <w:r>
        <w:rPr>
          <w:rFonts w:ascii="Times New Roman" w:hAnsi="Times New Roman" w:eastAsia="仿宋_GB2312"/>
          <w:color w:val="000000" w:themeColor="text1"/>
          <w:sz w:val="32"/>
          <w:szCs w:val="32"/>
          <w:highlight w:val="none"/>
          <w14:textFill>
            <w14:solidFill>
              <w14:schemeClr w14:val="tx1"/>
            </w14:solidFill>
          </w14:textFill>
        </w:rPr>
        <w:t>做出澄清，于出让公告截止时间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个工作日前予以答复。</w:t>
      </w:r>
    </w:p>
    <w:p w14:paraId="21686C8E">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（二）出让文件的修改、补充</w:t>
      </w:r>
    </w:p>
    <w:p w14:paraId="11D41FCA">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1.交易平台根据出让人要求对出让文件进行修改、补充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14:textFill>
            <w14:solidFill>
              <w14:schemeClr w14:val="tx1"/>
            </w14:solidFill>
          </w14:textFill>
        </w:rPr>
        <w:t>，交易平台将于出让公告截止时间前</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个工作日将修改补充内容以公告形式</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自然资源部网站、内蒙古自治区自然资源厅网站、内蒙古自治区赤峰市公共资源交易网站、内蒙古自治区自然资源网上交易系统、赤峰市自然资源局网站</w:t>
      </w:r>
      <w:r>
        <w:rPr>
          <w:rFonts w:hint="eastAsia" w:ascii="Times New Roman" w:hAnsi="Times New Roman" w:eastAsia="仿宋_GB2312"/>
          <w:color w:val="000000" w:themeColor="text1"/>
          <w:sz w:val="32"/>
          <w:szCs w:val="32"/>
          <w:highlight w:val="none"/>
          <w14:textFill>
            <w14:solidFill>
              <w14:schemeClr w14:val="tx1"/>
            </w14:solidFill>
          </w14:textFill>
        </w:rPr>
        <w:t>发布。</w:t>
      </w:r>
    </w:p>
    <w:p w14:paraId="205F6724">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2.出让文件的修改、补充内容一旦公告，将作为出让文件的组成部分。当出让文件的修改、补充等在同一内容的表述上不一致时，以最后发出的公告为准。</w:t>
      </w:r>
    </w:p>
    <w:p w14:paraId="4794E4E7">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（三）出让文件变更的通知</w:t>
      </w:r>
    </w:p>
    <w:p w14:paraId="0AB39A4C">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本次出让有关信息如果发生变动变更，将</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在发布公告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的相</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网站及网上交易系统</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进行</w:t>
      </w:r>
      <w:r>
        <w:rPr>
          <w:rFonts w:hint="eastAsia" w:ascii="Times New Roman" w:hAnsi="Times New Roman" w:eastAsia="仿宋_GB2312"/>
          <w:color w:val="000000" w:themeColor="text1"/>
          <w:sz w:val="32"/>
          <w:szCs w:val="32"/>
          <w:highlight w:val="none"/>
          <w14:textFill>
            <w14:solidFill>
              <w14:schemeClr w14:val="tx1"/>
            </w14:solidFill>
          </w14:textFill>
        </w:rPr>
        <w:t>发布，竞买人需密切关注。竞买人未能及时接收、知悉出让文件变动变更信息，或未按照信息变更后的要求办理有关事项的，自行承担一切后果。</w:t>
      </w:r>
    </w:p>
    <w:p w14:paraId="388F0C3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14:textFill>
            <w14:solidFill>
              <w14:schemeClr w14:val="tx1"/>
            </w14:solidFill>
          </w14:textFill>
        </w:rPr>
      </w:pPr>
      <w:bookmarkStart w:id="8" w:name="_Toc22344"/>
      <w:bookmarkEnd w:id="8"/>
      <w:bookmarkStart w:id="9" w:name="_Toc470767499"/>
      <w:bookmarkEnd w:id="9"/>
      <w:bookmarkStart w:id="10" w:name="_Toc2710"/>
      <w:bookmarkEnd w:id="10"/>
      <w:bookmarkStart w:id="11" w:name="_Toc37108517"/>
      <w:bookmarkEnd w:id="11"/>
      <w:bookmarkStart w:id="12" w:name="_Toc37108519"/>
      <w:bookmarkEnd w:id="12"/>
      <w:bookmarkStart w:id="13" w:name="_Hlk80977375"/>
      <w:r>
        <w:rPr>
          <w:rFonts w:hint="eastAsia" w:ascii="Times New Roman" w:hAnsi="Times New Roman" w:eastAsia="黑体"/>
          <w:color w:val="000000" w:themeColor="text1"/>
          <w:kern w:val="0"/>
          <w:sz w:val="32"/>
          <w:szCs w:val="32"/>
          <w:lang w:val="en-US" w:eastAsia="zh-CN"/>
          <w14:textFill>
            <w14:solidFill>
              <w14:schemeClr w14:val="tx1"/>
            </w14:solidFill>
          </w14:textFill>
        </w:rPr>
        <w:t>二、</w:t>
      </w:r>
      <w:r>
        <w:rPr>
          <w:rFonts w:hint="eastAsia" w:ascii="Times New Roman" w:hAnsi="Times New Roman" w:eastAsia="黑体"/>
          <w:color w:val="000000" w:themeColor="text1"/>
          <w:kern w:val="0"/>
          <w:sz w:val="32"/>
          <w:szCs w:val="32"/>
          <w14:textFill>
            <w14:solidFill>
              <w14:schemeClr w14:val="tx1"/>
            </w14:solidFill>
          </w14:textFill>
        </w:rPr>
        <w:t>关于出让合同签订</w:t>
      </w:r>
    </w:p>
    <w:p w14:paraId="3BE9DE51">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挂牌成交结果公示期间无异议的，竞得人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公示期结束后20</w:t>
      </w:r>
      <w:r>
        <w:rPr>
          <w:rFonts w:hint="eastAsia" w:ascii="Times New Roman" w:hAnsi="Times New Roman" w:eastAsia="仿宋_GB2312"/>
          <w:color w:val="000000" w:themeColor="text1"/>
          <w:sz w:val="32"/>
          <w:szCs w:val="32"/>
          <w:highlight w:val="none"/>
          <w14:textFill>
            <w14:solidFill>
              <w14:schemeClr w14:val="tx1"/>
            </w14:solidFill>
          </w14:textFill>
        </w:rPr>
        <w:t>个工作日内携带企业营业执照正本和副本（彩色复印件加盖公章）、委托代理人身份证、授权委托书（加盖公章的原件）、成交确认书到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w:t>
      </w:r>
      <w:r>
        <w:rPr>
          <w:rFonts w:hint="eastAsia" w:ascii="Times New Roman" w:hAnsi="Times New Roman" w:eastAsia="仿宋_GB2312"/>
          <w:color w:val="000000" w:themeColor="text1"/>
          <w:sz w:val="32"/>
          <w:szCs w:val="32"/>
          <w:highlight w:val="none"/>
          <w14:textFill>
            <w14:solidFill>
              <w14:schemeClr w14:val="tx1"/>
            </w14:solidFill>
          </w14:textFill>
        </w:rPr>
        <w:t>自然资源</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局</w:t>
      </w:r>
      <w:r>
        <w:rPr>
          <w:rFonts w:hint="eastAsia" w:ascii="Times New Roman" w:hAnsi="Times New Roman" w:eastAsia="仿宋_GB2312"/>
          <w:color w:val="000000" w:themeColor="text1"/>
          <w:sz w:val="32"/>
          <w:szCs w:val="32"/>
          <w:highlight w:val="none"/>
          <w14:textFill>
            <w14:solidFill>
              <w14:schemeClr w14:val="tx1"/>
            </w14:solidFill>
          </w14:textFill>
        </w:rPr>
        <w:t>办理《探矿权出让合同》签订事宜。</w:t>
      </w:r>
    </w:p>
    <w:bookmarkEnd w:id="13"/>
    <w:p w14:paraId="752124B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lang w:val="en-US" w:eastAsia="zh-CN"/>
          <w14:textFill>
            <w14:solidFill>
              <w14:schemeClr w14:val="tx1"/>
            </w14:solidFill>
          </w14:textFill>
        </w:rPr>
      </w:pPr>
      <w:r>
        <w:rPr>
          <w:rFonts w:hint="eastAsia" w:ascii="Times New Roman" w:hAnsi="Times New Roman" w:eastAsia="黑体"/>
          <w:color w:val="000000" w:themeColor="text1"/>
          <w:kern w:val="0"/>
          <w:sz w:val="32"/>
          <w:szCs w:val="32"/>
          <w:lang w:val="en-US" w:eastAsia="zh-CN"/>
          <w14:textFill>
            <w14:solidFill>
              <w14:schemeClr w14:val="tx1"/>
            </w14:solidFill>
          </w14:textFill>
        </w:rPr>
        <w:t>三、关于探矿权登记</w:t>
      </w:r>
    </w:p>
    <w:p w14:paraId="15E1E37C">
      <w:pPr>
        <w:snapToGrid/>
        <w:spacing w:line="600" w:lineRule="exact"/>
        <w:ind w:firstLine="640" w:firstLineChars="200"/>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竞得人按《探矿权出让合同》约定缴纳探矿权出让收益，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w:t>
      </w:r>
      <w:r>
        <w:rPr>
          <w:rFonts w:hint="eastAsia" w:ascii="Times New Roman" w:hAnsi="Times New Roman" w:eastAsia="仿宋_GB2312"/>
          <w:color w:val="000000" w:themeColor="text1"/>
          <w:sz w:val="32"/>
          <w:szCs w:val="32"/>
          <w:highlight w:val="none"/>
          <w14:textFill>
            <w14:solidFill>
              <w14:schemeClr w14:val="tx1"/>
            </w14:solidFill>
          </w14:textFill>
        </w:rPr>
        <w:t>按有关规定申请办理探矿权登记。</w:t>
      </w:r>
    </w:p>
    <w:p w14:paraId="5521A906">
      <w:pPr>
        <w:adjustRightInd/>
        <w:snapToGrid/>
        <w:spacing w:line="580" w:lineRule="exact"/>
        <w:ind w:firstLine="640" w:firstLineChars="200"/>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四、</w:t>
      </w:r>
      <w:r>
        <w:rPr>
          <w:rFonts w:hint="eastAsia" w:ascii="Times New Roman" w:hAnsi="Times New Roman" w:eastAsia="黑体" w:cs="Times New Roman"/>
          <w:color w:val="000000" w:themeColor="text1"/>
          <w:kern w:val="0"/>
          <w:sz w:val="32"/>
          <w:szCs w:val="32"/>
          <w:highlight w:val="none"/>
          <w:u w:val="none"/>
          <w:lang w:val="en-US" w:eastAsia="zh-CN"/>
          <w14:textFill>
            <w14:solidFill>
              <w14:schemeClr w14:val="tx1"/>
            </w14:solidFill>
          </w14:textFill>
        </w:rPr>
        <w:t>违约及</w:t>
      </w: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违约责任</w:t>
      </w:r>
    </w:p>
    <w:p w14:paraId="425DE890">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（一）竞买人有下列行为之一的，视为违约：</w:t>
      </w:r>
    </w:p>
    <w:p w14:paraId="206C08EE">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1.串通报价，损害国家利益、社会利益或他人合法权益的；</w:t>
      </w:r>
    </w:p>
    <w:p w14:paraId="3A3C11D0">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2.弄虚作假，骗取竞买资格的；</w:t>
      </w:r>
    </w:p>
    <w:p w14:paraId="31A9150F">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隐瞒事实，恶意串通或采取其他非法手段竞得的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7B6027F8">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在公示期间有举报且经调查核实属违法违规行为的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78157DD5">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在竞买活动及合同签订过程中存在其他违反出让公告、双方约定和相关法律法规行为的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72A8FB70">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经按竞价规则竞价确定的最高报价人未按规定进行资格审核或经资格审核不符合竞买资质条件和要求的</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3F0E3F04">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7.被确定为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逾期不签订或拒绝签订《探矿权出让成交确认书》的；</w:t>
      </w:r>
    </w:p>
    <w:p w14:paraId="1855E5A2">
      <w:pPr>
        <w:spacing w:line="600" w:lineRule="exact"/>
        <w:ind w:firstLine="640" w:firstLineChars="200"/>
        <w:rPr>
          <w:rFonts w:hint="default" w:ascii="Times New Roman" w:hAnsi="Times New Roman" w:eastAsia="仿宋_GB2312"/>
          <w:color w:val="000000" w:themeColor="text1"/>
          <w:sz w:val="32"/>
          <w:szCs w:val="32"/>
          <w:u w:val="none"/>
          <w14:textFill>
            <w14:solidFill>
              <w14:schemeClr w14:val="tx1"/>
            </w14:solidFill>
          </w14:textFill>
        </w:rPr>
      </w:pPr>
      <w:r>
        <w:rPr>
          <w:rFonts w:hint="eastAsia" w:ascii="Times New Roman" w:hAnsi="Times New Roman" w:eastAsia="仿宋_GB2312"/>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olor w:val="000000" w:themeColor="text1"/>
          <w:sz w:val="32"/>
          <w:szCs w:val="32"/>
          <w:u w:val="none"/>
          <w14:textFill>
            <w14:solidFill>
              <w14:schemeClr w14:val="tx1"/>
            </w14:solidFill>
          </w14:textFill>
        </w:rPr>
        <w:t>逾期不签订或拒绝签订《探矿权出让合同》的；</w:t>
      </w:r>
    </w:p>
    <w:p w14:paraId="71122D72">
      <w:pPr>
        <w:spacing w:line="600" w:lineRule="exact"/>
        <w:ind w:left="0" w:leftChars="0"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olor w:val="000000" w:themeColor="text1"/>
          <w:sz w:val="32"/>
          <w:szCs w:val="32"/>
          <w:u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被确定为</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竞得人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，签订探矿权出让合同</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后，</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按征收机关要求，缴清滞纳金及欠缴出让收益金额的除外</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14:paraId="65645219">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.向主管部门或矿业权交易机构行贿或者采取其他不正当手段竞得的；</w:t>
      </w:r>
    </w:p>
    <w:p w14:paraId="06D49667">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.其他依法应当认定为违约行为的情形。</w:t>
      </w:r>
    </w:p>
    <w:p w14:paraId="5450E783">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（二）对有上述第（一）款违约行为的，按以下规定处理：</w:t>
      </w:r>
    </w:p>
    <w:p w14:paraId="616420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1.取</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消竞得人的竞得资格并在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内蒙古自治区自然资源厅网站、内蒙古自治区赤峰市公共资源交易网站、内蒙古自治区自然资源网上交易系统、赤峰市自然资源局网站发布</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7111819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2.按照公共资源交易领域失信联合惩戒要求，对失信主体信息进行记录、管理、公开。 </w:t>
      </w:r>
    </w:p>
    <w:p w14:paraId="5B51ACBE">
      <w:pPr>
        <w:adjustRightInd/>
        <w:snapToGrid/>
        <w:spacing w:line="580" w:lineRule="exact"/>
        <w:ind w:firstLine="640" w:firstLineChars="200"/>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保证金不予退还</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0C82C8C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竞得人逾期60日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，合同自动解除。</w:t>
      </w:r>
    </w:p>
    <w:p w14:paraId="2422C842">
      <w:pPr>
        <w:adjustRightInd/>
        <w:snapToGrid/>
        <w:spacing w:line="580" w:lineRule="exact"/>
        <w:ind w:left="0" w:leftChars="0" w:firstLine="640" w:firstLineChars="200"/>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（三）</w:t>
      </w:r>
      <w:r>
        <w:rPr>
          <w:rFonts w:hint="eastAsia" w:ascii="Times New Roman" w:hAnsi="Times New Roman" w:eastAsia="仿宋_GB2312" w:cs="Times New Roman"/>
          <w:strike w:val="0"/>
          <w:color w:val="000000" w:themeColor="text1"/>
          <w:sz w:val="32"/>
          <w:szCs w:val="32"/>
          <w:highlight w:val="none"/>
          <w:lang w:val="en-US" w:eastAsia="zh-CN"/>
          <w14:textFill>
            <w14:solidFill>
              <w14:schemeClr w14:val="tx1"/>
            </w14:solidFill>
          </w14:textFill>
        </w:rPr>
        <w:t>赤峰市</w:t>
      </w: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公共资源交易中心与竞买人或竞得人因网上交易产生纠纷的，交易各方应协商解决，协商不成的，可依法通过诉讼途径解决。</w:t>
      </w:r>
    </w:p>
    <w:p w14:paraId="1A19D622">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（四）出让人与竞得人签订出让合同后发生的违约情形及违约责任，按签订的《探矿权出让合同》处理。</w:t>
      </w:r>
    </w:p>
    <w:p w14:paraId="32D0C448">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（五）竞买人、竞得人违约，给他人造成损失的，应依法承担赔偿责任；构成犯罪的，依法追究刑事责任。</w:t>
      </w:r>
    </w:p>
    <w:p w14:paraId="15713EC4">
      <w:pPr>
        <w:adjustRightInd/>
        <w:snapToGrid/>
        <w:spacing w:line="580" w:lineRule="exact"/>
        <w:ind w:left="0" w:leftChars="0" w:firstLine="640" w:firstLineChars="20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五、风险告知</w:t>
      </w:r>
    </w:p>
    <w:p w14:paraId="1020BF2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（一）凡在矿业权网上交易系统上以竞买人的CA数字证书和密码登陆进行的操作，均被视为竞买人本人的行为，竞买人应当对以其CA数字证书进行的所有活动负法律责任。</w:t>
      </w:r>
    </w:p>
    <w:p w14:paraId="02F2D89A">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（二）因竞买人如下行为产生的一切后果，由竞买人承担：</w:t>
      </w:r>
    </w:p>
    <w:p w14:paraId="004218B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1.未及时登录交易系统、未及时关注相关竞价信息、未及时出价等导致没有参加竞价活动的；</w:t>
      </w:r>
    </w:p>
    <w:p w14:paraId="0050AC9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2.由于竞买人自身的终端设备和网络异常或操作不当等原因导致无法正常出价的；</w:t>
      </w:r>
    </w:p>
    <w:p w14:paraId="6BE9E3C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3.网络竞价的时间以交易系统服务器时间为准，由于竞买人自身终端设备时间与交易系统服务器时间不符而导致未能及时参与竞价的。</w:t>
      </w:r>
    </w:p>
    <w:p w14:paraId="5E580BDC">
      <w:pPr>
        <w:adjustRightInd/>
        <w:snapToGrid/>
        <w:spacing w:line="580" w:lineRule="exact"/>
        <w:ind w:firstLine="640" w:firstLineChars="200"/>
        <w:jc w:val="left"/>
        <w:rPr>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出让人、协办人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、矿业权交易机构均不承担任何赔偿责任。竞买人一旦参与网上竞价，即表明认同和接受网络竞价的客观状态、竞价系统传导给客户端的标的图文信息、成交价等。</w:t>
      </w:r>
      <w:r>
        <w:rPr>
          <w:rFonts w:eastAsia="仿宋_GB2312"/>
          <w:color w:val="000000" w:themeColor="text1"/>
          <w:sz w:val="32"/>
          <w:szCs w:val="32"/>
          <w14:textFill>
            <w14:solidFill>
              <w14:schemeClr w14:val="tx1"/>
            </w14:solidFill>
          </w14:textFill>
        </w:rPr>
        <w:br w:type="page"/>
      </w:r>
      <w:bookmarkStart w:id="14" w:name="_Toc466928023"/>
      <w:bookmarkEnd w:id="14"/>
      <w:bookmarkStart w:id="15" w:name="_Toc30807"/>
      <w:bookmarkEnd w:id="15"/>
      <w:bookmarkStart w:id="16" w:name="_Toc17028"/>
      <w:bookmarkEnd w:id="16"/>
      <w:r>
        <w:rPr>
          <w:rFonts w:hint="eastAsia" w:eastAsia="仿宋_GB2312"/>
          <w:color w:val="000000" w:themeColor="text1"/>
          <w:sz w:val="32"/>
          <w:szCs w:val="32"/>
          <w:lang w:val="en-US" w:eastAsia="zh-CN"/>
          <w14:textFill>
            <w14:solidFill>
              <w14:schemeClr w14:val="tx1"/>
            </w14:solidFill>
          </w14:textFill>
        </w:rPr>
        <w:t xml:space="preserve">                 </w:t>
      </w:r>
      <w:r>
        <w:rPr>
          <w:rFonts w:hint="eastAsia" w:ascii="Calibri" w:hAnsi="Calibri" w:eastAsia="黑体" w:cs="Times New Roman"/>
          <w:b/>
          <w:bCs/>
          <w:color w:val="000000" w:themeColor="text1"/>
          <w:kern w:val="44"/>
          <w:sz w:val="36"/>
          <w:szCs w:val="36"/>
          <w:lang w:val="en-US" w:eastAsia="zh-CN" w:bidi="ar-SA"/>
          <w14:textFill>
            <w14:solidFill>
              <w14:schemeClr w14:val="tx1"/>
            </w14:solidFill>
          </w14:textFill>
        </w:rPr>
        <w:t>第二章 挂牌报价规则</w:t>
      </w:r>
    </w:p>
    <w:p w14:paraId="3B4C7A51">
      <w:pPr>
        <w:keepNext w:val="0"/>
        <w:keepLines w:val="0"/>
        <w:pageBreakBefore w:val="0"/>
        <w:widowControl w:val="0"/>
        <w:kinsoku/>
        <w:wordWrap/>
        <w:overflowPunct/>
        <w:topLinePunct w:val="0"/>
        <w:autoSpaceDE/>
        <w:autoSpaceDN/>
        <w:bidi w:val="0"/>
        <w:adjustRightInd w:val="0"/>
        <w:snapToGrid/>
        <w:spacing w:before="224" w:beforeLines="50"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17" w:name="_Toc21196"/>
      <w:bookmarkEnd w:id="17"/>
      <w:bookmarkStart w:id="18" w:name="_Toc25914"/>
      <w:bookmarkEnd w:id="18"/>
      <w:bookmarkStart w:id="19" w:name="_Toc15544"/>
      <w:bookmarkEnd w:id="19"/>
      <w:r>
        <w:rPr>
          <w:rFonts w:hint="eastAsia"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p>
    <w:p w14:paraId="4FBA678E">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本规则依据《中华人民共和国矿产资源法》《矿业权交易规则》及相关法律法规制定，凡参加挂牌报价的竞买人必须遵守本规则各项规定，并对自己在挂牌活动中的行为负责。</w:t>
      </w:r>
    </w:p>
    <w:p w14:paraId="6990B57C">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w:t>
      </w:r>
      <w:r>
        <w:rPr>
          <w:rFonts w:hint="eastAsia" w:ascii="黑体" w:hAnsi="黑体" w:eastAsia="黑体" w:cs="黑体"/>
          <w:b w:val="0"/>
          <w:bCs w:val="0"/>
          <w:color w:val="000000" w:themeColor="text1"/>
          <w:sz w:val="32"/>
          <w:szCs w:val="32"/>
          <w:lang w:val="en-US" w:eastAsia="zh-CN"/>
          <w14:textFill>
            <w14:solidFill>
              <w14:schemeClr w14:val="tx1"/>
            </w14:solidFill>
          </w14:textFill>
        </w:rPr>
        <w:t>竞买原则</w:t>
      </w:r>
    </w:p>
    <w:p w14:paraId="7F65397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本次挂牌严格遵循“公开、公平、公正、诚实信用”的挂牌原则和“价高者得”的竞买原则。</w:t>
      </w:r>
    </w:p>
    <w:p w14:paraId="43081F7F">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三、报价程序</w:t>
      </w:r>
    </w:p>
    <w:p w14:paraId="743FF601">
      <w:pPr>
        <w:snapToGrid/>
        <w:spacing w:line="580" w:lineRule="exact"/>
        <w:ind w:firstLine="640" w:firstLineChars="200"/>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（一）竞买人如确定参加竞买活动，须办理CA数字证书</w:t>
      </w:r>
      <w:r>
        <w:rPr>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进行</w:t>
      </w:r>
      <w:r>
        <w:rPr>
          <w:rFonts w:hint="default"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报名并凭CA数字证书登录交易系统进行网上报价。</w:t>
      </w:r>
    </w:p>
    <w:p w14:paraId="4D82900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）竞买人如确定参加竞买活动，须登录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内蒙古自治区自然资源网上交易系统</w:t>
      </w:r>
      <w:r>
        <w:rPr>
          <w:rFonts w:hint="eastAsia" w:ascii="仿宋_GB2312" w:hAnsi="仿宋_GB2312" w:eastAsia="仿宋_GB2312" w:cs="仿宋_GB2312"/>
          <w:b/>
          <w:bCs/>
          <w:color w:val="000000" w:themeColor="text1"/>
          <w:sz w:val="22"/>
          <w:szCs w:val="22"/>
          <w:u w:val="none"/>
          <w:lang w:val="en-US" w:eastAsia="zh-CN"/>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u w:val="none"/>
          <w14:textFill>
            <w14:solidFill>
              <w14:schemeClr w14:val="tx1"/>
            </w14:solidFill>
          </w14:textFill>
        </w:rPr>
        <w:t>进行报名，</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具体操作步骤详见“内蒙古自治区自然资源网上交易系统”—</w:t>
      </w:r>
      <w:r>
        <w:rPr>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—“首页”——“交易流程”</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。如在操作中遇到问题请及时与平台联系，技术服务联系电话：15661159286 。</w:t>
      </w:r>
    </w:p>
    <w:p w14:paraId="211DEA7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）网上挂牌起始日后可按本次挂牌报价规则进行网上有效报价和限时竞价的有效报价。</w:t>
      </w:r>
    </w:p>
    <w:p w14:paraId="798487A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）报价相同时，系统自动确认先提交价格者为报价人。</w:t>
      </w:r>
    </w:p>
    <w:p w14:paraId="48A23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）竞买人应当谨慎报价，报价一经提交并经交易系统记录即视为有效报价，不得撤回。</w:t>
      </w:r>
    </w:p>
    <w:p w14:paraId="4D3F164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四、网上竞价规则</w:t>
      </w:r>
    </w:p>
    <w:p w14:paraId="541225E8">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（一）以增价方式和规定的增价幅度报价。</w:t>
      </w:r>
    </w:p>
    <w:p w14:paraId="6D4E2CE0">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（二）同一竞买人可连续或多次报价。</w:t>
      </w:r>
    </w:p>
    <w:p w14:paraId="1BEDFD0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（三）初次报价不得低于起始价。</w:t>
      </w:r>
    </w:p>
    <w:p w14:paraId="1E6BBA8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（四）初次报价</w:t>
      </w:r>
      <w:r>
        <w:rPr>
          <w:rFonts w:hint="eastAsia" w:ascii="仿宋_GB2312" w:hAnsi="仿宋_GB2312" w:eastAsia="仿宋_GB2312" w:cs="仿宋_GB2312"/>
          <w:color w:val="000000" w:themeColor="text1"/>
          <w:sz w:val="32"/>
          <w:szCs w:val="32"/>
          <w:u w:val="none"/>
          <w14:textFill>
            <w14:solidFill>
              <w14:schemeClr w14:val="tx1"/>
            </w14:solidFill>
          </w14:textFill>
        </w:rPr>
        <w:t>后的每次报价应当比当前最高有效报价增加至少一个加价幅度，否则为无效报价，系统不予接受。</w:t>
      </w:r>
    </w:p>
    <w:p w14:paraId="63AC666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（五）符合相关条件的报价，交易系统予以接受，并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时</w:t>
      </w:r>
      <w:r>
        <w:rPr>
          <w:rFonts w:hint="eastAsia" w:ascii="仿宋_GB2312" w:hAnsi="仿宋_GB2312" w:eastAsia="仿宋_GB2312" w:cs="仿宋_GB2312"/>
          <w:color w:val="000000" w:themeColor="text1"/>
          <w:sz w:val="32"/>
          <w:szCs w:val="32"/>
          <w:u w:val="none"/>
          <w14:textFill>
            <w14:solidFill>
              <w14:schemeClr w14:val="tx1"/>
            </w14:solidFill>
          </w14:textFill>
        </w:rPr>
        <w:t>公布。</w:t>
      </w:r>
    </w:p>
    <w:p w14:paraId="7148C6F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（六）网上挂牌报价时间截止时无人报价的，网上挂牌不成交，系统自动终止该宗矿业权的网上挂牌活动。</w:t>
      </w:r>
    </w:p>
    <w:p w14:paraId="59AEAC4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（七）网上挂牌报价时间截止时只有1个竞买人报价，该竞买人为预竞得人。</w:t>
      </w:r>
    </w:p>
    <w:p w14:paraId="31318F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（八）</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网上挂牌报价时间截止时，有</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2个或2</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个以上竞买人报价，交易系统进入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分钟询问期，若无竞买人继续竞价，则挂牌活动结束。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报价最高者为</w:t>
      </w:r>
      <w:r>
        <w:rPr>
          <w:rFonts w:hint="eastAsia" w:ascii="仿宋_GB2312" w:hAnsi="仿宋_GB2312" w:eastAsia="仿宋_GB2312" w:cs="仿宋_GB2312"/>
          <w:color w:val="000000" w:themeColor="text1"/>
          <w:sz w:val="32"/>
          <w:szCs w:val="32"/>
          <w:u w:val="none"/>
          <w14:textFill>
            <w14:solidFill>
              <w14:schemeClr w14:val="tx1"/>
            </w14:solidFill>
          </w14:textFill>
        </w:rPr>
        <w:t>预竞得人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14:paraId="57B58B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在挂牌竞价阶段内所有有效</w:t>
      </w:r>
      <w:r>
        <w:rPr>
          <w:rFonts w:hint="eastAsia" w:ascii="仿宋_GB2312" w:hAnsi="仿宋_GB2312" w:eastAsia="仿宋_GB2312" w:cs="仿宋_GB2312"/>
          <w:color w:val="000000" w:themeColor="text1"/>
          <w:sz w:val="32"/>
          <w:szCs w:val="32"/>
          <w14:textFill>
            <w14:solidFill>
              <w14:schemeClr w14:val="tx1"/>
            </w14:solidFill>
          </w14:textFill>
        </w:rPr>
        <w:t>报价的竞买人均可参加限时竞价，未报价或报价无效的竞买人不能参加限时竞价。</w:t>
      </w:r>
    </w:p>
    <w:p w14:paraId="1471880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（九）</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竞买人确认参加限时竞价，在</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分钟询问期结束后，网上交易系统自动进入限时竞价程序。</w:t>
      </w:r>
      <w:r>
        <w:rPr>
          <w:rFonts w:hint="eastAsia" w:ascii="仿宋_GB2312" w:hAnsi="仿宋_GB2312" w:eastAsia="仿宋_GB2312" w:cs="仿宋_GB2312"/>
          <w:color w:val="000000" w:themeColor="text1"/>
          <w:kern w:val="0"/>
          <w:sz w:val="32"/>
          <w:szCs w:val="32"/>
          <w:u w:val="none"/>
          <w14:textFill>
            <w14:solidFill>
              <w14:schemeClr w14:val="tx1"/>
            </w14:solidFill>
          </w14:textFill>
        </w:rPr>
        <w:t>限时竞价</w:t>
      </w:r>
      <w:r>
        <w:rPr>
          <w:rFonts w:hint="eastAsia" w:ascii="仿宋_GB2312" w:hAnsi="仿宋_GB2312" w:eastAsia="仿宋_GB2312" w:cs="仿宋_GB2312"/>
          <w:color w:val="000000" w:themeColor="text1"/>
          <w:sz w:val="32"/>
          <w:szCs w:val="32"/>
          <w:u w:val="none"/>
          <w14:textFill>
            <w14:solidFill>
              <w14:schemeClr w14:val="tx1"/>
            </w14:solidFill>
          </w14:textFill>
        </w:rPr>
        <w:t>阶段以4分钟倒计时为竞价时限，如在4分钟倒计时内有新的报价，系统即从接受新的报价起重新倒计时4分钟。4分</w:t>
      </w:r>
      <w:r>
        <w:rPr>
          <w:rFonts w:hint="eastAsia" w:ascii="仿宋_GB2312" w:hAnsi="仿宋_GB2312" w:eastAsia="仿宋_GB2312" w:cs="仿宋_GB2312"/>
          <w:color w:val="000000" w:themeColor="text1"/>
          <w:sz w:val="32"/>
          <w:szCs w:val="32"/>
          <w14:textFill>
            <w14:solidFill>
              <w14:schemeClr w14:val="tx1"/>
            </w14:solidFill>
          </w14:textFill>
        </w:rPr>
        <w:t>钟倒计时截止无新的报价，则挂牌活动结束，系统即时关闭报价通道。报价最高者为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w:t>
      </w:r>
      <w:r>
        <w:rPr>
          <w:rFonts w:hint="eastAsia" w:ascii="仿宋_GB2312" w:hAnsi="仿宋_GB2312" w:eastAsia="仿宋_GB2312" w:cs="仿宋_GB2312"/>
          <w:color w:val="000000" w:themeColor="text1"/>
          <w:sz w:val="32"/>
          <w:szCs w:val="32"/>
          <w14:textFill>
            <w14:solidFill>
              <w14:schemeClr w14:val="tx1"/>
            </w14:solidFill>
          </w14:textFill>
        </w:rPr>
        <w:t>竞得人。</w:t>
      </w:r>
    </w:p>
    <w:p w14:paraId="31B6288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）竞买人应当谨慎报价，报价一经提交，不得撤回。竞买人一经报价，表示对挂牌标的物的所有风险及瑕疵已经了解和全部接受，所形成的风险自愿全部承担。</w:t>
      </w:r>
    </w:p>
    <w:p w14:paraId="15BA51A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、发放《</w:t>
      </w:r>
      <w:r>
        <w:rPr>
          <w:rFonts w:hint="eastAsia" w:ascii="黑体" w:hAnsi="黑体" w:eastAsia="黑体" w:cs="黑体"/>
          <w:b w:val="0"/>
          <w:bCs w:val="0"/>
          <w:color w:val="000000" w:themeColor="text1"/>
          <w:sz w:val="32"/>
          <w:szCs w:val="32"/>
          <w:lang w:val="en-US" w:eastAsia="zh-CN"/>
          <w14:textFill>
            <w14:solidFill>
              <w14:schemeClr w14:val="tx1"/>
            </w14:solidFill>
          </w14:textFill>
        </w:rPr>
        <w:t>探矿权出让</w:t>
      </w:r>
      <w:r>
        <w:rPr>
          <w:rFonts w:hint="eastAsia" w:ascii="黑体" w:hAnsi="黑体" w:eastAsia="黑体" w:cs="黑体"/>
          <w:b w:val="0"/>
          <w:bCs w:val="0"/>
          <w:color w:val="000000" w:themeColor="text1"/>
          <w:sz w:val="32"/>
          <w:szCs w:val="32"/>
          <w14:textFill>
            <w14:solidFill>
              <w14:schemeClr w14:val="tx1"/>
            </w14:solidFill>
          </w14:textFill>
        </w:rPr>
        <w:t>成交确认书》</w:t>
      </w:r>
    </w:p>
    <w:p w14:paraId="4C70172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网上挂牌成交后，网上交易系统确定预竞得人。预竞得人在资料审查通过后2个工作日内与交易平台签订《探矿权出让成交确认书》</w:t>
      </w:r>
      <w:r>
        <w:rPr>
          <w:rFonts w:hint="eastAsia" w:ascii="仿宋_GB2312" w:hAnsi="仿宋_GB2312" w:eastAsia="仿宋_GB2312" w:cs="仿宋_GB2312"/>
          <w:color w:val="000000" w:themeColor="text1"/>
          <w:sz w:val="32"/>
          <w:szCs w:val="32"/>
          <w14:textFill>
            <w14:solidFill>
              <w14:schemeClr w14:val="tx1"/>
            </w14:solidFill>
          </w14:textFill>
        </w:rPr>
        <w:t>（见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p>
    <w:p w14:paraId="59DDD08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六、出让结果公示</w:t>
      </w:r>
    </w:p>
    <w:p w14:paraId="0409B3D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出让结果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14:textFill>
            <w14:solidFill>
              <w14:schemeClr w14:val="tx1"/>
            </w14:solidFill>
          </w14:textFill>
        </w:rPr>
        <w:t>《探矿权出让成交确认书》签订之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日起</w:t>
      </w:r>
      <w:r>
        <w:rPr>
          <w:rFonts w:hint="eastAsia" w:ascii="仿宋_GB2312" w:hAnsi="仿宋_GB2312" w:eastAsia="仿宋_GB2312" w:cs="仿宋_GB2312"/>
          <w:color w:val="000000" w:themeColor="text1"/>
          <w:sz w:val="32"/>
          <w:szCs w:val="32"/>
          <w14:textFill>
            <w14:solidFill>
              <w14:schemeClr w14:val="tx1"/>
            </w14:solidFill>
          </w14:textFill>
        </w:rPr>
        <w:t>5个工作日内</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在发布公告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的相</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网站及网上交易系统进行</w:t>
      </w:r>
      <w:r>
        <w:rPr>
          <w:rFonts w:hint="eastAsia" w:ascii="仿宋_GB2312" w:hAnsi="仿宋_GB2312" w:eastAsia="仿宋_GB2312" w:cs="仿宋_GB2312"/>
          <w:color w:val="000000" w:themeColor="text1"/>
          <w:sz w:val="32"/>
          <w:szCs w:val="32"/>
          <w14:textFill>
            <w14:solidFill>
              <w14:schemeClr w14:val="tx1"/>
            </w14:solidFill>
          </w14:textFill>
        </w:rPr>
        <w:t>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14:textFill>
            <w14:solidFill>
              <w14:schemeClr w14:val="tx1"/>
            </w14:solidFill>
          </w14:textFill>
        </w:rPr>
        <w:t>10个工作日（见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C7BE8B0">
      <w:pPr>
        <w:pageBreakBefore w:val="0"/>
        <w:kinsoku/>
        <w:wordWrap/>
        <w:overflowPunct/>
        <w:topLinePunct w:val="0"/>
        <w:autoSpaceDE/>
        <w:autoSpaceDN/>
        <w:bidi w:val="0"/>
        <w:adjustRightInd/>
        <w:snapToGrid/>
        <w:spacing w:line="600" w:lineRule="atLeast"/>
        <w:ind w:firstLine="560"/>
        <w:textAlignment w:val="auto"/>
        <w:rPr>
          <w:rFonts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在公示期</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highlight w:val="none"/>
          <w14:textFill>
            <w14:solidFill>
              <w14:schemeClr w14:val="tx1"/>
            </w14:solidFill>
          </w14:textFill>
        </w:rPr>
        <w:t>存有异议，</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highlight w:val="none"/>
          <w14:textFill>
            <w14:solidFill>
              <w14:schemeClr w14:val="tx1"/>
            </w14:solidFill>
          </w14:textFill>
        </w:rPr>
        <w:t>以书面材料形式</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向赤峰市自然资源局提出</w:t>
      </w:r>
      <w:r>
        <w:rPr>
          <w:rFonts w:hint="default" w:ascii="Times New Roman" w:hAnsi="Times New Roman" w:eastAsia="仿宋_GB2312" w:cs="Times New Roman"/>
          <w:color w:val="000000" w:themeColor="text1"/>
          <w:sz w:val="32"/>
          <w:highlight w:val="none"/>
          <w14:textFill>
            <w14:solidFill>
              <w14:schemeClr w14:val="tx1"/>
            </w14:solidFill>
          </w14:textFill>
        </w:rPr>
        <w:t>（以公示期内收到时间为准）。</w:t>
      </w:r>
    </w:p>
    <w:p w14:paraId="4B960D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联系人：</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苏海洋</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48935D1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638" w:leftChars="304" w:firstLine="0" w:firstLineChars="0"/>
        <w:textAlignment w:val="auto"/>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通讯地址：</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内蒙古自治区赤峰市松山区玉龙大街140号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电话：0476-5891926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5A0BE9FF">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七、CA数字证书的获取及绑定</w:t>
      </w:r>
    </w:p>
    <w:p w14:paraId="15482034">
      <w:pPr>
        <w:pStyle w:val="8"/>
        <w:keepNext w:val="0"/>
        <w:keepLines w:val="0"/>
        <w:pageBreakBefore w:val="0"/>
        <w:kinsoku/>
        <w:wordWrap/>
        <w:overflowPunct/>
        <w:topLinePunct w:val="0"/>
        <w:autoSpaceDE/>
        <w:autoSpaceDN/>
        <w:bidi w:val="0"/>
        <w:spacing w:before="0" w:beforeAutospacing="0" w:after="0" w:afterAutospacing="0" w:line="600" w:lineRule="atLeas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（一）获取方式</w:t>
      </w:r>
    </w:p>
    <w:p w14:paraId="45B0586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竞买人持内蒙古自治区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14:textFill>
            <w14:solidFill>
              <w14:schemeClr w14:val="tx1"/>
            </w14:solidFill>
          </w14:textFill>
        </w:rPr>
        <w:t>公共资源交易平台及各执行机构申请的CA数字证书且在互通名录内，均可参与本次探矿权交易活动（完成互通的CA数字证书目录见《完成互通CA数字证书一览表》）。</w:t>
      </w:r>
    </w:p>
    <w:p w14:paraId="70AC41A2">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CA数字证书办理方法及办理时间请咨询对应CA数字认证机构。</w:t>
      </w:r>
    </w:p>
    <w:p w14:paraId="36E3924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已办理CA数字证书的竞买人，可直接绑定使用，无需重复办理。</w:t>
      </w:r>
    </w:p>
    <w:p w14:paraId="32527CEB">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（二）CA数字证书驱动下载及系统绑定</w:t>
      </w:r>
    </w:p>
    <w:p w14:paraId="6284883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在计算机上插入CA数字证书，打开IE浏览器输入网址：</w:t>
      </w:r>
      <w:r>
        <w:rPr>
          <w:rFonts w:hint="eastAsia" w:ascii="仿宋_GB2312" w:hAnsi="仿宋_GB2312" w:eastAsia="仿宋_GB2312" w:cs="仿宋_GB2312"/>
          <w:color w:val="000000" w:themeColor="text1"/>
          <w:kern w:val="2"/>
          <w:sz w:val="32"/>
          <w:szCs w:val="32"/>
          <w:u w:val="none"/>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u w:val="none"/>
          <w14:textFill>
            <w14:solidFill>
              <w14:schemeClr w14:val="tx1"/>
            </w14:solidFill>
          </w14:textFill>
        </w:rPr>
        <w:t>进</w:t>
      </w:r>
      <w:r>
        <w:rPr>
          <w:rFonts w:hint="eastAsia" w:ascii="仿宋_GB2312" w:hAnsi="仿宋_GB2312" w:eastAsia="仿宋_GB2312" w:cs="仿宋_GB2312"/>
          <w:color w:val="000000" w:themeColor="text1"/>
          <w:sz w:val="32"/>
          <w:szCs w:val="32"/>
          <w14:textFill>
            <w14:solidFill>
              <w14:schemeClr w14:val="tx1"/>
            </w14:solidFill>
          </w14:textFill>
        </w:rPr>
        <w:t xml:space="preserve">入交易系统首页（IE浏览器版本为IE11）； </w:t>
      </w:r>
    </w:p>
    <w:p w14:paraId="2097EEB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点击左上角“请登录”按钮，进入</w:t>
      </w:r>
      <w:r>
        <w:rPr>
          <w:rFonts w:hint="eastAsia" w:ascii="仿宋_GB2312" w:hAnsi="仿宋_GB2312" w:eastAsia="仿宋_GB2312" w:cs="仿宋_GB2312"/>
          <w:color w:val="000000" w:themeColor="text1"/>
          <w:sz w:val="32"/>
          <w:szCs w:val="32"/>
          <w:lang w:eastAsia="zh-CN"/>
          <w14:textFill>
            <w14:solidFill>
              <w14:schemeClr w14:val="tx1"/>
            </w14:solidFill>
          </w14:textFill>
        </w:rPr>
        <w:t>登录</w:t>
      </w:r>
      <w:r>
        <w:rPr>
          <w:rFonts w:hint="eastAsia" w:ascii="仿宋_GB2312" w:hAnsi="仿宋_GB2312" w:eastAsia="仿宋_GB2312" w:cs="仿宋_GB2312"/>
          <w:color w:val="000000" w:themeColor="text1"/>
          <w:sz w:val="32"/>
          <w:szCs w:val="32"/>
          <w14:textFill>
            <w14:solidFill>
              <w14:schemeClr w14:val="tx1"/>
            </w14:solidFill>
          </w14:textFill>
        </w:rPr>
        <w:t>页面点击 “互认平台认证登录”，在认证平台左侧点击“驱动下载”按钮，下载并安装驱动程序（在安装驱动时按照提示关闭IE浏览器）；</w:t>
      </w:r>
    </w:p>
    <w:p w14:paraId="0FD7DC3D">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 xml:space="preserve">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7779744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交易系统网址：</w:t>
      </w:r>
    </w:p>
    <w:p w14:paraId="66400569">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http://219.159.12.165:8090/trade-engine/trade/index</w:t>
      </w:r>
    </w:p>
    <w:p w14:paraId="00338A73">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竞买人在交易系统实施的所有行为，均由交易系统服务器自动记录，视为竞买人真实或经合法授权的行为，该行为所引起的法律责任由竞买人承担。</w:t>
      </w:r>
    </w:p>
    <w:p w14:paraId="01342CE4">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竞买人如果连续十次输错密码，交易系统将会自动锁定该申请人的CA数字证书权限，申请人如果需要解锁，需联系CA数字证书发放机构，提供相关证明解除锁定。</w:t>
      </w:r>
    </w:p>
    <w:p w14:paraId="7E40D51E">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14:paraId="6058034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025B35A4">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八、有下列情形之一的，探矿权出让活动中止：</w:t>
      </w:r>
    </w:p>
    <w:p w14:paraId="30F3C44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内蒙古自治区自然资源网上交易系统受到网络恶意入侵的；</w:t>
      </w:r>
    </w:p>
    <w:p w14:paraId="02E9967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内蒙古自治区自然资源网上交易系统遭受破坏或发生电力、网络故障等不可抗力的非交易中心因素，导致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交易系统不能正常运行的；</w:t>
      </w:r>
    </w:p>
    <w:p w14:paraId="2E589CF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（三）出让的探矿权权属争议尚未解决的；</w:t>
      </w:r>
    </w:p>
    <w:p w14:paraId="474E051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（四）竞得人有矿产资源违法行为尚未处理，或者矿产资源违法行为行政处罚尚未执行完毕的；</w:t>
      </w:r>
    </w:p>
    <w:p w14:paraId="681817EB">
      <w:pPr>
        <w:pStyle w:val="8"/>
        <w:keepNext w:val="0"/>
        <w:keepLines w:val="0"/>
        <w:pageBreakBefore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（五）因不可抗力应当中止探矿权交易的其他情形。</w:t>
      </w:r>
    </w:p>
    <w:p w14:paraId="012B5620">
      <w:pPr>
        <w:pStyle w:val="8"/>
        <w:keepNext w:val="0"/>
        <w:keepLines w:val="0"/>
        <w:pageBreakBefore w:val="0"/>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探矿权交易行为中止的原因消除后，应当及时恢复交易。</w:t>
      </w:r>
    </w:p>
    <w:p w14:paraId="40FCD2B2">
      <w:pPr>
        <w:numPr>
          <w:ilvl w:val="0"/>
          <w:numId w:val="0"/>
        </w:numPr>
        <w:spacing w:line="620" w:lineRule="exact"/>
        <w:jc w:val="center"/>
        <w:rPr>
          <w:rFonts w:hint="eastAsia" w:ascii="黑体" w:hAnsi="黑体" w:eastAsia="黑体" w:cs="黑体"/>
          <w:snapToGrid w:val="0"/>
          <w:color w:val="000000" w:themeColor="text1"/>
          <w:kern w:val="0"/>
          <w:sz w:val="36"/>
          <w:szCs w:val="36"/>
          <w:lang w:eastAsia="zh-CN"/>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3523A6CA">
      <w:pPr>
        <w:numPr>
          <w:ilvl w:val="0"/>
          <w:numId w:val="0"/>
        </w:numPr>
        <w:spacing w:line="620" w:lineRule="exact"/>
        <w:jc w:val="center"/>
        <w:rPr>
          <w:rFonts w:hint="eastAsia" w:ascii="黑体" w:hAnsi="黑体" w:eastAsia="黑体" w:cs="黑体"/>
          <w:snapToGrid w:val="0"/>
          <w:color w:val="000000" w:themeColor="text1"/>
          <w:kern w:val="0"/>
          <w:sz w:val="36"/>
          <w:szCs w:val="36"/>
          <w:lang w:eastAsia="zh-CN"/>
          <w14:textFill>
            <w14:solidFill>
              <w14:schemeClr w14:val="tx1"/>
            </w14:solidFill>
          </w14:textFill>
        </w:rPr>
      </w:pPr>
      <w:r>
        <w:rPr>
          <w:rFonts w:hint="eastAsia" w:ascii="黑体" w:hAnsi="黑体" w:eastAsia="黑体" w:cs="黑体"/>
          <w:snapToGrid w:val="0"/>
          <w:color w:val="000000" w:themeColor="text1"/>
          <w:kern w:val="0"/>
          <w:sz w:val="36"/>
          <w:szCs w:val="36"/>
          <w:lang w:eastAsia="zh-CN"/>
          <w14:textFill>
            <w14:solidFill>
              <w14:schemeClr w14:val="tx1"/>
            </w14:solidFill>
          </w14:textFill>
        </w:rPr>
        <w:t>第三章</w:t>
      </w:r>
      <w:r>
        <w:rPr>
          <w:rFonts w:hint="eastAsia" w:ascii="黑体" w:hAnsi="黑体" w:eastAsia="黑体" w:cs="黑体"/>
          <w:snapToGrid w:val="0"/>
          <w:color w:val="000000" w:themeColor="text1"/>
          <w:kern w:val="0"/>
          <w:sz w:val="36"/>
          <w:szCs w:val="36"/>
          <w:lang w:val="en-US" w:eastAsia="zh-CN"/>
          <w14:textFill>
            <w14:solidFill>
              <w14:schemeClr w14:val="tx1"/>
            </w14:solidFill>
          </w14:textFill>
        </w:rPr>
        <w:t xml:space="preserve"> </w:t>
      </w:r>
      <w:r>
        <w:rPr>
          <w:rFonts w:hint="eastAsia" w:ascii="黑体" w:hAnsi="黑体" w:eastAsia="黑体" w:cs="黑体"/>
          <w:snapToGrid w:val="0"/>
          <w:color w:val="000000" w:themeColor="text1"/>
          <w:kern w:val="0"/>
          <w:sz w:val="36"/>
          <w:szCs w:val="36"/>
          <w:lang w:eastAsia="zh-CN"/>
          <w14:textFill>
            <w14:solidFill>
              <w14:schemeClr w14:val="tx1"/>
            </w14:solidFill>
          </w14:textFill>
        </w:rPr>
        <w:t>探矿权出让合同（示范文本）</w:t>
      </w:r>
    </w:p>
    <w:p w14:paraId="485F76A1">
      <w:pPr>
        <w:numPr>
          <w:ilvl w:val="0"/>
          <w:numId w:val="0"/>
        </w:numPr>
        <w:spacing w:line="620" w:lineRule="exact"/>
        <w:rPr>
          <w:rFonts w:hint="eastAsia" w:ascii="仿宋_GB2312" w:hAnsi="仿宋_GB2312" w:eastAsia="仿宋_GB2312" w:cs="仿宋_GB2312"/>
          <w:snapToGrid w:val="0"/>
          <w:color w:val="000000" w:themeColor="text1"/>
          <w:kern w:val="0"/>
          <w14:textFill>
            <w14:solidFill>
              <w14:schemeClr w14:val="tx1"/>
            </w14:solidFill>
          </w14:textFill>
        </w:rPr>
      </w:pPr>
    </w:p>
    <w:p w14:paraId="54F49D93">
      <w:pPr>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合同编号：T+出让部门行政区划代码+年份+3位顺序码</w:t>
      </w:r>
    </w:p>
    <w:p w14:paraId="6FB439D0">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ind w:left="0" w:leftChars="0" w:firstLine="3200" w:firstLineChars="1000"/>
        <w:jc w:val="both"/>
        <w:textAlignment w:val="baseline"/>
        <w:rPr>
          <w:rFonts w:hint="eastAsia" w:ascii="楷体_GB2312" w:hAnsi="楷体_GB2312" w:eastAsia="楷体_GB2312" w:cs="楷体_GB2312"/>
          <w:color w:val="000000" w:themeColor="text1"/>
          <w:sz w:val="32"/>
          <w:szCs w:val="32"/>
          <w:u w:val="single"/>
          <w14:textFill>
            <w14:solidFill>
              <w14:schemeClr w14:val="tx1"/>
            </w14:solidFill>
          </w14:textFill>
        </w:rPr>
      </w:pPr>
      <w:r>
        <w:rPr>
          <w:rFonts w:hint="eastAsia" w:ascii="楷体_GB2312" w:hAnsi="楷体_GB2312" w:eastAsia="楷体_GB2312" w:cs="楷体_GB2312"/>
          <w:color w:val="000000" w:themeColor="text1"/>
          <w:sz w:val="32"/>
          <w:szCs w:val="32"/>
          <w:u w:val="single"/>
          <w14:textFill>
            <w14:solidFill>
              <w14:schemeClr w14:val="tx1"/>
            </w14:solidFill>
          </w14:textFill>
        </w:rPr>
        <w:t>(项目名称)</w:t>
      </w:r>
    </w:p>
    <w:p w14:paraId="294EBA2E">
      <w:pPr>
        <w:keepNext w:val="0"/>
        <w:keepLines w:val="0"/>
        <w:pageBreakBefore w:val="0"/>
        <w:widowControl/>
        <w:kinsoku w:val="0"/>
        <w:wordWrap/>
        <w:overflowPunct/>
        <w:topLinePunct w:val="0"/>
        <w:autoSpaceDE w:val="0"/>
        <w:autoSpaceDN w:val="0"/>
        <w:bidi w:val="0"/>
        <w:spacing w:line="560" w:lineRule="exact"/>
        <w:ind w:left="0" w:leftChars="0" w:firstLine="1560" w:firstLineChars="300"/>
        <w:jc w:val="both"/>
        <w:textAlignment w:val="baseline"/>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探</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矿</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权</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出</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让</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合</w:t>
      </w:r>
      <w:r>
        <w:rPr>
          <w:rFonts w:hint="eastAsia" w:ascii="黑体" w:hAnsi="黑体" w:eastAsia="黑体" w:cs="黑体"/>
          <w:color w:val="000000" w:themeColor="text1"/>
          <w:sz w:val="52"/>
          <w:szCs w:val="52"/>
          <w:lang w:val="en-US" w:eastAsia="zh-CN"/>
          <w14:textFill>
            <w14:solidFill>
              <w14:schemeClr w14:val="tx1"/>
            </w14:solidFill>
          </w14:textFill>
        </w:rPr>
        <w:t xml:space="preserve"> </w:t>
      </w:r>
      <w:r>
        <w:rPr>
          <w:rFonts w:hint="eastAsia" w:ascii="黑体" w:hAnsi="黑体" w:eastAsia="黑体" w:cs="黑体"/>
          <w:color w:val="000000" w:themeColor="text1"/>
          <w:sz w:val="52"/>
          <w:szCs w:val="52"/>
          <w14:textFill>
            <w14:solidFill>
              <w14:schemeClr w14:val="tx1"/>
            </w14:solidFill>
          </w14:textFill>
        </w:rPr>
        <w:t>同</w:t>
      </w:r>
    </w:p>
    <w:p w14:paraId="6E6A6F52">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193F3100">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56BE4305">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A86A0BB">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422D298B">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甲方(出让人):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0EF6186">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      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E33223D">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21A5C39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4834BF9A">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462EE64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乙方(受让人):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B662582">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统一社会信用代码：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22DEC88">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      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3670AC2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1DBA3DE5">
      <w:pPr>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br w:type="page"/>
      </w:r>
    </w:p>
    <w:p w14:paraId="6146B11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根据《中华人民共和国矿产资源法》《矿业权出让收益征收办法》等相关规定，甲乙双方经协商一致订立本合同。</w:t>
      </w:r>
    </w:p>
    <w:p w14:paraId="5C4374F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探矿权基本情况</w:t>
      </w:r>
    </w:p>
    <w:p w14:paraId="7763B75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(一)勘查项目名称：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61871F3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(二)勘查矿种：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49AE30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(三)地理位置(所在行政区域)</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4A2DFF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(四)面   积：</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平方千米</w:t>
      </w:r>
    </w:p>
    <w:p w14:paraId="3C643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(五)勘查区域坐标：</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28333472">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1D33C8DE">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(2000国家大地坐标系)</w:t>
      </w:r>
    </w:p>
    <w:p w14:paraId="635EF91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出让方式：</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招标□拍卖□挂牌□协议</w:t>
      </w:r>
    </w:p>
    <w:p w14:paraId="28FA5F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探矿权的期限为五年。探矿权期限届满，可以续期，续期最多不超过三次，每次期限为五年。法律、行政法规另有规定的除外。</w:t>
      </w:r>
    </w:p>
    <w:p w14:paraId="19317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矿业权出让收益</w:t>
      </w:r>
    </w:p>
    <w:p w14:paraId="74E149C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(一)一次性缴纳探矿权成交价部分为人民币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元(大写)(¥</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元)。乙方应在收到征收机关缴款通知书之日起30日内缴纳。</w:t>
      </w:r>
    </w:p>
    <w:p w14:paraId="3E2590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(二)该探矿权转为采矿权后，按照矿产品销售收入的</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%逐年向征收机关申报缴纳采矿权出让收益，缴款时间等事项在采矿权出让合同中按规定另行约定。</w:t>
      </w:r>
    </w:p>
    <w:p w14:paraId="308BCC92">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探矿权转为采矿权时如变更矿种，应在采矿权出让合同中约定采矿权出让收益缴纳事宜。</w:t>
      </w:r>
    </w:p>
    <w:p w14:paraId="3F6587D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乙方未按时足额缴纳矿业权出让收益的，从违约之日起每日加收千分之二的违约金，加收的违约金不超过欠缴金额本金。</w:t>
      </w:r>
    </w:p>
    <w:p w14:paraId="39D3768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乙方应按规定签订互不影响和权益保护协议或出具不影响已设矿业权人权益承诺，严格执行相关安全要求。</w:t>
      </w:r>
      <w:r>
        <w:rPr>
          <w:rFonts w:hint="eastAsia" w:ascii="楷体_GB2312" w:hAnsi="楷体_GB2312" w:eastAsia="楷体_GB2312" w:cs="楷体_GB2312"/>
          <w:color w:val="000000" w:themeColor="text1"/>
          <w:sz w:val="32"/>
          <w:szCs w:val="32"/>
          <w14:textFill>
            <w14:solidFill>
              <w14:schemeClr w14:val="tx1"/>
            </w14:solidFill>
          </w14:textFill>
        </w:rPr>
        <w:t>(仅用于勘查区域与已设矿业权范围重叠)</w:t>
      </w:r>
    </w:p>
    <w:p w14:paraId="45341A5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乙方自取得缴款凭证之日起15个工作日内，应向甲方申请办理探矿权登记。</w:t>
      </w:r>
    </w:p>
    <w:p w14:paraId="173D8E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甲方对于乙方提交申请材料符合要求的探矿权登记申请，应当自受理登记申请之日起20个工作日内办结探矿权登记手续。</w:t>
      </w:r>
    </w:p>
    <w:p w14:paraId="29FE171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本合同签订生效后，甲方不应将本合同约定的全部或者部分勘查区域另行向第三方出让探矿权或者采矿权，依据相关规定同一区域可以按照不同矿种分别设置探矿权、采矿权的情形除外。</w:t>
      </w:r>
    </w:p>
    <w:p w14:paraId="38094E9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乙方自本合同签订之日起</w:t>
      </w:r>
      <w:r>
        <w:rPr>
          <w:rFonts w:hint="eastAsia" w:ascii="仿宋_GB2312" w:hAnsi="仿宋_GB2312" w:eastAsia="仿宋_GB2312" w:cs="仿宋_GB2312"/>
          <w:color w:val="000000" w:themeColor="text1"/>
          <w:sz w:val="32"/>
          <w:szCs w:val="32"/>
          <w:u w:val="single"/>
          <w14:textFill>
            <w14:solidFill>
              <w14:schemeClr w14:val="tx1"/>
            </w14:solidFill>
          </w14:textFill>
        </w:rPr>
        <w:t>6个月内</w:t>
      </w:r>
      <w:r>
        <w:rPr>
          <w:rFonts w:hint="eastAsia" w:ascii="仿宋_GB2312" w:hAnsi="仿宋_GB2312" w:eastAsia="仿宋_GB2312" w:cs="仿宋_GB2312"/>
          <w:color w:val="000000" w:themeColor="text1"/>
          <w:sz w:val="32"/>
          <w:szCs w:val="32"/>
          <w14:textFill>
            <w14:solidFill>
              <w14:schemeClr w14:val="tx1"/>
            </w14:solidFill>
          </w14:textFill>
        </w:rPr>
        <w:t>，应编制勘查方案，申请办理勘查许可。未取得勘查许可证，不得进行矿产资源勘查作业。</w:t>
      </w:r>
    </w:p>
    <w:p w14:paraId="2CB0740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乙方申请探矿权续期时，需按照相关规定核减勘查面积，勘查区域以探矿权登记为准，符合规定的特殊情形除外。</w:t>
      </w:r>
    </w:p>
    <w:p w14:paraId="5A59374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乙方应当及时开展勘查工作，无正当理由未开展或者未实质性开展勘查工作的，探矿权期限届满时不予续期。</w:t>
      </w:r>
    </w:p>
    <w:p w14:paraId="13B2CDD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乙方按规定可以转让探矿权，本合同约定的权利、义务依法随之转移。</w:t>
      </w:r>
    </w:p>
    <w:p w14:paraId="6EB6FD6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24AFAEE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乙方探明可供开采的矿产资源后，可以在探矿权期限内申请将其探矿权转为采矿权，且应符合保护性开采的有关要求</w:t>
      </w:r>
      <w:r>
        <w:rPr>
          <w:rFonts w:hint="eastAsia" w:ascii="楷体_GB2312" w:hAnsi="楷体_GB2312" w:eastAsia="楷体_GB2312" w:cs="楷体_GB2312"/>
          <w:color w:val="000000" w:themeColor="text1"/>
          <w:sz w:val="32"/>
          <w:szCs w:val="32"/>
          <w14:textFill>
            <w14:solidFill>
              <w14:schemeClr w14:val="tx1"/>
            </w14:solidFill>
          </w14:textFill>
        </w:rPr>
        <w:t>(仅用于特定战略性矿产资源)</w:t>
      </w:r>
      <w:r>
        <w:rPr>
          <w:rFonts w:hint="eastAsia" w:ascii="仿宋_GB2312" w:hAnsi="仿宋_GB2312" w:eastAsia="仿宋_GB2312" w:cs="仿宋_GB2312"/>
          <w:color w:val="000000" w:themeColor="text1"/>
          <w:sz w:val="32"/>
          <w:szCs w:val="32"/>
          <w14:textFill>
            <w14:solidFill>
              <w14:schemeClr w14:val="tx1"/>
            </w14:solidFill>
          </w14:textFill>
        </w:rPr>
        <w:t>,法律、行政法规另有规定的除外。</w:t>
      </w:r>
    </w:p>
    <w:p w14:paraId="487721C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因公共利益的需要，或者因不可抗力或者其他特殊情形，探矿权暂时不能转为采矿权的，乙方可以申请办理探矿权保留。探矿权保留期间，探矿权期限中止计算。</w:t>
      </w:r>
    </w:p>
    <w:p w14:paraId="3996190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有下列情形之一的，本合同自动解除：</w:t>
      </w:r>
    </w:p>
    <w:p w14:paraId="2F29348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(一)乙方因自身原因，逾期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14:textFill>
            <w14:solidFill>
              <w14:schemeClr w14:val="tx1"/>
            </w14:solidFill>
          </w14:textFill>
        </w:rPr>
        <w:t>日未足额缴纳矿业权出让收益成交价部分的;</w:t>
      </w:r>
    </w:p>
    <w:p w14:paraId="003A763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(二)乙方因自身原因，未按照本合同约定向甲方申请办理探矿权首次登记的；</w:t>
      </w:r>
    </w:p>
    <w:p w14:paraId="5BA8D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(三)探矿权消灭的</w:t>
      </w:r>
      <w:r>
        <w:rPr>
          <w:rFonts w:hint="eastAsia" w:ascii="楷体_GB2312" w:hAnsi="楷体_GB2312" w:eastAsia="楷体_GB2312" w:cs="楷体_GB2312"/>
          <w:color w:val="000000" w:themeColor="text1"/>
          <w:sz w:val="32"/>
          <w:szCs w:val="32"/>
          <w14:textFill>
            <w14:solidFill>
              <w14:schemeClr w14:val="tx1"/>
            </w14:solidFill>
          </w14:textFill>
        </w:rPr>
        <w:t>(探矿权转为采矿权的除外)</w:t>
      </w:r>
      <w:r>
        <w:rPr>
          <w:rFonts w:hint="eastAsia" w:ascii="仿宋_GB2312" w:hAnsi="仿宋_GB2312" w:eastAsia="仿宋_GB2312" w:cs="仿宋_GB2312"/>
          <w:color w:val="000000" w:themeColor="text1"/>
          <w:sz w:val="32"/>
          <w:szCs w:val="32"/>
          <w14:textFill>
            <w14:solidFill>
              <w14:schemeClr w14:val="tx1"/>
            </w14:solidFill>
          </w14:textFill>
        </w:rPr>
        <w:t>。</w:t>
      </w:r>
    </w:p>
    <w:p w14:paraId="0EA5CE6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合同解除后，甲方按规定处置矿业权出让收益、探矿权登记等相关事宜。为了公共利益需要，矿业权被收回的，应当依法给予公平、合理的补偿。</w:t>
      </w:r>
    </w:p>
    <w:p w14:paraId="28375AF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本合同未尽事宜，双方经协商一致后，可另行签订补充协议。补充协议与本合同具有同等法律效力。</w:t>
      </w:r>
    </w:p>
    <w:p w14:paraId="06F3A0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本合同及补充协议没有约定的，应当按照相关法律法规和规章、政策规定执行。本合同及补充协议签订后，法律法规和规章、政策规定发生变化的，按变化后的规定执行。</w:t>
      </w:r>
    </w:p>
    <w:p w14:paraId="1F63310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本合同及补充协议履行过程中双方发生争议的，应当协商解决；协商不成的，甲乙双方有权向甲方所在地有管辖权的人民法院提起行政诉讼。</w:t>
      </w:r>
    </w:p>
    <w:p w14:paraId="6F09BC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本合同一式六份，甲乙双方各持三份，自双方盖章之日起生效。</w:t>
      </w:r>
    </w:p>
    <w:p w14:paraId="55DD773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A5AB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甲方(盖章):</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62F45CB7">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47F3597">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      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1F1E61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3C2C924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7F32EE1F">
      <w:pPr>
        <w:keepNext w:val="0"/>
        <w:keepLines w:val="0"/>
        <w:pageBreakBefore w:val="0"/>
        <w:widowControl/>
        <w:kinsoku w:val="0"/>
        <w:wordWrap/>
        <w:overflowPunct/>
        <w:topLinePunct w:val="0"/>
        <w:autoSpaceDE w:val="0"/>
        <w:autoSpaceDN w:val="0"/>
        <w:bidi w:val="0"/>
        <w:adjustRightInd/>
        <w:snapToGrid/>
        <w:spacing w:line="560" w:lineRule="atLeast"/>
        <w:ind w:left="0" w:leftChars="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乙方(盖章):</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CA07C4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28019FD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      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200F33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37BA46E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7EE1F68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联系人/经办人：</w:t>
      </w:r>
    </w:p>
    <w:p w14:paraId="2705AD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p>
    <w:p w14:paraId="7444672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5C6CE121">
      <w:pPr>
        <w:pStyle w:val="5"/>
        <w:keepNext w:val="0"/>
        <w:keepLines w:val="0"/>
        <w:widowControl/>
        <w:suppressLineNumbers w:val="0"/>
        <w:spacing w:before="0" w:beforeAutospacing="0" w:after="0" w:afterAutospacing="0" w:line="525" w:lineRule="atLeast"/>
        <w:ind w:left="0" w:leftChars="0" w:right="0" w:firstLine="0" w:firstLineChars="0"/>
        <w:jc w:val="left"/>
        <w:rPr>
          <w:rFonts w:hint="eastAsia" w:ascii="黑体" w:hAnsi="黑体" w:eastAsia="黑体" w:cs="黑体"/>
          <w:b w:val="0"/>
          <w:color w:val="000000" w:themeColor="text1"/>
          <w:kern w:val="0"/>
          <w:sz w:val="24"/>
          <w:szCs w:val="24"/>
          <w:lang w:val="en-US" w:eastAsia="zh-CN" w:bidi="ar-SA"/>
          <w14:textFill>
            <w14:solidFill>
              <w14:schemeClr w14:val="tx1"/>
            </w14:solidFill>
          </w14:textFill>
        </w:rPr>
      </w:pPr>
      <w:r>
        <w:rPr>
          <w:rFonts w:hint="eastAsia" w:ascii="黑体" w:hAnsi="黑体" w:eastAsia="黑体" w:cs="黑体"/>
          <w:b w:val="0"/>
          <w:color w:val="000000" w:themeColor="text1"/>
          <w:kern w:val="0"/>
          <w:sz w:val="24"/>
          <w:szCs w:val="24"/>
          <w:lang w:val="en-US" w:eastAsia="zh-CN" w:bidi="ar-SA"/>
          <w14:textFill>
            <w14:solidFill>
              <w14:schemeClr w14:val="tx1"/>
            </w14:solidFill>
          </w14:textFill>
        </w:rPr>
        <w:t>出让文件附件1</w:t>
      </w:r>
    </w:p>
    <w:p w14:paraId="59BAA189">
      <w:pPr>
        <w:pStyle w:val="5"/>
        <w:keepNext w:val="0"/>
        <w:keepLines w:val="0"/>
        <w:widowControl/>
        <w:suppressLineNumbers w:val="0"/>
        <w:spacing w:before="0" w:beforeAutospacing="0" w:after="0" w:afterAutospacing="0" w:line="525" w:lineRule="atLeast"/>
        <w:ind w:left="0" w:leftChars="0" w:right="0" w:firstLine="0" w:firstLineChars="0"/>
        <w:jc w:val="center"/>
        <w:rPr>
          <w:rFonts w:hint="eastAsia" w:ascii="黑体" w:hAnsi="黑体" w:eastAsia="黑体" w:cs="黑体"/>
          <w:b w:val="0"/>
          <w:color w:val="000000" w:themeColor="text1"/>
          <w:kern w:val="0"/>
          <w:sz w:val="40"/>
          <w:szCs w:val="40"/>
          <w:lang w:val="en-US" w:eastAsia="zh-CN" w:bidi="ar-SA"/>
          <w14:textFill>
            <w14:solidFill>
              <w14:schemeClr w14:val="tx1"/>
            </w14:solidFill>
          </w14:textFill>
        </w:rPr>
      </w:pPr>
      <w:r>
        <w:rPr>
          <w:rFonts w:hint="eastAsia" w:ascii="黑体" w:hAnsi="黑体" w:eastAsia="黑体" w:cs="黑体"/>
          <w:b w:val="0"/>
          <w:color w:val="000000" w:themeColor="text1"/>
          <w:kern w:val="0"/>
          <w:sz w:val="40"/>
          <w:szCs w:val="40"/>
          <w:lang w:val="en-US" w:eastAsia="zh-CN" w:bidi="ar-SA"/>
          <w14:textFill>
            <w14:solidFill>
              <w14:schemeClr w14:val="tx1"/>
            </w14:solidFill>
          </w14:textFill>
        </w:rPr>
        <w:t>成交确认书</w:t>
      </w:r>
    </w:p>
    <w:p w14:paraId="6F588670">
      <w:pPr>
        <w:pStyle w:val="8"/>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p>
    <w:p w14:paraId="087FF510">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受托出让人：赤峰市公共资源交易中心</w:t>
      </w:r>
    </w:p>
    <w:p w14:paraId="1A4C52F0">
      <w:pPr>
        <w:pStyle w:val="8"/>
        <w:keepNext w:val="0"/>
        <w:keepLines w:val="0"/>
        <w:widowControl/>
        <w:suppressLineNumbers w:val="0"/>
        <w:spacing w:before="0" w:beforeAutospacing="0" w:after="0" w:afterAutospacing="0"/>
        <w:ind w:left="0" w:leftChars="0" w:right="0" w:firstLine="0" w:firstLineChars="0"/>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竞得人：             </w:t>
      </w:r>
    </w:p>
    <w:p w14:paraId="28835461">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根据有关法律、法规的规定，受赤峰市自然资源局委托，赤峰市公共资源交易中心于   年  月  日  时  分至   年  月  日  时   分，在内蒙古自治区自然资源网上交易系统上对                               （项目编号：        ）进行公开挂牌出让，现与竞得人签订本成交确认书。</w:t>
      </w:r>
    </w:p>
    <w:p w14:paraId="30B15AEB">
      <w:pPr>
        <w:pStyle w:val="8"/>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第一条  竞得人以人民币（大写）        （     元）竞得              。受托出让人和竞得人对该项目出让文件内容及全部挂牌出让程序无异议。</w:t>
      </w:r>
    </w:p>
    <w:p w14:paraId="1A5C642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第二条  竞得人须在本《成交确认书》签订后的20个工作日内与赤峰市自然资源局签订矿业权出让合同。</w:t>
      </w:r>
    </w:p>
    <w:p w14:paraId="1363289A">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第三条  地质勘查工作具有不可预见的风险。经勘查未能探出可供开采的矿体，或因勘查区内资源分布赋存情况及法律、法规和国家、自治区产业政策限制，不能转为采矿权或其它情况的，竞得人风险自担。</w:t>
      </w:r>
    </w:p>
    <w:p w14:paraId="630DDDA1">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第四条 竞得人竞得的         ，位于        ，面积    ，出让期限    年。</w:t>
      </w:r>
    </w:p>
    <w:p w14:paraId="364E8E28">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拐点范围具体坐标：</w:t>
      </w:r>
    </w:p>
    <w:p w14:paraId="2CB4EA85">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p>
    <w:p w14:paraId="74C0CB30">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第五条 有下列情况之一的，视为竞得人违约，竞得人已交纳的交易保证金不予返还：</w:t>
      </w:r>
    </w:p>
    <w:p w14:paraId="07C1144B">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（一）竞得人拒绝签订本《成交确认书》；</w:t>
      </w:r>
    </w:p>
    <w:p w14:paraId="78E43DC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（二）竞得人在本《成交确认书》签订后的20个工作日内未与赤峰市自然资源局签订矿业权出让合同；</w:t>
      </w:r>
    </w:p>
    <w:p w14:paraId="71B01CB9">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（三）在该项目的公示期间，经查实竞得人存在向主管部门行贿或者采取其他不正当手段竞得的；</w:t>
      </w:r>
    </w:p>
    <w:p w14:paraId="567B6819">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（四）其他依法应当认定为违约行为的情形；</w:t>
      </w:r>
    </w:p>
    <w:p w14:paraId="2B4DCA8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第六条 竞得人已交纳的交易保证金如需转为矿业权出让收益，由竞得人以书面形式向受托出让人提出转款申请。</w:t>
      </w:r>
    </w:p>
    <w:p w14:paraId="357614CE">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第七条 本《成交确认书》自双方签订之日起生效，本确认书的金额应当同时以大小写表示，大小写应当一致，不一致的，以大写为准。</w:t>
      </w:r>
    </w:p>
    <w:p w14:paraId="0256AB28">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第八条 本《成交确认书》签订后因执行过程中发生争议，由双方协商解决，协商不成向受托出让人所在地的人民法院提起诉讼。</w:t>
      </w:r>
    </w:p>
    <w:p w14:paraId="70C38874">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第九条 本确认书一式叁份，具有同等法律效力，受托出让人持壹份、竞得人持贰份。</w:t>
      </w:r>
    </w:p>
    <w:p w14:paraId="0FA0CA19">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7BB1696E">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262AAA62">
      <w:pPr>
        <w:pStyle w:val="8"/>
        <w:keepNext w:val="0"/>
        <w:keepLines w:val="0"/>
        <w:widowControl/>
        <w:suppressLineNumbers w:val="0"/>
        <w:spacing w:before="76" w:beforeAutospacing="0" w:after="76" w:afterAutospacing="0" w:line="480" w:lineRule="atLeast"/>
        <w:ind w:left="0" w:leftChars="0" w:right="0" w:firstLine="0" w:firstLineChars="0"/>
        <w:jc w:val="left"/>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赤峰市公共资源交易中心：（签章）</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竞得人</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（签章）</w:t>
      </w:r>
    </w:p>
    <w:p w14:paraId="0292124A">
      <w:pPr>
        <w:pStyle w:val="8"/>
        <w:keepNext w:val="0"/>
        <w:keepLines w:val="0"/>
        <w:widowControl/>
        <w:suppressLineNumbers w:val="0"/>
        <w:spacing w:before="76" w:beforeAutospacing="0" w:after="76" w:afterAutospacing="0" w:line="480" w:lineRule="atLeast"/>
        <w:ind w:right="0" w:firstLine="5600" w:firstLineChars="2000"/>
        <w:jc w:val="left"/>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728DB72A">
      <w:pPr>
        <w:pStyle w:val="8"/>
        <w:keepNext w:val="0"/>
        <w:keepLines w:val="0"/>
        <w:widowControl/>
        <w:suppressLineNumbers w:val="0"/>
        <w:spacing w:before="76" w:beforeAutospacing="0" w:after="76" w:afterAutospacing="0" w:line="480" w:lineRule="atLeast"/>
        <w:ind w:right="0" w:firstLine="5600" w:firstLineChars="200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法定代表人/委托人：</w:t>
      </w:r>
    </w:p>
    <w:p w14:paraId="5C75277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p>
    <w:p w14:paraId="3DE44675">
      <w:pPr>
        <w:pStyle w:val="8"/>
        <w:keepNext w:val="0"/>
        <w:keepLines w:val="0"/>
        <w:widowControl/>
        <w:suppressLineNumbers w:val="0"/>
        <w:spacing w:before="76" w:beforeAutospacing="0" w:after="76" w:afterAutospacing="0" w:line="480" w:lineRule="atLeast"/>
        <w:ind w:left="0" w:leftChars="0" w:right="0" w:firstLine="0" w:firstLineChars="0"/>
        <w:jc w:val="righ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日 </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时</w:t>
      </w:r>
      <w:r>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t>分</w:t>
      </w:r>
    </w:p>
    <w:p w14:paraId="6CFF4EB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p w14:paraId="453C9515">
      <w:pPr>
        <w:rPr>
          <w:vanish/>
          <w:color w:val="000000" w:themeColor="text1"/>
          <w:sz w:val="24"/>
          <w:szCs w:val="24"/>
          <w14:textFill>
            <w14:solidFill>
              <w14:schemeClr w14:val="tx1"/>
            </w14:solidFill>
          </w14:textFill>
        </w:rPr>
      </w:pPr>
    </w:p>
    <w:p w14:paraId="3838591D">
      <w:pPr>
        <w:rPr>
          <w:color w:val="000000" w:themeColor="text1"/>
          <w14:textFill>
            <w14:solidFill>
              <w14:schemeClr w14:val="tx1"/>
            </w14:solidFill>
          </w14:textFill>
        </w:rPr>
      </w:pPr>
    </w:p>
    <w:p w14:paraId="1D36C13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ascii="Times New Roman" w:hAnsi="Times New Roman" w:eastAsia="仿宋_GB2312"/>
          <w:color w:val="000000" w:themeColor="text1"/>
          <w:kern w:val="0"/>
          <w:sz w:val="28"/>
          <w:szCs w:val="28"/>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649820C3">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黑体" w:hAnsi="黑体" w:eastAsia="黑体" w:cs="黑体"/>
          <w:b w:val="0"/>
          <w:b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color w:val="000000" w:themeColor="text1"/>
          <w:kern w:val="0"/>
          <w:sz w:val="24"/>
          <w:szCs w:val="24"/>
          <w:lang w:val="en-US" w:eastAsia="zh-CN" w:bidi="ar-SA"/>
          <w14:textFill>
            <w14:solidFill>
              <w14:schemeClr w14:val="tx1"/>
            </w14:solidFill>
          </w14:textFill>
        </w:rPr>
        <w:t>出让文件</w:t>
      </w:r>
      <w:r>
        <w:rPr>
          <w:rFonts w:hint="eastAsia" w:ascii="黑体" w:hAnsi="黑体" w:eastAsia="黑体" w:cs="黑体"/>
          <w:b w:val="0"/>
          <w:bCs w:val="0"/>
          <w:color w:val="000000" w:themeColor="text1"/>
          <w:sz w:val="24"/>
          <w:szCs w:val="24"/>
          <w:highlight w:val="none"/>
          <w14:textFill>
            <w14:solidFill>
              <w14:schemeClr w14:val="tx1"/>
            </w14:solidFill>
          </w14:textFill>
        </w:rPr>
        <w:t>附件</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2</w:t>
      </w:r>
    </w:p>
    <w:p w14:paraId="4D2D4981">
      <w:pPr>
        <w:keepNext/>
        <w:keepLines/>
        <w:autoSpaceDE w:val="0"/>
        <w:snapToGrid/>
        <w:spacing w:line="240" w:lineRule="auto"/>
        <w:ind w:left="0" w:leftChars="0" w:firstLine="2008" w:firstLineChars="500"/>
        <w:jc w:val="both"/>
        <w:outlineLvl w:val="0"/>
        <w:rPr>
          <w:rFonts w:ascii="Times New Roman" w:hAnsi="Times New Roman" w:eastAsia="黑体"/>
          <w:b/>
          <w:bCs/>
          <w:color w:val="000000" w:themeColor="text1"/>
          <w:kern w:val="44"/>
          <w:sz w:val="40"/>
          <w:szCs w:val="40"/>
          <w14:textFill>
            <w14:solidFill>
              <w14:schemeClr w14:val="tx1"/>
            </w14:solidFill>
          </w14:textFill>
        </w:rPr>
      </w:pPr>
      <w:r>
        <w:rPr>
          <w:rFonts w:ascii="Times New Roman" w:hAnsi="Times New Roman" w:eastAsia="黑体"/>
          <w:b/>
          <w:bCs/>
          <w:color w:val="000000" w:themeColor="text1"/>
          <w:kern w:val="44"/>
          <w:sz w:val="40"/>
          <w:szCs w:val="40"/>
          <w14:textFill>
            <w14:solidFill>
              <w14:schemeClr w14:val="tx1"/>
            </w14:solidFill>
          </w14:textFill>
        </w:rPr>
        <w:t>探矿权出让结果公示</w:t>
      </w:r>
    </w:p>
    <w:p w14:paraId="2C328B3B">
      <w:pPr>
        <w:ind w:firstLine="3200" w:firstLineChars="1000"/>
        <w:jc w:val="both"/>
        <w:rPr>
          <w:rFonts w:hint="eastAsia" w:ascii="仿宋_GB2312" w:eastAsia="仿宋_GB2312"/>
          <w:color w:val="000000" w:themeColor="text1"/>
          <w:sz w:val="32"/>
          <w:szCs w:val="32"/>
          <w14:textFill>
            <w14:solidFill>
              <w14:schemeClr w14:val="tx1"/>
            </w14:solidFill>
          </w14:textFill>
        </w:rPr>
      </w:pPr>
    </w:p>
    <w:p w14:paraId="7DED8A98">
      <w:pPr>
        <w:ind w:firstLine="3200" w:firstLineChars="10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赤自然资示字〔</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号</w:t>
      </w:r>
    </w:p>
    <w:p w14:paraId="2CE646BF">
      <w:pPr>
        <w:spacing w:line="640" w:lineRule="exact"/>
        <w:jc w:val="center"/>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lang w:val="en-US" w:eastAsia="zh-CN"/>
          <w14:textFill>
            <w14:solidFill>
              <w14:schemeClr w14:val="tx1"/>
            </w14:solidFill>
          </w14:textFill>
        </w:rPr>
        <w:t xml:space="preserve"> </w:t>
      </w:r>
      <w:r>
        <w:rPr>
          <w:rFonts w:hint="eastAsia" w:ascii="方正小标宋简体" w:hAnsi="宋体" w:eastAsia="方正小标宋简体" w:cs="宋体"/>
          <w:bCs/>
          <w:color w:val="000000" w:themeColor="text1"/>
          <w:kern w:val="0"/>
          <w:sz w:val="36"/>
          <w:szCs w:val="36"/>
          <w:lang w:val="en-US" w:eastAsia="zh-CN"/>
          <w14:textFill>
            <w14:solidFill>
              <w14:schemeClr w14:val="tx1"/>
            </w14:solidFill>
          </w14:textFill>
        </w:rPr>
        <w:t>________________</w:t>
      </w:r>
      <w:r>
        <w:rPr>
          <w:rFonts w:hint="eastAsia" w:ascii="方正小标宋简体" w:hAnsi="宋体" w:eastAsia="方正小标宋简体" w:cs="宋体"/>
          <w:bCs/>
          <w:color w:val="000000" w:themeColor="text1"/>
          <w:kern w:val="0"/>
          <w:sz w:val="36"/>
          <w:szCs w:val="36"/>
          <w14:textFill>
            <w14:solidFill>
              <w14:schemeClr w14:val="tx1"/>
            </w14:solidFill>
          </w14:textFill>
        </w:rPr>
        <w:t>普查探矿权</w:t>
      </w:r>
      <w:r>
        <w:rPr>
          <w:rFonts w:hint="eastAsia" w:ascii="方正小标宋简体" w:hAnsi="宋体" w:eastAsia="方正小标宋简体" w:cs="宋体"/>
          <w:color w:val="000000" w:themeColor="text1"/>
          <w:kern w:val="0"/>
          <w:sz w:val="36"/>
          <w:szCs w:val="36"/>
          <w14:textFill>
            <w14:solidFill>
              <w14:schemeClr w14:val="tx1"/>
            </w14:solidFill>
          </w14:textFill>
        </w:rPr>
        <w:t>出让成交结果公示</w:t>
      </w:r>
    </w:p>
    <w:p w14:paraId="7BD26889">
      <w:pPr>
        <w:ind w:firstLine="640" w:firstLineChars="200"/>
        <w:rPr>
          <w:rFonts w:ascii="仿宋_GB2312" w:eastAsia="仿宋_GB2312"/>
          <w:color w:val="000000" w:themeColor="text1"/>
          <w:sz w:val="32"/>
          <w:szCs w:val="32"/>
          <w14:textFill>
            <w14:solidFill>
              <w14:schemeClr w14:val="tx1"/>
            </w14:solidFill>
          </w14:textFill>
        </w:rPr>
      </w:pPr>
    </w:p>
    <w:p w14:paraId="4EB6DEBC">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日至</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bCs/>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______</w:t>
      </w:r>
      <w:r>
        <w:rPr>
          <w:rFonts w:hint="eastAsia" w:ascii="仿宋_GB2312" w:eastAsia="仿宋_GB2312"/>
          <w:bCs/>
          <w:color w:val="000000" w:themeColor="text1"/>
          <w:sz w:val="32"/>
          <w:szCs w:val="32"/>
          <w14:textFill>
            <w14:solidFill>
              <w14:schemeClr w14:val="tx1"/>
            </w14:solidFill>
          </w14:textFill>
        </w:rPr>
        <w:t>普查</w:t>
      </w:r>
      <w:r>
        <w:rPr>
          <w:rFonts w:hint="eastAsia" w:ascii="仿宋_GB2312" w:eastAsia="仿宋_GB2312"/>
          <w:color w:val="000000" w:themeColor="text1"/>
          <w:sz w:val="32"/>
          <w:szCs w:val="32"/>
          <w14:textFill>
            <w14:solidFill>
              <w14:schemeClr w14:val="tx1"/>
            </w14:solidFill>
          </w14:textFill>
        </w:rPr>
        <w:t>探矿权以网上挂牌方式出让，根据《自然资源部关于印发矿业权出让交易规则的通知》（自然资规〔2023〕1号）等规定，现将成交结果公示如下。</w:t>
      </w:r>
    </w:p>
    <w:p w14:paraId="2862D341">
      <w:pPr>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一、竞得人名称及住所</w:t>
      </w:r>
    </w:p>
    <w:p w14:paraId="7A7DF695">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竞得人：</w:t>
      </w:r>
      <w:r>
        <w:rPr>
          <w:rFonts w:hint="eastAsia" w:ascii="仿宋_GB2312" w:eastAsia="仿宋_GB2312"/>
          <w:color w:val="000000" w:themeColor="text1"/>
          <w:sz w:val="32"/>
          <w:szCs w:val="32"/>
          <w:lang w:val="en-US" w:eastAsia="zh-CN"/>
          <w14:textFill>
            <w14:solidFill>
              <w14:schemeClr w14:val="tx1"/>
            </w14:solidFill>
          </w14:textFill>
        </w:rPr>
        <w:t>____</w:t>
      </w:r>
    </w:p>
    <w:p w14:paraId="4D913CC5">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住所：</w:t>
      </w:r>
      <w:r>
        <w:rPr>
          <w:rFonts w:hint="eastAsia" w:ascii="仿宋_GB2312" w:eastAsia="仿宋_GB2312"/>
          <w:color w:val="000000" w:themeColor="text1"/>
          <w:sz w:val="32"/>
          <w:szCs w:val="32"/>
          <w:lang w:val="en-US" w:eastAsia="zh-CN"/>
          <w14:textFill>
            <w14:solidFill>
              <w14:schemeClr w14:val="tx1"/>
            </w14:solidFill>
          </w14:textFill>
        </w:rPr>
        <w:t>____</w:t>
      </w:r>
    </w:p>
    <w:p w14:paraId="6EE1AA5D">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统一社会信用代码：</w:t>
      </w:r>
      <w:r>
        <w:rPr>
          <w:rFonts w:hint="eastAsia" w:ascii="仿宋_GB2312" w:eastAsia="仿宋_GB2312"/>
          <w:color w:val="000000" w:themeColor="text1"/>
          <w:sz w:val="32"/>
          <w:szCs w:val="32"/>
          <w:lang w:val="en-US" w:eastAsia="zh-CN"/>
          <w14:textFill>
            <w14:solidFill>
              <w14:schemeClr w14:val="tx1"/>
            </w14:solidFill>
          </w14:textFill>
        </w:rPr>
        <w:t>____</w:t>
      </w:r>
    </w:p>
    <w:p w14:paraId="184373E9">
      <w:pPr>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二、成交时间和地点</w:t>
      </w:r>
    </w:p>
    <w:p w14:paraId="0DA8269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成交时间：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w:t>
      </w:r>
    </w:p>
    <w:p w14:paraId="7F29823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成交地点：内蒙古自治区自然资源网上交易系统。</w:t>
      </w:r>
    </w:p>
    <w:p w14:paraId="5BB85447">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三、竞得的探矿权简要情况</w:t>
      </w:r>
    </w:p>
    <w:p w14:paraId="0ECFF645">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探矿权名称：</w:t>
      </w:r>
      <w:r>
        <w:rPr>
          <w:rFonts w:hint="eastAsia" w:ascii="仿宋_GB2312" w:eastAsia="仿宋_GB2312"/>
          <w:color w:val="000000" w:themeColor="text1"/>
          <w:sz w:val="32"/>
          <w:szCs w:val="32"/>
          <w:lang w:val="en-US" w:eastAsia="zh-CN"/>
          <w14:textFill>
            <w14:solidFill>
              <w14:schemeClr w14:val="tx1"/>
            </w14:solidFill>
          </w14:textFill>
        </w:rPr>
        <w:t>__</w:t>
      </w:r>
    </w:p>
    <w:p w14:paraId="1D7E43D0">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勘查矿种：</w:t>
      </w:r>
      <w:r>
        <w:rPr>
          <w:rFonts w:hint="eastAsia" w:ascii="仿宋_GB2312" w:eastAsia="仿宋_GB2312"/>
          <w:color w:val="000000" w:themeColor="text1"/>
          <w:sz w:val="32"/>
          <w:szCs w:val="32"/>
          <w:lang w:val="en-US" w:eastAsia="zh-CN"/>
          <w14:textFill>
            <w14:solidFill>
              <w14:schemeClr w14:val="tx1"/>
            </w14:solidFill>
          </w14:textFill>
        </w:rPr>
        <w:t>__</w:t>
      </w:r>
    </w:p>
    <w:p w14:paraId="0DAB4AB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面积：</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平方公里。</w:t>
      </w:r>
    </w:p>
    <w:p w14:paraId="372CF17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首次出让年限：</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p>
    <w:p w14:paraId="2E548DB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矿业权出让收益率：根据</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内蒙古自治区财政厅 自然资源厅</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国家税务总局内蒙古自治区税务局关于印发</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&lt;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内蒙古自治区矿业权出让收益征收管理实施办法</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&gt;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的通知</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（内财综规〔2024〕12号）</w:t>
      </w:r>
      <w:r>
        <w:rPr>
          <w:rFonts w:hint="eastAsia" w:ascii="仿宋_GB2312" w:eastAsia="仿宋_GB2312"/>
          <w:color w:val="000000" w:themeColor="text1"/>
          <w:sz w:val="32"/>
          <w:szCs w:val="32"/>
          <w14:textFill>
            <w14:solidFill>
              <w14:schemeClr w14:val="tx1"/>
            </w14:solidFill>
          </w14:textFill>
        </w:rPr>
        <w:t>规定，矿种</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的矿业权出让收益率为</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%。该矿在开采时需按约定的出让收益率逐年缴纳矿业权出让收益。</w:t>
      </w:r>
    </w:p>
    <w:p w14:paraId="779A9279">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地理位置：内蒙古自治区赤峰市</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w:t>
      </w:r>
    </w:p>
    <w:p w14:paraId="4C62A582">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四、成交价格及出让收益缴纳方式</w:t>
      </w:r>
    </w:p>
    <w:p w14:paraId="518359C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成交价格：人民币</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元（大写：</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lang w:val="en-US" w:eastAsia="zh-CN"/>
          <w14:textFill>
            <w14:solidFill>
              <w14:schemeClr w14:val="tx1"/>
            </w14:solidFill>
          </w14:textFill>
        </w:rPr>
        <w:t>元</w:t>
      </w:r>
      <w:r>
        <w:rPr>
          <w:rFonts w:hint="eastAsia" w:ascii="仿宋_GB2312" w:eastAsia="仿宋_GB2312"/>
          <w:color w:val="000000" w:themeColor="text1"/>
          <w:sz w:val="32"/>
          <w:szCs w:val="32"/>
          <w14:textFill>
            <w14:solidFill>
              <w14:schemeClr w14:val="tx1"/>
            </w14:solidFill>
          </w14:textFill>
        </w:rPr>
        <w:t>整）。</w:t>
      </w:r>
    </w:p>
    <w:p w14:paraId="3CB102B9">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出让收益缴纳方式：按照</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内蒙古自治区财政厅 自然资源厅</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国家税务总局内蒙古自治区税务局关于印发</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&lt;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内蒙古自治区矿业权出让收益征收管理实施办法</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&gt;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的通知</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（内财综规〔2024〕12号）</w:t>
      </w:r>
      <w:r>
        <w:rPr>
          <w:rFonts w:hint="eastAsia" w:ascii="仿宋_GB2312" w:eastAsia="仿宋_GB2312"/>
          <w:color w:val="000000" w:themeColor="text1"/>
          <w:sz w:val="32"/>
          <w:szCs w:val="32"/>
          <w14:textFill>
            <w14:solidFill>
              <w14:schemeClr w14:val="tx1"/>
            </w14:solidFill>
          </w14:textFill>
        </w:rPr>
        <w:t>等规定执行，竞争确定的成交价一次性征收；在矿山开采时，按出让合同约定的矿业权出让收益率逐年征收采矿权出让收益。</w:t>
      </w:r>
    </w:p>
    <w:p w14:paraId="63764E45">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五、申请办理矿业权登记的时限</w:t>
      </w:r>
    </w:p>
    <w:p w14:paraId="2A425B0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按相关规定办理。</w:t>
      </w:r>
    </w:p>
    <w:p w14:paraId="057F1E02">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六、公示时间及提出异议的方式及途径</w:t>
      </w:r>
    </w:p>
    <w:p w14:paraId="24D936D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公示时间：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日至</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14:textFill>
            <w14:solidFill>
              <w14:schemeClr w14:val="tx1"/>
            </w14:solidFill>
          </w14:textFill>
        </w:rPr>
        <w:t>日。</w:t>
      </w:r>
    </w:p>
    <w:p w14:paraId="1BC39C1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如对本公示内容存在异议，应在公示期内以书面形式提出。</w:t>
      </w:r>
    </w:p>
    <w:p w14:paraId="42C4692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出让人联系方式：0476-5891926。</w:t>
      </w:r>
    </w:p>
    <w:p w14:paraId="16C8F73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交易平台联系方式：0476-8288823。</w:t>
      </w:r>
    </w:p>
    <w:p w14:paraId="68B5A697">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七、其他内容</w:t>
      </w:r>
    </w:p>
    <w:p w14:paraId="49F8D57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本公示在自然资源部网站、内蒙古自治区自然资源厅网站、赤峰市自然资源局网站、赤峰市公共资源交易中心网站及内蒙古自治区自然资源网上交易系统同时发布。</w:t>
      </w:r>
    </w:p>
    <w:p w14:paraId="6AD91197">
      <w:pPr>
        <w:rPr>
          <w:rFonts w:ascii="仿宋_GB2312" w:eastAsia="仿宋_GB2312"/>
          <w:color w:val="000000" w:themeColor="text1"/>
          <w:sz w:val="32"/>
          <w:szCs w:val="32"/>
          <w14:textFill>
            <w14:solidFill>
              <w14:schemeClr w14:val="tx1"/>
            </w14:solidFill>
          </w14:textFill>
        </w:rPr>
      </w:pPr>
    </w:p>
    <w:p w14:paraId="11F069BD">
      <w:pPr>
        <w:rPr>
          <w:rFonts w:ascii="仿宋_GB2312" w:eastAsia="仿宋_GB2312"/>
          <w:color w:val="000000" w:themeColor="text1"/>
          <w:sz w:val="32"/>
          <w:szCs w:val="32"/>
          <w14:textFill>
            <w14:solidFill>
              <w14:schemeClr w14:val="tx1"/>
            </w14:solidFill>
          </w14:textFill>
        </w:rPr>
      </w:pPr>
    </w:p>
    <w:p w14:paraId="1BC6C459">
      <w:pPr>
        <w:rPr>
          <w:rFonts w:ascii="仿宋_GB2312" w:eastAsia="仿宋_GB2312"/>
          <w:color w:val="000000" w:themeColor="text1"/>
          <w:sz w:val="32"/>
          <w:szCs w:val="32"/>
          <w14:textFill>
            <w14:solidFill>
              <w14:schemeClr w14:val="tx1"/>
            </w14:solidFill>
          </w14:textFill>
        </w:rPr>
      </w:pPr>
    </w:p>
    <w:p w14:paraId="1C5BAEB4">
      <w:pPr>
        <w:ind w:firstLine="4480" w:firstLineChars="14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赤峰市自然资源局</w:t>
      </w:r>
    </w:p>
    <w:p w14:paraId="2E20D019">
      <w:pPr>
        <w:ind w:firstLine="4640" w:firstLineChars="145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6AEA11C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F755">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5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15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22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8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2025-09-01T04:45:00Z</dcterms:created>
  <dc:creator>Administrator</dc:creator>
  <cp:lastModifiedBy>学哥</cp:lastModifiedBy>
  <dcterms:modified xsi:type="dcterms:W3CDTF">2025-09-01T04:45:37Z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eyJoZGlkIjoiYTk5ZDgwN2QzYzI5MzExMzMzNmIyY2U3YjVkMWFjZTciLCJ1c2VySWQiOiIyNzU4Mzk5MDEifQ==</vt:lpwstr>
  </property>
  <property fmtid="{D5CDD505-2E9C-101B-9397-08002B2CF9AE}" pid="4" name="ICV">
    <vt:lpwstr>85BB8B6DCD444B07A3DEB0A90E44A057_12</vt:lpwstr>
  </property>
</Properties>
</file>