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2</w:t>
      </w:r>
    </w:p>
    <w:p w14:paraId="2A36C17A">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18D77F73">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000000" w:themeColor="text1"/>
          <w:sz w:val="56"/>
          <w:szCs w:val="56"/>
          <w:highlight w:val="none"/>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14:textFill>
            <w14:solidFill>
              <w14:schemeClr w14:val="tx1"/>
            </w14:solidFill>
          </w14:textFill>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赤公矿交告</w:t>
            </w:r>
            <w:bookmarkStart w:id="20" w:name="_GoBack"/>
            <w:r>
              <w:rPr>
                <w:rFonts w:hint="eastAsia" w:ascii="Times New Roman" w:hAnsi="Times New Roman" w:eastAsia="仿宋_GB2312" w:cs="Times New Roman"/>
                <w:b/>
                <w:bCs/>
                <w:color w:val="FF0000"/>
                <w:kern w:val="2"/>
                <w:sz w:val="32"/>
                <w:szCs w:val="32"/>
                <w:highlight w:val="none"/>
                <w:lang w:val="en-US" w:eastAsia="zh-CN" w:bidi="ar-SA"/>
              </w:rPr>
              <w:t>〔2025〕</w:t>
            </w:r>
            <w:r>
              <w:rPr>
                <w:rFonts w:hint="eastAsia" w:ascii="Times New Roman" w:hAnsi="Times New Roman" w:eastAsia="仿宋_GB2312" w:cs="Times New Roman"/>
                <w:b/>
                <w:bCs/>
                <w:color w:val="FF0000"/>
                <w:kern w:val="2"/>
                <w:sz w:val="32"/>
                <w:szCs w:val="32"/>
                <w:highlight w:val="none"/>
                <w:u w:val="none"/>
                <w:lang w:val="en-US" w:eastAsia="zh-CN" w:bidi="ar-SA"/>
              </w:rPr>
              <w:t>021</w:t>
            </w:r>
            <w:bookmarkEnd w:id="20"/>
            <w:r>
              <w:rPr>
                <w:rFonts w:hint="eastAsia" w:ascii="Times New Roman" w:hAnsi="Times New Roman" w:eastAsia="仿宋_GB2312" w:cs="Times New Roman"/>
                <w:b/>
                <w:bCs/>
                <w:color w:val="auto"/>
                <w:kern w:val="2"/>
                <w:sz w:val="32"/>
                <w:szCs w:val="32"/>
                <w:highlight w:val="none"/>
                <w:lang w:val="en-US" w:eastAsia="zh-CN" w:bidi="ar-SA"/>
              </w:rPr>
              <w:t>号</w:t>
            </w:r>
          </w:p>
        </w:tc>
      </w:tr>
      <w:tr w14:paraId="77BF603C">
        <w:tblPrEx>
          <w:tblCellMar>
            <w:top w:w="0" w:type="dxa"/>
            <w:left w:w="108" w:type="dxa"/>
            <w:bottom w:w="0" w:type="dxa"/>
            <w:right w:w="108" w:type="dxa"/>
          </w:tblCellMar>
        </w:tblPrEx>
        <w:trPr>
          <w:trHeight w:val="716"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FF0000"/>
                <w:kern w:val="2"/>
                <w:sz w:val="32"/>
                <w:szCs w:val="32"/>
                <w:highlight w:val="none"/>
                <w:u w:val="none"/>
                <w:lang w:val="en-US" w:eastAsia="zh-CN" w:bidi="ar-SA"/>
              </w:rPr>
              <w:t>内蒙古自治区巴林右旗古力古台萤石矿勘查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赤峰市公共资源交易中心</w:t>
            </w:r>
          </w:p>
        </w:tc>
      </w:tr>
    </w:tbl>
    <w:p w14:paraId="7A35B79B">
      <w:pPr>
        <w:snapToGrid/>
        <w:ind w:firstLine="0" w:firstLineChars="0"/>
        <w:rPr>
          <w:rFonts w:ascii="Times New Roman" w:hAnsi="Times New Roman" w:eastAsia="仿宋_GB2312"/>
          <w:b/>
          <w:bCs/>
          <w:color w:val="auto"/>
          <w:highlight w:val="none"/>
        </w:rPr>
      </w:pPr>
    </w:p>
    <w:p w14:paraId="5BF236B4">
      <w:pPr>
        <w:snapToGrid/>
        <w:ind w:firstLine="0" w:firstLineChars="0"/>
        <w:rPr>
          <w:rFonts w:ascii="Times New Roman" w:hAnsi="Times New Roman" w:eastAsia="仿宋_GB2312"/>
          <w:b/>
          <w:bCs/>
          <w:color w:val="auto"/>
          <w:highlight w:val="none"/>
        </w:rPr>
      </w:pPr>
    </w:p>
    <w:p w14:paraId="761B6ED9">
      <w:pPr>
        <w:snapToGrid/>
        <w:ind w:firstLine="0" w:firstLineChars="0"/>
        <w:rPr>
          <w:rFonts w:ascii="Times New Roman" w:hAnsi="Times New Roman" w:eastAsia="仿宋_GB2312"/>
          <w:b/>
          <w:bCs/>
          <w:color w:val="auto"/>
          <w:highlight w:val="none"/>
        </w:rPr>
      </w:pPr>
    </w:p>
    <w:p w14:paraId="34C43A4F">
      <w:pPr>
        <w:pStyle w:val="3"/>
        <w:rPr>
          <w:rFonts w:ascii="Times New Roman" w:hAnsi="Times New Roman" w:eastAsia="仿宋_GB2312"/>
          <w:b/>
          <w:bCs/>
          <w:color w:val="auto"/>
          <w:highlight w:val="none"/>
        </w:rPr>
      </w:pPr>
    </w:p>
    <w:p w14:paraId="0B0CA995">
      <w:pPr>
        <w:pStyle w:val="2"/>
        <w:ind w:left="0" w:leftChars="0" w:firstLine="0" w:firstLineChars="0"/>
        <w:jc w:val="center"/>
        <w:rPr>
          <w:rFonts w:ascii="Times New Roman" w:hAnsi="Times New Roman"/>
          <w:color w:val="000000" w:themeColor="text1"/>
          <w:highlight w:val="none"/>
          <w14:textFill>
            <w14:solidFill>
              <w14:schemeClr w14:val="tx1"/>
            </w14:solidFill>
          </w14:textFill>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FF0000"/>
          <w:highlight w:val="none"/>
        </w:rPr>
        <w:t>202</w:t>
      </w:r>
      <w:r>
        <w:rPr>
          <w:rFonts w:hint="eastAsia" w:ascii="Times New Roman" w:hAnsi="Times New Roman"/>
          <w:color w:val="FF0000"/>
          <w:highlight w:val="none"/>
          <w:lang w:val="en-US" w:eastAsia="zh-CN"/>
        </w:rPr>
        <w:t>5</w:t>
      </w:r>
      <w:r>
        <w:rPr>
          <w:rFonts w:ascii="Times New Roman" w:hAnsi="Times New Roman"/>
          <w:color w:val="auto"/>
          <w:highlight w:val="none"/>
          <w:lang w:val="en"/>
        </w:rPr>
        <w:t>年</w:t>
      </w:r>
      <w:r>
        <w:rPr>
          <w:rFonts w:hint="eastAsia" w:ascii="Times New Roman" w:hAnsi="Times New Roman"/>
          <w:color w:val="FF0000"/>
          <w:highlight w:val="none"/>
          <w:u w:val="none"/>
          <w:lang w:val="en-US" w:eastAsia="zh-CN"/>
        </w:rPr>
        <w:t>12</w:t>
      </w:r>
      <w:r>
        <w:rPr>
          <w:rFonts w:ascii="Times New Roman" w:hAnsi="Times New Roman"/>
          <w:color w:val="auto"/>
          <w:highlight w:val="none"/>
        </w:rPr>
        <w:t>月</w:t>
      </w:r>
      <w:r>
        <w:rPr>
          <w:rFonts w:hint="eastAsia" w:ascii="Times New Roman" w:hAnsi="Times New Roman"/>
          <w:color w:val="FF0000"/>
          <w:highlight w:val="none"/>
          <w:u w:val="none"/>
          <w:lang w:val="en-US" w:eastAsia="zh-CN"/>
        </w:rPr>
        <w:t>09</w:t>
      </w:r>
      <w:r>
        <w:rPr>
          <w:rFonts w:hint="eastAsia" w:ascii="Times New Roman" w:hAnsi="Times New Roman"/>
          <w:color w:val="auto"/>
          <w:highlight w:val="none"/>
        </w:rPr>
        <w:t>日</w:t>
      </w:r>
    </w:p>
    <w:p w14:paraId="110015DE">
      <w:pPr>
        <w:pStyle w:val="2"/>
        <w:jc w:val="center"/>
        <w:rPr>
          <w:rFonts w:hint="eastAsia" w:ascii="黑体" w:hAnsi="黑体" w:eastAsia="黑体" w:cs="黑体"/>
          <w:color w:val="000000" w:themeColor="text1"/>
          <w:sz w:val="36"/>
          <w:szCs w:val="36"/>
          <w:highlight w:val="none"/>
          <w14:textFill>
            <w14:solidFill>
              <w14:schemeClr w14:val="tx1"/>
            </w14:solidFill>
          </w14:textFill>
        </w:rPr>
      </w:pPr>
      <w:bookmarkStart w:id="0" w:name="_Toc6511"/>
      <w:bookmarkEnd w:id="0"/>
      <w:bookmarkStart w:id="1" w:name="_Toc7534"/>
      <w:r>
        <w:rPr>
          <w:rFonts w:hint="eastAsia" w:ascii="黑体" w:hAnsi="黑体" w:eastAsia="黑体" w:cs="黑体"/>
          <w:color w:val="000000" w:themeColor="text1"/>
          <w:sz w:val="36"/>
          <w:szCs w:val="36"/>
          <w:highlight w:val="none"/>
          <w14:textFill>
            <w14:solidFill>
              <w14:schemeClr w14:val="tx1"/>
            </w14:solidFill>
          </w14:textFill>
        </w:rPr>
        <w:t xml:space="preserve">第一章 </w:t>
      </w:r>
      <w:bookmarkEnd w:id="1"/>
      <w:r>
        <w:rPr>
          <w:rFonts w:hint="eastAsia" w:ascii="黑体" w:hAnsi="黑体" w:eastAsia="黑体" w:cs="黑体"/>
          <w:color w:val="000000" w:themeColor="text1"/>
          <w:sz w:val="36"/>
          <w:szCs w:val="36"/>
          <w:highlight w:val="none"/>
          <w14:textFill>
            <w14:solidFill>
              <w14:schemeClr w14:val="tx1"/>
            </w14:solidFill>
          </w14:textFill>
        </w:rPr>
        <w:t>竞买须知</w:t>
      </w:r>
    </w:p>
    <w:p w14:paraId="52D9E0BB">
      <w:pPr>
        <w:keepNext/>
        <w:keepLines/>
        <w:widowControl/>
        <w:snapToGrid/>
        <w:spacing w:line="600" w:lineRule="exact"/>
        <w:ind w:firstLine="640" w:firstLineChars="200"/>
        <w:outlineLvl w:val="1"/>
        <w:rPr>
          <w:rFonts w:ascii="Times New Roman" w:hAnsi="Times New Roman" w:eastAsia="黑体"/>
          <w:color w:val="000000" w:themeColor="text1"/>
          <w:kern w:val="0"/>
          <w:sz w:val="32"/>
          <w:szCs w:val="32"/>
          <w:highlight w:val="none"/>
          <w14:textFill>
            <w14:solidFill>
              <w14:schemeClr w14:val="tx1"/>
            </w14:solidFill>
          </w14:textFill>
        </w:rPr>
      </w:pPr>
      <w:bookmarkStart w:id="2" w:name="_Toc466928017"/>
      <w:bookmarkEnd w:id="2"/>
      <w:bookmarkStart w:id="3" w:name="_Toc23315"/>
      <w:bookmarkEnd w:id="3"/>
      <w:bookmarkStart w:id="4" w:name="_Toc22159"/>
      <w:bookmarkEnd w:id="4"/>
      <w:bookmarkStart w:id="5" w:name="_Toc11629"/>
      <w:bookmarkEnd w:id="5"/>
      <w:bookmarkStart w:id="6" w:name="_Toc467235654"/>
      <w:bookmarkEnd w:id="6"/>
      <w:r>
        <w:rPr>
          <w:rFonts w:hint="eastAsia" w:ascii="Times New Roman" w:hAnsi="Times New Roman" w:eastAsia="黑体"/>
          <w:color w:val="000000" w:themeColor="text1"/>
          <w:kern w:val="0"/>
          <w:sz w:val="32"/>
          <w:szCs w:val="32"/>
          <w:highlight w:val="none"/>
          <w14:textFill>
            <w14:solidFill>
              <w14:schemeClr w14:val="tx1"/>
            </w14:solidFill>
          </w14:textFill>
        </w:rPr>
        <w:t>一</w:t>
      </w:r>
      <w:r>
        <w:rPr>
          <w:rFonts w:ascii="Times New Roman" w:hAnsi="Times New Roman" w:eastAsia="黑体"/>
          <w:color w:val="000000" w:themeColor="text1"/>
          <w:kern w:val="0"/>
          <w:sz w:val="32"/>
          <w:szCs w:val="32"/>
          <w:highlight w:val="none"/>
          <w14:textFill>
            <w14:solidFill>
              <w14:schemeClr w14:val="tx1"/>
            </w14:solidFill>
          </w14:textFill>
        </w:rPr>
        <w:t>、</w:t>
      </w:r>
      <w:r>
        <w:rPr>
          <w:rFonts w:hint="eastAsia" w:ascii="Times New Roman" w:hAnsi="Times New Roman" w:eastAsia="黑体"/>
          <w:color w:val="000000" w:themeColor="text1"/>
          <w:kern w:val="0"/>
          <w:sz w:val="32"/>
          <w:szCs w:val="32"/>
          <w:highlight w:val="none"/>
          <w14:textFill>
            <w14:solidFill>
              <w14:schemeClr w14:val="tx1"/>
            </w14:solidFill>
          </w14:textFill>
        </w:rPr>
        <w:t>关于</w:t>
      </w:r>
      <w:r>
        <w:rPr>
          <w:rFonts w:ascii="Times New Roman" w:hAnsi="Times New Roman" w:eastAsia="黑体"/>
          <w:color w:val="000000" w:themeColor="text1"/>
          <w:kern w:val="0"/>
          <w:sz w:val="32"/>
          <w:szCs w:val="32"/>
          <w:highlight w:val="none"/>
          <w14:textFill>
            <w14:solidFill>
              <w14:schemeClr w14:val="tx1"/>
            </w14:solidFill>
          </w14:textFill>
        </w:rPr>
        <w:t>出让文件</w:t>
      </w:r>
    </w:p>
    <w:p w14:paraId="6F032603">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bookmarkStart w:id="7" w:name="_Toc37108511"/>
      <w:bookmarkEnd w:id="7"/>
      <w:r>
        <w:rPr>
          <w:rFonts w:hint="eastAsia" w:ascii="Times New Roman" w:hAnsi="Times New Roman" w:eastAsia="仿宋_GB2312"/>
          <w:color w:val="000000" w:themeColor="text1"/>
          <w:sz w:val="32"/>
          <w:szCs w:val="32"/>
          <w:highlight w:val="none"/>
          <w14:textFill>
            <w14:solidFill>
              <w14:schemeClr w14:val="tx1"/>
            </w14:solidFill>
          </w14:textFill>
        </w:rPr>
        <w:t>（一）出让文件的解释、澄清</w:t>
      </w:r>
    </w:p>
    <w:p w14:paraId="75A72000">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1.竞买人获取出让文件后，应认真阅读出让文件中所有的事项、格式、条款和规范要求等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如有疑问，于出让公告截止时间15个工作日前，</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ascii="Times New Roman" w:hAnsi="Times New Roman" w:eastAsia="仿宋_GB2312"/>
          <w:color w:val="000000" w:themeColor="text1"/>
          <w:sz w:val="32"/>
          <w:szCs w:val="32"/>
          <w:highlight w:val="none"/>
          <w14:textFill>
            <w14:solidFill>
              <w14:schemeClr w14:val="tx1"/>
            </w14:solidFill>
          </w14:textFill>
        </w:rPr>
        <w:t>，否则由此引起的损失自行承担。</w:t>
      </w:r>
      <w:r>
        <w:rPr>
          <w:rFonts w:hint="eastAsia" w:ascii="Times New Roman" w:hAnsi="Times New Roman" w:eastAsia="仿宋_GB2312"/>
          <w:color w:val="000000" w:themeColor="text1"/>
          <w:sz w:val="32"/>
          <w:szCs w:val="32"/>
          <w:highlight w:val="none"/>
          <w14:textFill>
            <w14:solidFill>
              <w14:schemeClr w14:val="tx1"/>
            </w14:solidFill>
          </w14:textFill>
        </w:rPr>
        <w:t>竞买人未按要求办理有关事项，</w:t>
      </w:r>
      <w:r>
        <w:rPr>
          <w:rFonts w:ascii="Times New Roman" w:hAnsi="Times New Roman" w:eastAsia="仿宋_GB2312"/>
          <w:color w:val="000000" w:themeColor="text1"/>
          <w:sz w:val="32"/>
          <w:szCs w:val="32"/>
          <w:highlight w:val="none"/>
          <w14:textFill>
            <w14:solidFill>
              <w14:schemeClr w14:val="tx1"/>
            </w14:solidFill>
          </w14:textFill>
        </w:rPr>
        <w:t>其风险自行承担。</w:t>
      </w:r>
    </w:p>
    <w:p w14:paraId="28D66738">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cs" w:ascii="Times New Roman" w:hAnsi="Times New Roman" w:eastAsia="仿宋_GB2312"/>
          <w:color w:val="000000" w:themeColor="text1"/>
          <w:sz w:val="32"/>
          <w:szCs w:val="32"/>
          <w:highlight w:val="none"/>
          <w:cs/>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竞买人若对出让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探矿权</w:t>
      </w:r>
      <w:r>
        <w:rPr>
          <w:rFonts w:ascii="Times New Roman" w:hAnsi="Times New Roman" w:eastAsia="仿宋_GB2312"/>
          <w:color w:val="000000" w:themeColor="text1"/>
          <w:sz w:val="32"/>
          <w:szCs w:val="32"/>
          <w:highlight w:val="none"/>
          <w14:textFill>
            <w14:solidFill>
              <w14:schemeClr w14:val="tx1"/>
            </w14:solidFill>
          </w14:textFill>
        </w:rPr>
        <w:t>有疑问，应于出让公告截止时间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个工</w:t>
      </w:r>
      <w:r>
        <w:rPr>
          <w:rFonts w:ascii="Times New Roman" w:hAnsi="Times New Roman" w:eastAsia="仿宋_GB2312"/>
          <w:color w:val="000000" w:themeColor="text1"/>
          <w:sz w:val="32"/>
          <w:szCs w:val="32"/>
          <w:highlight w:val="none"/>
          <w14:textFill>
            <w14:solidFill>
              <w14:schemeClr w14:val="tx1"/>
            </w14:solidFill>
          </w14:textFill>
        </w:rPr>
        <w:t>作日前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赤峰市自然资源局</w:t>
      </w:r>
      <w:r>
        <w:rPr>
          <w:rFonts w:ascii="Times New Roman" w:hAnsi="Times New Roman" w:eastAsia="仿宋_GB2312"/>
          <w:color w:val="000000" w:themeColor="text1"/>
          <w:sz w:val="32"/>
          <w:szCs w:val="32"/>
          <w:highlight w:val="none"/>
          <w14:textFill>
            <w14:solidFill>
              <w14:schemeClr w14:val="tx1"/>
            </w14:solidFill>
          </w14:textFill>
        </w:rPr>
        <w:t>。</w:t>
      </w:r>
    </w:p>
    <w:p w14:paraId="7F26C9A9">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3.根据竞买人的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疑问，</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及赤峰市自然资源局</w:t>
      </w:r>
      <w:r>
        <w:rPr>
          <w:rFonts w:ascii="Times New Roman" w:hAnsi="Times New Roman" w:eastAsia="仿宋_GB2312"/>
          <w:color w:val="000000" w:themeColor="text1"/>
          <w:sz w:val="32"/>
          <w:szCs w:val="32"/>
          <w:highlight w:val="none"/>
          <w14:textFill>
            <w14:solidFill>
              <w14:schemeClr w14:val="tx1"/>
            </w14:solidFill>
          </w14:textFill>
        </w:rPr>
        <w:t>做出澄清，于出让公告截止时间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个工作日前予以答复。</w:t>
      </w:r>
    </w:p>
    <w:p w14:paraId="21686C8E">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（二）出让文件的修改、补充</w:t>
      </w:r>
    </w:p>
    <w:p w14:paraId="11D41FCA">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1.交易平台根据出让人要求对出让文件进行修改、补充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，交易平台将于出让公告截止时间前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个工作日将修改补充内容以公告形式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000000" w:themeColor="text1"/>
          <w:sz w:val="32"/>
          <w:szCs w:val="32"/>
          <w:highlight w:val="none"/>
          <w14:textFill>
            <w14:solidFill>
              <w14:schemeClr w14:val="tx1"/>
            </w14:solidFill>
          </w14:textFill>
        </w:rPr>
        <w:t>发布。</w:t>
      </w:r>
    </w:p>
    <w:p w14:paraId="205F6724">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（三）出让文件变更的通知</w:t>
      </w:r>
    </w:p>
    <w:p w14:paraId="0AB39A4C">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本次出让有关信息如果发生变动变更，将</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在发布公告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的相</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网站及网上交易系统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进行</w:t>
      </w:r>
      <w:r>
        <w:rPr>
          <w:rFonts w:hint="eastAsia" w:ascii="Times New Roman" w:hAnsi="Times New Roman" w:eastAsia="仿宋_GB2312"/>
          <w:color w:val="000000" w:themeColor="text1"/>
          <w:sz w:val="32"/>
          <w:szCs w:val="32"/>
          <w:highlight w:val="none"/>
          <w14:textFill>
            <w14:solidFill>
              <w14:schemeClr w14:val="tx1"/>
            </w14:solidFill>
          </w14:textFill>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14:textFill>
            <w14:solidFill>
              <w14:schemeClr w14:val="tx1"/>
            </w14:solidFill>
          </w14:textFill>
        </w:rPr>
      </w:pPr>
      <w:bookmarkStart w:id="8" w:name="_Toc2710"/>
      <w:bookmarkEnd w:id="8"/>
      <w:bookmarkStart w:id="9" w:name="_Toc22344"/>
      <w:bookmarkEnd w:id="9"/>
      <w:bookmarkStart w:id="10" w:name="_Toc37108517"/>
      <w:bookmarkEnd w:id="10"/>
      <w:bookmarkStart w:id="11" w:name="_Toc37108519"/>
      <w:bookmarkEnd w:id="11"/>
      <w:bookmarkStart w:id="12" w:name="_Toc470767499"/>
      <w:bookmarkEnd w:id="12"/>
      <w:bookmarkStart w:id="13" w:name="_Hlk80977375"/>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kern w:val="0"/>
          <w:sz w:val="32"/>
          <w:szCs w:val="32"/>
          <w:highlight w:val="none"/>
          <w14:textFill>
            <w14:solidFill>
              <w14:schemeClr w14:val="tx1"/>
            </w14:solidFill>
          </w14:textFill>
        </w:rPr>
        <w:t>关于出让合同签订</w:t>
      </w:r>
    </w:p>
    <w:p w14:paraId="3BE9DE51">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挂牌成交结果公示期间无异议的，竞得人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公示期结束后20</w:t>
      </w:r>
      <w:r>
        <w:rPr>
          <w:rFonts w:hint="eastAsia" w:ascii="Times New Roman" w:hAnsi="Times New Roman" w:eastAsia="仿宋_GB2312"/>
          <w:color w:val="000000" w:themeColor="text1"/>
          <w:sz w:val="32"/>
          <w:szCs w:val="32"/>
          <w:highlight w:val="none"/>
          <w14:textFill>
            <w14:solidFill>
              <w14:schemeClr w14:val="tx1"/>
            </w14:solidFill>
          </w14:textFill>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仿宋_GB2312"/>
          <w:color w:val="000000" w:themeColor="text1"/>
          <w:sz w:val="32"/>
          <w:szCs w:val="32"/>
          <w:highlight w:val="none"/>
          <w14:textFill>
            <w14:solidFill>
              <w14:schemeClr w14:val="tx1"/>
            </w14:solidFill>
          </w14:textFill>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三、关于探矿权登记</w:t>
      </w:r>
    </w:p>
    <w:p w14:paraId="15E1E37C">
      <w:pPr>
        <w:snapToGrid/>
        <w:spacing w:line="60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竞得人按《探矿权出让合同》约定缴纳探矿权出让收益，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olor w:val="000000" w:themeColor="text1"/>
          <w:sz w:val="32"/>
          <w:szCs w:val="32"/>
          <w:highlight w:val="none"/>
          <w14:textFill>
            <w14:solidFill>
              <w14:schemeClr w14:val="tx1"/>
            </w14:solidFill>
          </w14:textFill>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四、</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违约及</w:t>
      </w: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违约责任</w:t>
      </w:r>
    </w:p>
    <w:p w14:paraId="425DE890">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2.弄虚作假，骗取竞买资格的；</w:t>
      </w:r>
    </w:p>
    <w:p w14:paraId="31A9150F">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隐瞒事实，恶意串通或采取其他非法手段竞得的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B6027F8">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在公示期间有举报且经调查核实属违法违规行为的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8157DD5">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在竞买活动及合同签订过程中存在其他违反出让公告、双方约定和相关法律法规行为的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2A8FB70">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olor w:val="000000" w:themeColor="text1"/>
          <w:sz w:val="32"/>
          <w:szCs w:val="32"/>
          <w:highlight w:val="none"/>
          <w14:textFill>
            <w14:solidFill>
              <w14:schemeClr w14:val="tx1"/>
            </w14:solidFill>
          </w14:textFill>
        </w:rPr>
        <w:t>经按竞价规则竞价确定的最高报价人未按规定进行资格审核或经资格审核不符合竞买</w:t>
      </w:r>
      <w:r>
        <w:rPr>
          <w:rFonts w:hint="eastAsia" w:ascii="Times New Roman" w:hAnsi="Times New Roman" w:eastAsia="仿宋_GB2312"/>
          <w:color w:val="0000FF"/>
          <w:sz w:val="32"/>
          <w:szCs w:val="32"/>
          <w:highlight w:val="none"/>
        </w:rPr>
        <w:t>资</w:t>
      </w:r>
      <w:r>
        <w:rPr>
          <w:rFonts w:hint="eastAsia" w:ascii="Times New Roman" w:hAnsi="Times New Roman" w:eastAsia="仿宋_GB2312"/>
          <w:color w:val="0000FF"/>
          <w:sz w:val="32"/>
          <w:szCs w:val="32"/>
          <w:highlight w:val="none"/>
          <w:lang w:eastAsia="zh-CN"/>
        </w:rPr>
        <w:t>格</w:t>
      </w:r>
      <w:r>
        <w:rPr>
          <w:rFonts w:hint="eastAsia" w:ascii="Times New Roman" w:hAnsi="Times New Roman" w:eastAsia="仿宋_GB2312"/>
          <w:color w:val="0000FF"/>
          <w:sz w:val="32"/>
          <w:szCs w:val="32"/>
          <w:highlight w:val="none"/>
        </w:rPr>
        <w:t>条件</w:t>
      </w:r>
      <w:r>
        <w:rPr>
          <w:rFonts w:hint="eastAsia" w:ascii="Times New Roman" w:hAnsi="Times New Roman" w:eastAsia="仿宋_GB2312"/>
          <w:color w:val="000000" w:themeColor="text1"/>
          <w:sz w:val="32"/>
          <w:szCs w:val="32"/>
          <w:highlight w:val="none"/>
          <w14:textFill>
            <w14:solidFill>
              <w14:schemeClr w14:val="tx1"/>
            </w14:solidFill>
          </w14:textFill>
        </w:rPr>
        <w:t>和要求的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7.被确定为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olor w:val="000000" w:themeColor="text1"/>
          <w:sz w:val="32"/>
          <w:szCs w:val="32"/>
          <w:highlight w:val="none"/>
          <w:u w:val="none"/>
          <w14:textFill>
            <w14:solidFill>
              <w14:schemeClr w14:val="tx1"/>
            </w14:solidFill>
          </w14:textFill>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被确定为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竞得人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，签订探矿权出让合同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1.取</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消竞得人的竞得资格并在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7111819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保证金不予退还</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C82C8C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竞得人逾期60日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（三）</w:t>
      </w:r>
      <w:r>
        <w:rPr>
          <w:rFonts w:hint="eastAsia" w:ascii="Times New Roman" w:hAnsi="Times New Roman" w:eastAsia="仿宋_GB2312" w:cs="Times New Roman"/>
          <w:strike w:val="0"/>
          <w:color w:val="000000" w:themeColor="text1"/>
          <w:sz w:val="32"/>
          <w:szCs w:val="32"/>
          <w:highlight w:val="none"/>
          <w:lang w:val="en-US" w:eastAsia="zh-CN"/>
          <w14:textFill>
            <w14:solidFill>
              <w14:schemeClr w14:val="tx1"/>
            </w14:solidFill>
          </w14:textFill>
        </w:rPr>
        <w:t>赤峰市</w:t>
      </w: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3.网络竞价的时间以交易系统服务器时间为准，由于竞买人自身终端设备时间与交易系统服务器时间不符而导致未能及时参与竞价的。</w:t>
      </w:r>
    </w:p>
    <w:p w14:paraId="5E580BDC">
      <w:pPr>
        <w:adjustRightInd/>
        <w:snapToGrid/>
        <w:spacing w:line="580" w:lineRule="exact"/>
        <w:jc w:val="left"/>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出让人、协办人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、矿业权交易机构均不承担任何赔偿责任。竞买人一旦参与网上竞价，即表明认同和接受网络竞价的客观状态、竞价系统传导给客户端的标的图文信息、成交价等。</w:t>
      </w:r>
      <w:r>
        <w:rPr>
          <w:rFonts w:eastAsia="仿宋_GB2312"/>
          <w:color w:val="000000" w:themeColor="text1"/>
          <w:sz w:val="32"/>
          <w:szCs w:val="32"/>
          <w:highlight w:val="none"/>
          <w14:textFill>
            <w14:solidFill>
              <w14:schemeClr w14:val="tx1"/>
            </w14:solidFill>
          </w14:textFill>
        </w:rPr>
        <w:br w:type="page"/>
      </w:r>
      <w:bookmarkStart w:id="14" w:name="_Toc17028"/>
      <w:bookmarkEnd w:id="14"/>
      <w:bookmarkStart w:id="15" w:name="_Toc466928023"/>
      <w:bookmarkEnd w:id="15"/>
      <w:bookmarkStart w:id="16" w:name="_Toc30807"/>
      <w:bookmarkEnd w:id="16"/>
      <w:r>
        <w:rPr>
          <w:rFonts w:hint="eastAsia" w:ascii="Calibri" w:hAnsi="Calibri" w:eastAsia="黑体" w:cs="Times New Roman"/>
          <w:b/>
          <w:bCs/>
          <w:color w:val="000000" w:themeColor="text1"/>
          <w:kern w:val="44"/>
          <w:sz w:val="36"/>
          <w:szCs w:val="36"/>
          <w:highlight w:val="none"/>
          <w:lang w:val="en-US" w:eastAsia="zh-CN" w:bidi="ar-SA"/>
          <w14:textFill>
            <w14:solidFill>
              <w14:schemeClr w14:val="tx1"/>
            </w14:solidFill>
          </w14:textFill>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 w:name="_Toc25914"/>
      <w:bookmarkEnd w:id="17"/>
      <w:bookmarkStart w:id="18" w:name="_Toc15544"/>
      <w:bookmarkEnd w:id="18"/>
      <w:bookmarkStart w:id="19" w:name="_Toc21196"/>
      <w:bookmarkEnd w:id="19"/>
      <w:r>
        <w:rPr>
          <w:rFonts w:hint="eastAsia" w:ascii="黑体" w:hAnsi="黑体" w:eastAsia="黑体" w:cs="黑体"/>
          <w:b w:val="0"/>
          <w:bCs w:val="0"/>
          <w:color w:val="000000" w:themeColor="text1"/>
          <w:sz w:val="32"/>
          <w:szCs w:val="32"/>
          <w:highlight w:val="none"/>
          <w14:textFill>
            <w14:solidFill>
              <w14:schemeClr w14:val="tx1"/>
            </w14:solidFill>
          </w14:textFill>
        </w:rPr>
        <w:t>一、</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三、报价程序</w:t>
      </w:r>
    </w:p>
    <w:p w14:paraId="743FF601">
      <w:pPr>
        <w:snapToGrid/>
        <w:spacing w:line="580" w:lineRule="exact"/>
        <w:ind w:firstLine="640" w:firstLineChars="200"/>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（一）竞买人如确定参加竞买活动，须办理CA数字证书</w:t>
      </w:r>
      <w:r>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进行</w:t>
      </w: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）竞买人如确定参加竞买活动，须登录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内蒙古自治区自然资源网上交易系统</w:t>
      </w:r>
      <w:r>
        <w:rPr>
          <w:rFonts w:hint="eastAsia" w:ascii="仿宋_GB2312" w:hAnsi="仿宋_GB2312" w:eastAsia="仿宋_GB2312" w:cs="仿宋_GB2312"/>
          <w:b/>
          <w:bCs/>
          <w:color w:val="000000" w:themeColor="text1"/>
          <w:sz w:val="22"/>
          <w:szCs w:val="22"/>
          <w:highlight w:val="none"/>
          <w:u w:val="none"/>
          <w:lang w:val="en-US" w:eastAsia="zh-CN"/>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具体操作步骤详见“内蒙古自治区自然资源网上交易系统”—</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—“首页”——“交易流程”</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（四）初次报价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（五）符合相关条件的报价，交易系统予以接受，并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网上挂牌报价时间截止时，有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2个或2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个以上竞买人报价，交易系统进入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分钟询问期，若无竞买人继续竞价，则挂牌活动结束。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报价最高者为预竞得人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在挂牌竞价阶段内所有有效报价的竞买人均可参加限时竞价，未报价或报价无效的竞买人不能参加限时竞价。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（九）</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竞买人确认参加限时竞价，在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分钟询问期结束后，网上交易系统自动进入限时竞价程序。</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限时竞价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阶段以4分钟倒计时为竞价时限，如在4分钟倒计时内有新的报价，系统即从接受新的报价起重新倒计时4分钟。4分</w:t>
      </w:r>
      <w:r>
        <w:rPr>
          <w:rFonts w:hint="eastAsia" w:ascii="仿宋_GB2312" w:hAnsi="仿宋_GB2312" w:eastAsia="仿宋_GB2312" w:cs="仿宋_GB2312"/>
          <w:color w:val="000000" w:themeColor="text1"/>
          <w:sz w:val="32"/>
          <w:szCs w:val="32"/>
          <w:highlight w:val="none"/>
          <w14:textFill>
            <w14:solidFill>
              <w14:schemeClr w14:val="tx1"/>
            </w14:solidFill>
          </w14:textFill>
        </w:rPr>
        <w:t>钟倒计时截止无新的报价，则挂牌活动结束，系统即时关闭报价通道。报价最高者为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highlight w:val="none"/>
          <w14:textFill>
            <w14:solidFill>
              <w14:schemeClr w14:val="tx1"/>
            </w14:solidFill>
          </w14:textFill>
        </w:rPr>
        <w:t>、发放《</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探矿权出让</w:t>
      </w:r>
      <w:r>
        <w:rPr>
          <w:rFonts w:hint="eastAsia" w:ascii="黑体" w:hAnsi="黑体" w:eastAsia="黑体" w:cs="黑体"/>
          <w:b w:val="0"/>
          <w:bCs w:val="0"/>
          <w:color w:val="000000" w:themeColor="text1"/>
          <w:sz w:val="32"/>
          <w:szCs w:val="32"/>
          <w:highlight w:val="none"/>
          <w14:textFill>
            <w14:solidFill>
              <w14:schemeClr w14:val="tx1"/>
            </w14:solidFill>
          </w14:textFill>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000000" w:themeColor="text1"/>
          <w:sz w:val="32"/>
          <w:szCs w:val="32"/>
          <w:highlight w:val="none"/>
          <w14:textFill>
            <w14:solidFill>
              <w14:schemeClr w14:val="tx1"/>
            </w14:solidFill>
          </w14:textFill>
        </w:rPr>
        <w:t>（见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竞得人持</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《探矿权出让成交确认书》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及相关资料到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赤峰市自然资源局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成交结果公示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出让结果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《探矿权出让成交确认书》签订之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日起</w:t>
      </w:r>
      <w:r>
        <w:rPr>
          <w:rFonts w:hint="eastAsia" w:ascii="仿宋_GB2312" w:hAnsi="仿宋_GB2312" w:eastAsia="仿宋_GB2312" w:cs="仿宋_GB2312"/>
          <w:color w:val="000000" w:themeColor="text1"/>
          <w:sz w:val="32"/>
          <w:szCs w:val="32"/>
          <w:highlight w:val="none"/>
          <w14:textFill>
            <w14:solidFill>
              <w14:schemeClr w14:val="tx1"/>
            </w14:solidFill>
          </w14:textFill>
        </w:rPr>
        <w:t>5个工作日内</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在发布公告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网站及网上交易系统进行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14:textFill>
            <w14:solidFill>
              <w14:schemeClr w14:val="tx1"/>
            </w14:solidFill>
          </w14:textFill>
        </w:rPr>
        <w:t>10个工作日（见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在公示期</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highlight w:val="none"/>
          <w14:textFill>
            <w14:solidFill>
              <w14:schemeClr w14:val="tx1"/>
            </w14:solidFill>
          </w14:textFill>
        </w:rPr>
        <w:t>存有异议，</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highlight w:val="none"/>
          <w14:textFill>
            <w14:solidFill>
              <w14:schemeClr w14:val="tx1"/>
            </w14:solidFill>
          </w14:textFill>
        </w:rPr>
        <w:t>以书面材料形式</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向赤峰市自然资源局提出</w:t>
      </w:r>
      <w:r>
        <w:rPr>
          <w:rFonts w:hint="default" w:ascii="Times New Roman" w:hAnsi="Times New Roman" w:eastAsia="仿宋_GB2312" w:cs="Times New Roman"/>
          <w:color w:val="000000" w:themeColor="text1"/>
          <w:sz w:val="32"/>
          <w:highlight w:val="none"/>
          <w14:textFill>
            <w14:solidFill>
              <w14:schemeClr w14:val="tx1"/>
            </w14:solidFill>
          </w14:textFill>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联系人：</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苏海洋</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通讯地址：</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内蒙古自治区赤峰市松山区玉龙大街140号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电话：0476-5891926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竞买人持内蒙古自治区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在计算机上插入CA数字证书，打开IE浏览器输入网址：</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点击左上角“请登录”按钮，进入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登录</w:t>
      </w:r>
      <w:r>
        <w:rPr>
          <w:rFonts w:hint="eastAsia" w:ascii="仿宋_GB2312" w:hAnsi="仿宋_GB2312" w:eastAsia="仿宋_GB2312" w:cs="仿宋_GB2312"/>
          <w:color w:val="000000" w:themeColor="text1"/>
          <w:sz w:val="32"/>
          <w:szCs w:val="32"/>
          <w:highlight w:val="none"/>
          <w14:textFill>
            <w14:solidFill>
              <w14:schemeClr w14:val="tx1"/>
            </w14:solidFill>
          </w14:textFill>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pP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第三章</w:t>
      </w:r>
      <w:r>
        <w:rPr>
          <w:rFonts w:hint="eastAsia" w:ascii="黑体" w:hAnsi="黑体" w:eastAsia="黑体" w:cs="黑体"/>
          <w:snapToGrid w:val="0"/>
          <w:color w:val="000000" w:themeColor="text1"/>
          <w:kern w:val="0"/>
          <w:sz w:val="36"/>
          <w:szCs w:val="36"/>
          <w:highlight w:val="none"/>
          <w:lang w:val="en-US" w:eastAsia="zh-CN"/>
          <w14:textFill>
            <w14:solidFill>
              <w14:schemeClr w14:val="tx1"/>
            </w14:solidFill>
          </w14:textFill>
        </w:rPr>
        <w:t xml:space="preserve"> </w:t>
      </w: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000000" w:themeColor="text1"/>
          <w:kern w:val="0"/>
          <w:highlight w:val="none"/>
          <w14:textFill>
            <w14:solidFill>
              <w14:schemeClr w14:val="tx1"/>
            </w14:solidFill>
          </w14:textFill>
        </w:rPr>
      </w:pPr>
    </w:p>
    <w:p w14:paraId="54F49D93">
      <w:pPr>
        <w:ind w:left="0" w:leftChars="0"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52"/>
          <w:szCs w:val="52"/>
          <w:highlight w:val="none"/>
          <w14:textFill>
            <w14:solidFill>
              <w14:schemeClr w14:val="tx1"/>
            </w14:solidFill>
          </w14:textFill>
        </w:rPr>
        <w:t>探</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矿</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权</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出</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让</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合</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甲方(出让人):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乙方(受让人):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DBA3DE5">
      <w:pPr>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仿宋_GB2312" w:hAnsi="仿宋_GB2312" w:eastAsia="仿宋_GB2312" w:cs="仿宋_GB2312"/>
          <w:color w:val="000000" w:themeColor="text1"/>
          <w:sz w:val="36"/>
          <w:szCs w:val="36"/>
          <w:highlight w:val="none"/>
          <w14:textFill>
            <w14:solidFill>
              <w14:schemeClr w14:val="tx1"/>
            </w14:solidFill>
          </w14:textFill>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(一)勘查项目名称：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(二)勘查矿种：</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(三)地理位置(所在行政区域)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(四)面   积：</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(五)勘查区域坐标：</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出让方式：</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(一)一次性缴纳探矿权成交价部分为人民币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元(大写)(¥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(二)该探矿权转为采矿权后，按照矿产品销售收入的</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第八条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第九条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乙方自本合同签订之日起</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6个月内</w:t>
      </w:r>
      <w:r>
        <w:rPr>
          <w:rFonts w:hint="eastAsia" w:ascii="仿宋_GB2312" w:hAnsi="仿宋_GB2312" w:eastAsia="仿宋_GB2312" w:cs="仿宋_GB2312"/>
          <w:color w:val="000000" w:themeColor="text1"/>
          <w:sz w:val="32"/>
          <w:szCs w:val="32"/>
          <w:highlight w:val="none"/>
          <w14:textFill>
            <w14:solidFill>
              <w14:schemeClr w14:val="tx1"/>
            </w14:solidFill>
          </w14:textFill>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(仅用于特定战略性矿产资源)</w:t>
      </w:r>
      <w:r>
        <w:rPr>
          <w:rFonts w:hint="eastAsia" w:ascii="仿宋_GB2312" w:hAnsi="仿宋_GB2312" w:eastAsia="仿宋_GB2312" w:cs="仿宋_GB2312"/>
          <w:color w:val="000000" w:themeColor="text1"/>
          <w:sz w:val="32"/>
          <w:szCs w:val="32"/>
          <w:highlight w:val="none"/>
          <w14:textFill>
            <w14:solidFill>
              <w14:schemeClr w14:val="tx1"/>
            </w14:solidFill>
          </w14:textFill>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第十四条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(一)乙方因自身原因，逾期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(三)探矿权消灭的</w:t>
      </w:r>
      <w:r>
        <w:rPr>
          <w:rFonts w:hint="eastAsia" w:ascii="楷体_GB2312" w:hAnsi="楷体_GB2312" w:eastAsia="楷体_GB2312" w:cs="楷体_GB2312"/>
          <w:color w:val="000000" w:themeColor="text1"/>
          <w:sz w:val="32"/>
          <w:szCs w:val="32"/>
          <w:highlight w:val="none"/>
          <w14:textFill>
            <w14:solidFill>
              <w14:schemeClr w14:val="tx1"/>
            </w14:solidFill>
          </w14:textFill>
        </w:rPr>
        <w:t>(探矿权转为采矿权的除外)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联系电话：</w:t>
      </w:r>
    </w:p>
    <w:p w14:paraId="7444672C">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t>成交确认书</w:t>
      </w:r>
    </w:p>
    <w:p w14:paraId="6F588670">
      <w:pPr>
        <w:pStyle w:val="8"/>
        <w:keepNext w:val="0"/>
        <w:keepLines w:val="0"/>
        <w:widowControl/>
        <w:suppressLineNumbers w:val="0"/>
        <w:spacing w:before="0" w:beforeAutospacing="0" w:after="0" w:afterAutospacing="0"/>
        <w:ind w:left="0" w:right="0"/>
        <w:rPr>
          <w:color w:val="000000" w:themeColor="text1"/>
          <w:highlight w:val="none"/>
          <w14:textFill>
            <w14:solidFill>
              <w14:schemeClr w14:val="tx1"/>
            </w14:solidFill>
          </w14:textFill>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第二条  竞得人须在本《成交确认书》签订，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经公示无异议后</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（二）竞得人在本《成交确认书》签订，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（四）其他依法应当认定为违约行为的情形；</w:t>
      </w:r>
    </w:p>
    <w:p w14:paraId="357614C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B0F0"/>
          <w:kern w:val="0"/>
          <w:sz w:val="28"/>
          <w:szCs w:val="28"/>
          <w:highlight w:val="none"/>
          <w:lang w:val="en-US" w:eastAsia="zh-CN" w:bidi="ar-SA"/>
        </w:rPr>
        <w:t xml:space="preserve">  第六条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第七条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第八条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赤峰市公共资源交易中心：（签章）</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竞得人</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日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时</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453C9515">
      <w:pPr>
        <w:rPr>
          <w:vanish/>
          <w:color w:val="000000" w:themeColor="text1"/>
          <w:sz w:val="24"/>
          <w:szCs w:val="24"/>
          <w:highlight w:val="none"/>
          <w14:textFill>
            <w14:solidFill>
              <w14:schemeClr w14:val="tx1"/>
            </w14:solidFill>
          </w14:textFill>
        </w:rPr>
      </w:pPr>
    </w:p>
    <w:p w14:paraId="3838591D">
      <w:pPr>
        <w:rPr>
          <w:color w:val="000000" w:themeColor="text1"/>
          <w:highlight w:val="none"/>
          <w14:textFill>
            <w14:solidFill>
              <w14:schemeClr w14:val="tx1"/>
            </w14:solidFill>
          </w14:textFill>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000000" w:themeColor="text1"/>
          <w:kern w:val="0"/>
          <w:sz w:val="28"/>
          <w:szCs w:val="28"/>
          <w:highlight w:val="none"/>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w:t>
      </w:r>
      <w:r>
        <w:rPr>
          <w:rFonts w:hint="eastAsia" w:ascii="黑体" w:hAnsi="黑体" w:eastAsia="黑体" w:cs="黑体"/>
          <w:b w:val="0"/>
          <w:bCs w:val="0"/>
          <w:color w:val="000000" w:themeColor="text1"/>
          <w:sz w:val="24"/>
          <w:szCs w:val="24"/>
          <w:highlight w:val="none"/>
          <w14:textFill>
            <w14:solidFill>
              <w14:schemeClr w14:val="tx1"/>
            </w14:solidFill>
          </w14:textFill>
        </w:rPr>
        <w:t>附件</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2</w:t>
      </w:r>
    </w:p>
    <w:p w14:paraId="388B2FA8">
      <w:pPr>
        <w:keepNext/>
        <w:keepLines/>
        <w:pageBreakBefore w:val="0"/>
        <w:widowControl w:val="0"/>
        <w:kinsoku/>
        <w:wordWrap/>
        <w:overflowPunct/>
        <w:topLinePunct w:val="0"/>
        <w:autoSpaceDE w:val="0"/>
        <w:autoSpaceDN/>
        <w:bidi w:val="0"/>
        <w:snapToGrid/>
        <w:spacing w:line="240" w:lineRule="auto"/>
        <w:ind w:left="0" w:leftChars="0" w:firstLine="2008" w:firstLineChars="500"/>
        <w:jc w:val="both"/>
        <w:textAlignment w:val="auto"/>
        <w:outlineLvl w:val="0"/>
        <w:rPr>
          <w:rFonts w:ascii="Times New Roman" w:hAnsi="Times New Roman" w:eastAsia="黑体"/>
          <w:b/>
          <w:bCs/>
          <w:color w:val="000000" w:themeColor="text1"/>
          <w:kern w:val="44"/>
          <w:sz w:val="40"/>
          <w:szCs w:val="40"/>
          <w:highlight w:val="none"/>
          <w14:textFill>
            <w14:solidFill>
              <w14:schemeClr w14:val="tx1"/>
            </w14:solidFill>
          </w14:textFill>
        </w:rPr>
      </w:pPr>
      <w:r>
        <w:rPr>
          <w:rFonts w:ascii="Times New Roman" w:hAnsi="Times New Roman" w:eastAsia="黑体"/>
          <w:b/>
          <w:bCs/>
          <w:color w:val="000000" w:themeColor="text1"/>
          <w:kern w:val="44"/>
          <w:sz w:val="40"/>
          <w:szCs w:val="40"/>
          <w:highlight w:val="none"/>
          <w14:textFill>
            <w14:solidFill>
              <w14:schemeClr w14:val="tx1"/>
            </w14:solidFill>
          </w14:textFill>
        </w:rPr>
        <w:t>探矿权出让结果公示</w:t>
      </w:r>
    </w:p>
    <w:p w14:paraId="576DC8CB">
      <w:pPr>
        <w:pageBreakBefore w:val="0"/>
        <w:widowControl w:val="0"/>
        <w:kinsoku/>
        <w:wordWrap/>
        <w:overflowPunct/>
        <w:topLinePunct w:val="0"/>
        <w:autoSpaceDN/>
        <w:bidi w:val="0"/>
        <w:spacing w:line="240" w:lineRule="auto"/>
        <w:ind w:firstLine="3200" w:firstLineChars="1000"/>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752236A7">
      <w:pPr>
        <w:pageBreakBefore w:val="0"/>
        <w:widowControl w:val="0"/>
        <w:kinsoku/>
        <w:wordWrap/>
        <w:overflowPunct/>
        <w:topLinePunct w:val="0"/>
        <w:autoSpaceDN/>
        <w:bidi w:val="0"/>
        <w:spacing w:line="240" w:lineRule="auto"/>
        <w:jc w:val="center"/>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赤自然资示字〔</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号</w:t>
      </w:r>
    </w:p>
    <w:p w14:paraId="6AF83F18">
      <w:pPr>
        <w:pageBreakBefore w:val="0"/>
        <w:widowControl w:val="0"/>
        <w:kinsoku/>
        <w:wordWrap/>
        <w:overflowPunct/>
        <w:topLinePunct w:val="0"/>
        <w:autoSpaceDN/>
        <w:bidi w:val="0"/>
        <w:spacing w:line="240" w:lineRule="auto"/>
        <w:jc w:val="center"/>
        <w:textAlignment w:val="auto"/>
        <w:rPr>
          <w:rFonts w:ascii="方正小标宋简体" w:hAnsi="宋体" w:eastAsia="方正小标宋简体" w:cs="宋体"/>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lang w:val="en-US" w:eastAsia="zh-CN"/>
          <w14:textFill>
            <w14:solidFill>
              <w14:schemeClr w14:val="tx1"/>
            </w14:solidFill>
          </w14:textFill>
        </w:rPr>
        <w:t xml:space="preserve"> </w:t>
      </w:r>
      <w:r>
        <w:rPr>
          <w:rFonts w:hint="eastAsia" w:ascii="方正小标宋简体" w:hAnsi="宋体" w:eastAsia="方正小标宋简体" w:cs="宋体"/>
          <w:bCs/>
          <w:color w:val="000000" w:themeColor="text1"/>
          <w:kern w:val="0"/>
          <w:sz w:val="36"/>
          <w:szCs w:val="36"/>
          <w:highlight w:val="none"/>
          <w:lang w:val="en-US" w:eastAsia="zh-CN"/>
          <w14:textFill>
            <w14:solidFill>
              <w14:schemeClr w14:val="tx1"/>
            </w14:solidFill>
          </w14:textFill>
        </w:rPr>
        <w:t>________________</w:t>
      </w:r>
      <w:r>
        <w:rPr>
          <w:rFonts w:hint="eastAsia" w:ascii="方正小标宋简体" w:hAnsi="宋体" w:eastAsia="方正小标宋简体" w:cs="宋体"/>
          <w:bCs/>
          <w:color w:val="000000" w:themeColor="text1"/>
          <w:kern w:val="0"/>
          <w:sz w:val="36"/>
          <w:szCs w:val="36"/>
          <w:highlight w:val="none"/>
          <w14:textFill>
            <w14:solidFill>
              <w14:schemeClr w14:val="tx1"/>
            </w14:solidFill>
          </w14:textFill>
        </w:rPr>
        <w:t>普查探矿权</w:t>
      </w:r>
      <w:r>
        <w:rPr>
          <w:rFonts w:hint="eastAsia" w:ascii="方正小标宋简体" w:hAnsi="宋体" w:eastAsia="方正小标宋简体" w:cs="宋体"/>
          <w:color w:val="000000" w:themeColor="text1"/>
          <w:kern w:val="0"/>
          <w:sz w:val="36"/>
          <w:szCs w:val="36"/>
          <w:highlight w:val="none"/>
          <w14:textFill>
            <w14:solidFill>
              <w14:schemeClr w14:val="tx1"/>
            </w14:solidFill>
          </w14:textFill>
        </w:rPr>
        <w:t>出让成交结果公示</w:t>
      </w:r>
    </w:p>
    <w:p w14:paraId="172150CE">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2479A6C6">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val="en-US" w:eastAsia="zh-CN"/>
          <w14:textFill>
            <w14:solidFill>
              <w14:schemeClr w14:val="tx1"/>
            </w14:solidFill>
          </w14:textFill>
        </w:rPr>
        <w:t>______</w:t>
      </w:r>
      <w:r>
        <w:rPr>
          <w:rFonts w:hint="eastAsia" w:ascii="仿宋_GB2312" w:eastAsia="仿宋_GB2312"/>
          <w:bCs/>
          <w:color w:val="000000" w:themeColor="text1"/>
          <w:sz w:val="32"/>
          <w:szCs w:val="32"/>
          <w:highlight w:val="none"/>
          <w14:textFill>
            <w14:solidFill>
              <w14:schemeClr w14:val="tx1"/>
            </w14:solidFill>
          </w14:textFill>
        </w:rPr>
        <w:t>普查</w:t>
      </w:r>
      <w:r>
        <w:rPr>
          <w:rFonts w:hint="eastAsia" w:ascii="仿宋_GB2312" w:eastAsia="仿宋_GB2312"/>
          <w:color w:val="000000" w:themeColor="text1"/>
          <w:sz w:val="32"/>
          <w:szCs w:val="32"/>
          <w:highlight w:val="none"/>
          <w14:textFill>
            <w14:solidFill>
              <w14:schemeClr w14:val="tx1"/>
            </w14:solidFill>
          </w14:textFill>
        </w:rPr>
        <w:t>探矿权以网上挂牌方式出让，根据《自然资源部关于印发矿业权出让交易规则的通知》（自然资规〔2023〕1号）等规定，现将成交结果公示如下。</w:t>
      </w:r>
    </w:p>
    <w:p w14:paraId="1A217D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一、竞得人名称及住所</w:t>
      </w:r>
    </w:p>
    <w:p w14:paraId="71B721D5">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竞得人：</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6AAE368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住所：</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069B97B">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统一社会信用代码：</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D4E4C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二、成交时间和地点</w:t>
      </w:r>
    </w:p>
    <w:p w14:paraId="63481B6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14F58D0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成交地点：内蒙古自治区自然资源网上交易系统。</w:t>
      </w:r>
    </w:p>
    <w:p w14:paraId="1BD91145">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三、竞得的探矿权简要情况</w:t>
      </w:r>
    </w:p>
    <w:p w14:paraId="3BE6B73A">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探矿权名称：</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789A771B">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勘查矿种：</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5EF38FE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面积：</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平方公里。</w:t>
      </w:r>
    </w:p>
    <w:p w14:paraId="472A40A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首次出让年限：</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p>
    <w:p w14:paraId="202FA5B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地理位置：内蒙古自治区赤峰市</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w:t>
      </w:r>
    </w:p>
    <w:p w14:paraId="5A3B3F6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四、成交价格及出让收益缴纳方式</w:t>
      </w:r>
    </w:p>
    <w:p w14:paraId="740CFE0D">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成交价格：人民币</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元（大写：</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万</w:t>
      </w:r>
      <w:r>
        <w:rPr>
          <w:rFonts w:hint="eastAsia" w:ascii="仿宋_GB2312" w:eastAsia="仿宋_GB2312"/>
          <w:color w:val="000000" w:themeColor="text1"/>
          <w:sz w:val="32"/>
          <w:szCs w:val="32"/>
          <w:highlight w:val="none"/>
          <w:lang w:val="en-US" w:eastAsia="zh-CN"/>
          <w14:textFill>
            <w14:solidFill>
              <w14:schemeClr w14:val="tx1"/>
            </w14:solidFill>
          </w14:textFill>
        </w:rPr>
        <w:t>元</w:t>
      </w:r>
      <w:r>
        <w:rPr>
          <w:rFonts w:hint="eastAsia" w:ascii="仿宋_GB2312" w:eastAsia="仿宋_GB2312"/>
          <w:color w:val="000000" w:themeColor="text1"/>
          <w:sz w:val="32"/>
          <w:szCs w:val="32"/>
          <w:highlight w:val="none"/>
          <w14:textFill>
            <w14:solidFill>
              <w14:schemeClr w14:val="tx1"/>
            </w14:solidFill>
          </w14:textFill>
        </w:rPr>
        <w:t>整）。</w:t>
      </w:r>
    </w:p>
    <w:p w14:paraId="4861E0A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出让收益缴纳方式：按照</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highlight w:val="none"/>
          <w14:textFill>
            <w14:solidFill>
              <w14:schemeClr w14:val="tx1"/>
            </w14:solidFill>
          </w14:textFill>
        </w:rPr>
        <w:t>等规定执行，竞争确定的成交价一次性</w:t>
      </w:r>
      <w:r>
        <w:rPr>
          <w:rFonts w:hint="eastAsia" w:ascii="仿宋_GB2312" w:eastAsia="仿宋_GB2312"/>
          <w:color w:val="auto"/>
          <w:sz w:val="32"/>
          <w:szCs w:val="32"/>
          <w:highlight w:val="none"/>
        </w:rPr>
        <w:t>征收；矿种</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的矿业权出让收益率为</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矿</w:t>
      </w:r>
      <w:r>
        <w:rPr>
          <w:rFonts w:hint="eastAsia" w:ascii="仿宋_GB2312" w:eastAsia="仿宋_GB2312"/>
          <w:color w:val="000000" w:themeColor="text1"/>
          <w:sz w:val="32"/>
          <w:szCs w:val="32"/>
          <w:highlight w:val="none"/>
          <w14:textFill>
            <w14:solidFill>
              <w14:schemeClr w14:val="tx1"/>
            </w14:solidFill>
          </w14:textFill>
        </w:rPr>
        <w:t>山在开采时，按出让合同约定的矿业权出让收益率逐年征收采矿权出让收益。</w:t>
      </w:r>
    </w:p>
    <w:p w14:paraId="325AECCB">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五、申请办理矿业权登记的时限</w:t>
      </w:r>
    </w:p>
    <w:p w14:paraId="1485F06F">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按相关规定办理。</w:t>
      </w:r>
    </w:p>
    <w:p w14:paraId="4C2EA5A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六、公示时间及提出异议的方式及途径</w:t>
      </w:r>
    </w:p>
    <w:p w14:paraId="382D9AE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公示时间：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3956E76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如对本公示内容存在异议，应在公示期内以书面形式提出。</w:t>
      </w:r>
    </w:p>
    <w:p w14:paraId="55AC7B4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出让人联系方式：0476-5891926。</w:t>
      </w:r>
    </w:p>
    <w:p w14:paraId="5400B66C">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交易平台联系方式：0476-8288823。</w:t>
      </w:r>
    </w:p>
    <w:p w14:paraId="6F770234">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七、其他内容</w:t>
      </w:r>
    </w:p>
    <w:p w14:paraId="6D56C7C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本公示在自然资源部网站、内蒙古自治区自然资源厅网站、赤峰市自然资源局网站、赤峰市公共资源交易中心网站及内蒙古自治区自然资源网上交易系统同时发布。</w:t>
      </w:r>
    </w:p>
    <w:p w14:paraId="35ECA5A4">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743F1FDE">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0E514A57">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29A144BB">
      <w:pPr>
        <w:pageBreakBefore w:val="0"/>
        <w:widowControl w:val="0"/>
        <w:kinsoku/>
        <w:wordWrap/>
        <w:overflowPunct/>
        <w:topLinePunct w:val="0"/>
        <w:autoSpaceDN/>
        <w:bidi w:val="0"/>
        <w:spacing w:line="240" w:lineRule="auto"/>
        <w:ind w:firstLine="4480" w:firstLineChars="14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赤峰市自然资源局</w:t>
      </w:r>
    </w:p>
    <w:p w14:paraId="5DA7EC18">
      <w:pPr>
        <w:pageBreakBefore w:val="0"/>
        <w:widowControl w:val="0"/>
        <w:kinsoku/>
        <w:wordWrap/>
        <w:overflowPunct/>
        <w:topLinePunct w:val="0"/>
        <w:autoSpaceDN/>
        <w:bidi w:val="0"/>
        <w:spacing w:line="240" w:lineRule="auto"/>
        <w:ind w:firstLine="4640" w:firstLineChars="145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027818E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53EC494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0BC8"/>
    <w:rsid w:val="06A05249"/>
    <w:rsid w:val="07270C3C"/>
    <w:rsid w:val="08421DCB"/>
    <w:rsid w:val="0FD3153D"/>
    <w:rsid w:val="11400EB0"/>
    <w:rsid w:val="16BB1DCE"/>
    <w:rsid w:val="18086FAE"/>
    <w:rsid w:val="1FF61B3B"/>
    <w:rsid w:val="20424A38"/>
    <w:rsid w:val="213A0071"/>
    <w:rsid w:val="21AB6C78"/>
    <w:rsid w:val="2EE10029"/>
    <w:rsid w:val="33250D5C"/>
    <w:rsid w:val="33811DDB"/>
    <w:rsid w:val="401F1909"/>
    <w:rsid w:val="402762FB"/>
    <w:rsid w:val="488B62F3"/>
    <w:rsid w:val="49640CB5"/>
    <w:rsid w:val="4A6E0EB3"/>
    <w:rsid w:val="4DA40D88"/>
    <w:rsid w:val="5BEF3FB2"/>
    <w:rsid w:val="67C951FA"/>
    <w:rsid w:val="67D439A4"/>
    <w:rsid w:val="6BCA2A8B"/>
    <w:rsid w:val="711D6E9D"/>
    <w:rsid w:val="76903FD5"/>
    <w:rsid w:val="7B5B568F"/>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Words>
  <Characters>108</Characters>
  <Lines>0</Lines>
  <Paragraphs>0</Paragraphs>
  <TotalTime>4</TotalTime>
  <ScaleCrop>false</ScaleCrop>
  <LinksUpToDate>false</LinksUpToDate>
  <CharactersWithSpaces>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2025-09-01T04:39:00Z</dcterms:created>
  <dc:creator>Administrator</dc:creator>
  <cp:lastModifiedBy>張蕊</cp:lastModifiedBy>
  <cp:lastPrinted>2025-10-13T03:01:00Z</cp:lastPrinted>
  <dcterms:modified xsi:type="dcterms:W3CDTF">2025-12-05T02:49:38Z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9CFE2A7D14504F4F8442415C0736C8F4_12</vt:lpwstr>
  </property>
</Properties>
</file>