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024AF">
      <w:pPr>
        <w:autoSpaceDE w:val="0"/>
        <w:autoSpaceDN w:val="0"/>
        <w:adjustRightInd w:val="0"/>
        <w:spacing w:line="480" w:lineRule="auto"/>
        <w:ind w:firstLine="0" w:firstLineChars="0"/>
        <w:jc w:val="center"/>
        <w:rPr>
          <w:rFonts w:hint="eastAsia" w:ascii="宋体" w:hAnsi="宋体" w:eastAsia="宋体" w:cs="宋体"/>
          <w:b/>
          <w:bCs/>
          <w:color w:val="auto"/>
          <w:sz w:val="48"/>
          <w:szCs w:val="48"/>
          <w:lang w:val="en-US" w:eastAsia="zh-CN"/>
        </w:rPr>
      </w:pPr>
      <w:bookmarkStart w:id="0" w:name="_Toc18093"/>
      <w:bookmarkStart w:id="1" w:name="_Toc28934"/>
      <w:bookmarkStart w:id="2" w:name="_Toc18797"/>
      <w:bookmarkStart w:id="3" w:name="_Toc27620"/>
      <w:bookmarkStart w:id="4" w:name="_Toc32204"/>
      <w:bookmarkStart w:id="66" w:name="_GoBack"/>
      <w:bookmarkEnd w:id="66"/>
    </w:p>
    <w:p w14:paraId="4640F252">
      <w:pPr>
        <w:autoSpaceDE w:val="0"/>
        <w:autoSpaceDN w:val="0"/>
        <w:adjustRightInd w:val="0"/>
        <w:spacing w:line="480" w:lineRule="auto"/>
        <w:ind w:firstLine="0" w:firstLineChars="0"/>
        <w:jc w:val="center"/>
        <w:rPr>
          <w:rFonts w:hint="eastAsia" w:ascii="宋体" w:hAnsi="宋体" w:eastAsia="宋体" w:cs="宋体"/>
          <w:b/>
          <w:bCs/>
          <w:color w:val="auto"/>
          <w:sz w:val="48"/>
          <w:szCs w:val="48"/>
          <w:lang w:val="en-US" w:eastAsia="zh-CN"/>
        </w:rPr>
      </w:pPr>
      <w:r>
        <w:rPr>
          <w:rFonts w:hint="eastAsia" w:ascii="宋体" w:hAnsi="宋体" w:eastAsia="宋体" w:cs="宋体"/>
          <w:b/>
          <w:bCs/>
          <w:color w:val="auto"/>
          <w:sz w:val="48"/>
          <w:szCs w:val="48"/>
          <w:lang w:val="en-US" w:eastAsia="zh-CN"/>
        </w:rPr>
        <w:t>赤峰矿业（集团）有限责任公司</w:t>
      </w:r>
    </w:p>
    <w:p w14:paraId="377EA21C">
      <w:pPr>
        <w:autoSpaceDE w:val="0"/>
        <w:autoSpaceDN w:val="0"/>
        <w:adjustRightInd w:val="0"/>
        <w:spacing w:line="480" w:lineRule="auto"/>
        <w:ind w:firstLine="0" w:firstLineChars="0"/>
        <w:jc w:val="center"/>
        <w:rPr>
          <w:rFonts w:hint="eastAsia" w:ascii="宋体" w:hAnsi="宋体" w:eastAsia="宋体" w:cs="宋体"/>
          <w:b/>
          <w:bCs/>
          <w:color w:val="auto"/>
          <w:sz w:val="48"/>
          <w:szCs w:val="48"/>
          <w:lang w:val="en-US" w:eastAsia="zh-CN"/>
        </w:rPr>
      </w:pPr>
      <w:r>
        <w:rPr>
          <w:rFonts w:hint="eastAsia" w:ascii="宋体" w:hAnsi="宋体" w:eastAsia="宋体" w:cs="宋体"/>
          <w:b/>
          <w:bCs/>
          <w:color w:val="auto"/>
          <w:w w:val="100"/>
          <w:sz w:val="48"/>
          <w:szCs w:val="48"/>
          <w:lang w:val="en-US" w:eastAsia="zh-CN"/>
        </w:rPr>
        <w:t>松山区白脸子山沸石矿</w:t>
      </w:r>
    </w:p>
    <w:p w14:paraId="168A5F10">
      <w:pPr>
        <w:autoSpaceDE w:val="0"/>
        <w:autoSpaceDN w:val="0"/>
        <w:adjustRightInd w:val="0"/>
        <w:spacing w:line="480" w:lineRule="auto"/>
        <w:ind w:firstLine="0" w:firstLineChars="0"/>
        <w:jc w:val="center"/>
        <w:rPr>
          <w:rFonts w:hint="eastAsia" w:ascii="宋体" w:hAnsi="宋体" w:eastAsia="宋体" w:cs="宋体"/>
          <w:b/>
          <w:bCs/>
          <w:color w:val="auto"/>
          <w:sz w:val="48"/>
          <w:szCs w:val="48"/>
          <w:lang w:val="zh-CN"/>
        </w:rPr>
      </w:pPr>
      <w:r>
        <w:rPr>
          <w:rFonts w:hint="eastAsia" w:ascii="宋体" w:hAnsi="宋体" w:eastAsia="宋体" w:cs="宋体"/>
          <w:b/>
          <w:bCs/>
          <w:color w:val="auto"/>
          <w:sz w:val="48"/>
          <w:szCs w:val="48"/>
          <w:lang w:val="zh-CN"/>
        </w:rPr>
        <w:t>202</w:t>
      </w:r>
      <w:r>
        <w:rPr>
          <w:rFonts w:hint="eastAsia" w:ascii="宋体" w:hAnsi="宋体" w:eastAsia="宋体" w:cs="宋体"/>
          <w:b/>
          <w:bCs/>
          <w:color w:val="auto"/>
          <w:sz w:val="48"/>
          <w:szCs w:val="48"/>
          <w:lang w:val="en-US" w:eastAsia="zh-CN"/>
        </w:rPr>
        <w:t>6</w:t>
      </w:r>
      <w:r>
        <w:rPr>
          <w:rFonts w:hint="eastAsia" w:ascii="宋体" w:hAnsi="宋体" w:eastAsia="宋体" w:cs="宋体"/>
          <w:b/>
          <w:bCs/>
          <w:color w:val="auto"/>
          <w:sz w:val="48"/>
          <w:szCs w:val="48"/>
          <w:lang w:val="zh-CN"/>
        </w:rPr>
        <w:t>年度矿山地质环境治理计划书</w:t>
      </w:r>
    </w:p>
    <w:p w14:paraId="6B154E1B">
      <w:pPr>
        <w:autoSpaceDE w:val="0"/>
        <w:autoSpaceDN w:val="0"/>
        <w:adjustRightInd w:val="0"/>
        <w:spacing w:line="480" w:lineRule="auto"/>
        <w:rPr>
          <w:rFonts w:hint="eastAsia" w:ascii="宋体" w:hAnsi="宋体" w:eastAsia="宋体" w:cs="宋体"/>
          <w:b/>
          <w:bCs/>
          <w:color w:val="auto"/>
          <w:sz w:val="44"/>
          <w:szCs w:val="44"/>
          <w:highlight w:val="yellow"/>
          <w:lang w:val="zh-CN"/>
        </w:rPr>
      </w:pPr>
    </w:p>
    <w:p w14:paraId="2D752E29">
      <w:pPr>
        <w:autoSpaceDE w:val="0"/>
        <w:autoSpaceDN w:val="0"/>
        <w:adjustRightInd w:val="0"/>
        <w:spacing w:line="480" w:lineRule="auto"/>
        <w:rPr>
          <w:rFonts w:hint="eastAsia" w:ascii="宋体" w:hAnsi="宋体" w:eastAsia="宋体" w:cs="宋体"/>
          <w:b/>
          <w:bCs/>
          <w:color w:val="auto"/>
          <w:sz w:val="44"/>
          <w:szCs w:val="44"/>
          <w:highlight w:val="yellow"/>
          <w:lang w:val="zh-CN"/>
        </w:rPr>
      </w:pPr>
    </w:p>
    <w:p w14:paraId="15A0CDC3">
      <w:pPr>
        <w:pStyle w:val="9"/>
        <w:ind w:firstLine="480"/>
        <w:rPr>
          <w:rFonts w:hint="eastAsia" w:ascii="宋体" w:hAnsi="宋体" w:eastAsia="宋体" w:cs="宋体"/>
          <w:color w:val="auto"/>
          <w:lang w:val="zh-CN"/>
        </w:rPr>
      </w:pPr>
    </w:p>
    <w:p w14:paraId="0D4B6B12">
      <w:pPr>
        <w:autoSpaceDE w:val="0"/>
        <w:autoSpaceDN w:val="0"/>
        <w:adjustRightInd w:val="0"/>
        <w:spacing w:line="480" w:lineRule="auto"/>
        <w:ind w:firstLine="723"/>
        <w:jc w:val="both"/>
        <w:rPr>
          <w:rFonts w:hint="eastAsia" w:ascii="宋体" w:hAnsi="宋体" w:eastAsia="宋体" w:cs="宋体"/>
          <w:b/>
          <w:bCs/>
          <w:color w:val="auto"/>
          <w:sz w:val="36"/>
          <w:szCs w:val="36"/>
          <w:lang w:val="zh-CN"/>
        </w:rPr>
      </w:pPr>
    </w:p>
    <w:p w14:paraId="68D5B00B">
      <w:pPr>
        <w:autoSpaceDE w:val="0"/>
        <w:autoSpaceDN w:val="0"/>
        <w:adjustRightInd w:val="0"/>
        <w:spacing w:line="480" w:lineRule="auto"/>
        <w:ind w:firstLine="723"/>
        <w:jc w:val="both"/>
        <w:rPr>
          <w:rFonts w:hint="eastAsia" w:ascii="宋体" w:hAnsi="宋体" w:eastAsia="宋体" w:cs="宋体"/>
          <w:b/>
          <w:bCs/>
          <w:color w:val="auto"/>
          <w:sz w:val="36"/>
          <w:szCs w:val="36"/>
          <w:lang w:val="zh-CN"/>
        </w:rPr>
      </w:pPr>
    </w:p>
    <w:p w14:paraId="18D31095">
      <w:pPr>
        <w:pStyle w:val="23"/>
        <w:rPr>
          <w:rFonts w:hint="eastAsia" w:ascii="宋体" w:hAnsi="宋体" w:eastAsia="宋体" w:cs="宋体"/>
          <w:b/>
          <w:bCs/>
          <w:color w:val="auto"/>
          <w:sz w:val="36"/>
          <w:szCs w:val="36"/>
          <w:lang w:val="zh-CN"/>
        </w:rPr>
      </w:pPr>
    </w:p>
    <w:p w14:paraId="4A4A89E1">
      <w:pPr>
        <w:pStyle w:val="23"/>
        <w:rPr>
          <w:rFonts w:hint="eastAsia" w:ascii="宋体" w:hAnsi="宋体" w:eastAsia="宋体" w:cs="宋体"/>
          <w:b/>
          <w:bCs/>
          <w:color w:val="auto"/>
          <w:sz w:val="36"/>
          <w:szCs w:val="36"/>
          <w:lang w:val="zh-CN"/>
        </w:rPr>
      </w:pPr>
    </w:p>
    <w:p w14:paraId="01D52464">
      <w:pPr>
        <w:pStyle w:val="23"/>
        <w:rPr>
          <w:rFonts w:hint="eastAsia" w:ascii="宋体" w:hAnsi="宋体" w:eastAsia="宋体" w:cs="宋体"/>
          <w:b/>
          <w:bCs/>
          <w:color w:val="auto"/>
          <w:sz w:val="36"/>
          <w:szCs w:val="36"/>
          <w:lang w:val="zh-CN"/>
        </w:rPr>
      </w:pPr>
    </w:p>
    <w:p w14:paraId="4BA8AF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eastAsia="zh-CN"/>
        </w:rPr>
        <w:t>赤峰矿业（集团）有限责任公司</w:t>
      </w:r>
    </w:p>
    <w:p w14:paraId="50B29597">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both"/>
        <w:textAlignment w:val="auto"/>
        <w:rPr>
          <w:rFonts w:hint="default" w:ascii="Times New Roman" w:hAnsi="Times New Roman" w:eastAsia="宋体" w:cs="Times New Roman"/>
          <w:color w:val="auto"/>
          <w:sz w:val="32"/>
          <w:szCs w:val="32"/>
        </w:rPr>
      </w:pPr>
    </w:p>
    <w:p w14:paraId="6451B56A">
      <w:pPr>
        <w:autoSpaceDE w:val="0"/>
        <w:autoSpaceDN w:val="0"/>
        <w:adjustRightInd w:val="0"/>
        <w:spacing w:line="480" w:lineRule="auto"/>
        <w:ind w:left="0" w:leftChars="0" w:firstLine="0" w:firstLineChars="0"/>
        <w:jc w:val="center"/>
        <w:rPr>
          <w:rFonts w:hint="eastAsia" w:ascii="宋体" w:hAnsi="宋体" w:eastAsia="宋体" w:cs="宋体"/>
          <w:color w:val="auto"/>
          <w:sz w:val="32"/>
          <w:szCs w:val="32"/>
        </w:rPr>
      </w:pPr>
      <w:r>
        <w:rPr>
          <w:rFonts w:hint="eastAsia" w:ascii="宋体" w:hAnsi="宋体" w:eastAsia="宋体" w:cs="宋体"/>
          <w:color w:val="auto"/>
          <w:sz w:val="32"/>
          <w:szCs w:val="32"/>
        </w:rPr>
        <w:t>二〇</w:t>
      </w:r>
      <w:r>
        <w:rPr>
          <w:rFonts w:hint="eastAsia" w:ascii="宋体" w:hAnsi="宋体" w:eastAsia="宋体" w:cs="宋体"/>
          <w:color w:val="auto"/>
          <w:sz w:val="32"/>
          <w:szCs w:val="32"/>
          <w:lang w:eastAsia="zh-CN"/>
        </w:rPr>
        <w:t>二</w:t>
      </w:r>
      <w:r>
        <w:rPr>
          <w:rFonts w:hint="eastAsia" w:ascii="宋体" w:hAnsi="宋体" w:eastAsia="宋体" w:cs="宋体"/>
          <w:color w:val="auto"/>
          <w:sz w:val="32"/>
          <w:szCs w:val="32"/>
          <w:lang w:val="en-US" w:eastAsia="zh-CN"/>
        </w:rPr>
        <w:t>六</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二</w:t>
      </w:r>
      <w:r>
        <w:rPr>
          <w:rFonts w:hint="eastAsia" w:ascii="宋体" w:hAnsi="宋体" w:eastAsia="宋体" w:cs="宋体"/>
          <w:color w:val="auto"/>
          <w:sz w:val="32"/>
          <w:szCs w:val="32"/>
        </w:rPr>
        <w:t>月</w:t>
      </w:r>
    </w:p>
    <w:p w14:paraId="2B4182E8">
      <w:pPr>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br w:type="page"/>
      </w:r>
    </w:p>
    <w:p w14:paraId="45B15953">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宋体" w:hAnsi="宋体" w:eastAsia="宋体" w:cs="宋体"/>
          <w:b/>
          <w:bCs/>
          <w:color w:val="auto"/>
          <w:sz w:val="44"/>
          <w:szCs w:val="44"/>
          <w:lang w:val="zh-CN"/>
        </w:rPr>
      </w:pPr>
    </w:p>
    <w:p w14:paraId="0DCCE75B">
      <w:pPr>
        <w:keepNext w:val="0"/>
        <w:keepLines w:val="0"/>
        <w:pageBreakBefore w:val="0"/>
        <w:kinsoku/>
        <w:overflowPunct/>
        <w:topLinePunct w:val="0"/>
        <w:autoSpaceDE w:val="0"/>
        <w:autoSpaceDN w:val="0"/>
        <w:bidi w:val="0"/>
        <w:adjustRightInd w:val="0"/>
        <w:spacing w:line="360" w:lineRule="auto"/>
        <w:ind w:firstLine="0" w:firstLineChars="0"/>
        <w:jc w:val="center"/>
        <w:textAlignment w:val="auto"/>
        <w:rPr>
          <w:rFonts w:hint="default" w:ascii="Times New Roman" w:hAnsi="Times New Roman" w:eastAsia="宋体" w:cs="Times New Roman"/>
          <w:b/>
          <w:bCs/>
          <w:color w:val="auto"/>
          <w:sz w:val="44"/>
          <w:szCs w:val="44"/>
          <w:lang w:val="en-US" w:eastAsia="zh-CN"/>
        </w:rPr>
      </w:pPr>
      <w:r>
        <w:rPr>
          <w:rFonts w:hint="default" w:ascii="Times New Roman" w:hAnsi="Times New Roman" w:eastAsia="宋体" w:cs="Times New Roman"/>
          <w:b/>
          <w:bCs/>
          <w:color w:val="auto"/>
          <w:sz w:val="44"/>
          <w:szCs w:val="44"/>
          <w:lang w:val="en-US" w:eastAsia="zh-CN"/>
        </w:rPr>
        <w:t>赤峰矿业（集团）有限责任公司</w:t>
      </w:r>
    </w:p>
    <w:p w14:paraId="3CE2AD77">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bCs/>
          <w:color w:val="auto"/>
          <w:w w:val="100"/>
          <w:sz w:val="44"/>
          <w:szCs w:val="44"/>
          <w:lang w:val="en-US" w:eastAsia="zh-CN"/>
        </w:rPr>
      </w:pPr>
      <w:r>
        <w:rPr>
          <w:rFonts w:hint="default" w:ascii="Times New Roman" w:hAnsi="Times New Roman" w:eastAsia="宋体" w:cs="Times New Roman"/>
          <w:b/>
          <w:bCs/>
          <w:color w:val="auto"/>
          <w:w w:val="100"/>
          <w:sz w:val="44"/>
          <w:szCs w:val="44"/>
          <w:lang w:val="en-US" w:eastAsia="zh-CN"/>
        </w:rPr>
        <w:t>松山区白脸子山沸石矿</w:t>
      </w:r>
    </w:p>
    <w:p w14:paraId="49893796">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bCs/>
          <w:color w:val="auto"/>
          <w:sz w:val="36"/>
          <w:szCs w:val="36"/>
          <w:lang w:eastAsia="zh-CN"/>
        </w:rPr>
      </w:pPr>
      <w:r>
        <w:rPr>
          <w:rFonts w:hint="default" w:ascii="Times New Roman" w:hAnsi="Times New Roman" w:eastAsia="宋体" w:cs="Times New Roman"/>
          <w:b/>
          <w:bCs/>
          <w:color w:val="auto"/>
          <w:sz w:val="44"/>
          <w:szCs w:val="44"/>
          <w:lang w:val="zh-CN"/>
        </w:rPr>
        <w:t>202</w:t>
      </w:r>
      <w:r>
        <w:rPr>
          <w:rFonts w:hint="eastAsia" w:ascii="Times New Roman" w:hAnsi="Times New Roman" w:eastAsia="宋体" w:cs="Times New Roman"/>
          <w:b/>
          <w:bCs/>
          <w:color w:val="auto"/>
          <w:sz w:val="44"/>
          <w:szCs w:val="44"/>
          <w:lang w:val="en-US" w:eastAsia="zh-CN"/>
        </w:rPr>
        <w:t>6</w:t>
      </w:r>
      <w:r>
        <w:rPr>
          <w:rFonts w:hint="default" w:ascii="Times New Roman" w:hAnsi="Times New Roman" w:eastAsia="宋体" w:cs="Times New Roman"/>
          <w:b/>
          <w:bCs/>
          <w:color w:val="auto"/>
          <w:sz w:val="44"/>
          <w:szCs w:val="44"/>
          <w:lang w:val="zh-CN"/>
        </w:rPr>
        <w:t>年度矿山地质环境治理计划书</w:t>
      </w:r>
    </w:p>
    <w:p w14:paraId="60D2BD6B">
      <w:pPr>
        <w:keepNext w:val="0"/>
        <w:keepLines w:val="0"/>
        <w:pageBreakBefore w:val="0"/>
        <w:widowControl w:val="0"/>
        <w:kinsoku/>
        <w:wordWrap/>
        <w:overflowPunct/>
        <w:topLinePunct w:val="0"/>
        <w:autoSpaceDE/>
        <w:autoSpaceDN/>
        <w:bidi w:val="0"/>
        <w:adjustRightInd/>
        <w:snapToGrid w:val="0"/>
        <w:spacing w:line="240" w:lineRule="auto"/>
        <w:ind w:left="3125" w:leftChars="779" w:hanging="944" w:hangingChars="294"/>
        <w:textAlignment w:val="auto"/>
        <w:rPr>
          <w:rFonts w:hint="default" w:ascii="Times New Roman" w:hAnsi="Times New Roman" w:eastAsia="宋体" w:cs="Times New Roman"/>
          <w:b/>
          <w:bCs/>
          <w:snapToGrid w:val="0"/>
          <w:color w:val="auto"/>
          <w:sz w:val="32"/>
          <w:szCs w:val="32"/>
        </w:rPr>
      </w:pPr>
    </w:p>
    <w:p w14:paraId="25795288">
      <w:pPr>
        <w:pStyle w:val="23"/>
        <w:jc w:val="both"/>
        <w:rPr>
          <w:rFonts w:hint="default" w:ascii="Times New Roman" w:hAnsi="Times New Roman" w:eastAsia="宋体" w:cs="Times New Roman"/>
          <w:b/>
          <w:bCs/>
          <w:snapToGrid w:val="0"/>
          <w:color w:val="auto"/>
          <w:sz w:val="32"/>
          <w:szCs w:val="32"/>
        </w:rPr>
      </w:pPr>
    </w:p>
    <w:p w14:paraId="695AD0C6">
      <w:pPr>
        <w:pStyle w:val="23"/>
        <w:rPr>
          <w:rFonts w:hint="default" w:ascii="Times New Roman" w:hAnsi="Times New Roman" w:eastAsia="宋体" w:cs="Times New Roman"/>
          <w:b/>
          <w:bCs/>
          <w:snapToGrid w:val="0"/>
          <w:color w:val="auto"/>
          <w:sz w:val="32"/>
          <w:szCs w:val="32"/>
        </w:rPr>
      </w:pPr>
    </w:p>
    <w:p w14:paraId="6DB7D285">
      <w:pPr>
        <w:pStyle w:val="23"/>
        <w:rPr>
          <w:rFonts w:hint="default" w:ascii="Times New Roman" w:hAnsi="Times New Roman" w:eastAsia="宋体" w:cs="Times New Roman"/>
          <w:b/>
          <w:bCs/>
          <w:snapToGrid w:val="0"/>
          <w:color w:val="auto"/>
          <w:sz w:val="32"/>
          <w:szCs w:val="32"/>
        </w:rPr>
      </w:pPr>
    </w:p>
    <w:p w14:paraId="1FDDBB24">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rPr>
      </w:pPr>
    </w:p>
    <w:p w14:paraId="1CD61DC6">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rPr>
      </w:pPr>
    </w:p>
    <w:p w14:paraId="1F946336">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编</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制</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单</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位：</w:t>
      </w:r>
      <w:r>
        <w:rPr>
          <w:rFonts w:hint="default" w:ascii="Times New Roman" w:hAnsi="Times New Roman" w:eastAsia="宋体" w:cs="Times New Roman"/>
          <w:b/>
          <w:color w:val="auto"/>
          <w:spacing w:val="0"/>
          <w:sz w:val="30"/>
          <w:szCs w:val="30"/>
          <w:lang w:val="en-US" w:eastAsia="zh-CN"/>
        </w:rPr>
        <w:t>赤峰矿业（集团）有限责任公司</w:t>
      </w:r>
    </w:p>
    <w:p w14:paraId="399B08D1">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法定代表人：</w:t>
      </w:r>
      <w:r>
        <w:rPr>
          <w:rFonts w:hint="eastAsia" w:ascii="Times New Roman" w:hAnsi="Times New Roman" w:eastAsia="宋体" w:cs="Times New Roman"/>
          <w:b/>
          <w:color w:val="auto"/>
          <w:spacing w:val="0"/>
          <w:sz w:val="30"/>
          <w:szCs w:val="30"/>
          <w:lang w:val="en-US" w:eastAsia="zh-CN"/>
        </w:rPr>
        <w:t>夏景图</w:t>
      </w:r>
    </w:p>
    <w:p w14:paraId="082BA46C">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项目负责人：</w:t>
      </w:r>
      <w:r>
        <w:rPr>
          <w:rFonts w:hint="eastAsia" w:ascii="Times New Roman" w:hAnsi="Times New Roman" w:eastAsia="宋体" w:cs="Times New Roman"/>
          <w:b/>
          <w:color w:val="auto"/>
          <w:spacing w:val="0"/>
          <w:sz w:val="30"/>
          <w:szCs w:val="30"/>
          <w:lang w:val="en-US" w:eastAsia="zh-CN"/>
        </w:rPr>
        <w:t>李文阔</w:t>
      </w:r>
    </w:p>
    <w:p w14:paraId="663DE74A">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rPr>
      </w:pPr>
      <w:r>
        <w:rPr>
          <w:rFonts w:hint="default" w:ascii="Times New Roman" w:hAnsi="Times New Roman" w:eastAsia="宋体" w:cs="Times New Roman"/>
          <w:b/>
          <w:color w:val="auto"/>
          <w:spacing w:val="0"/>
          <w:sz w:val="30"/>
          <w:szCs w:val="30"/>
        </w:rPr>
        <w:t>编  写  人：</w:t>
      </w:r>
      <w:r>
        <w:rPr>
          <w:rFonts w:hint="eastAsia" w:ascii="Times New Roman" w:hAnsi="Times New Roman" w:eastAsia="宋体" w:cs="Times New Roman"/>
          <w:b/>
          <w:color w:val="auto"/>
          <w:spacing w:val="0"/>
          <w:sz w:val="30"/>
          <w:szCs w:val="30"/>
          <w:lang w:val="en-US" w:eastAsia="zh-CN"/>
        </w:rPr>
        <w:t>齐丽君  韩特</w:t>
      </w:r>
      <w:r>
        <w:rPr>
          <w:rFonts w:hint="default" w:ascii="Times New Roman" w:hAnsi="Times New Roman" w:eastAsia="宋体" w:cs="Times New Roman"/>
          <w:b/>
          <w:color w:val="auto"/>
          <w:spacing w:val="0"/>
          <w:sz w:val="30"/>
          <w:szCs w:val="30"/>
          <w:lang w:val="en-US" w:eastAsia="zh-CN"/>
        </w:rPr>
        <w:t xml:space="preserve"> </w:t>
      </w:r>
    </w:p>
    <w:p w14:paraId="2725280E">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eastAsia"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审      核：</w:t>
      </w:r>
      <w:r>
        <w:rPr>
          <w:rFonts w:hint="eastAsia" w:ascii="Times New Roman" w:hAnsi="Times New Roman" w:eastAsia="宋体" w:cs="Times New Roman"/>
          <w:b/>
          <w:color w:val="auto"/>
          <w:spacing w:val="0"/>
          <w:sz w:val="30"/>
          <w:szCs w:val="30"/>
          <w:lang w:eastAsia="zh-CN"/>
        </w:rPr>
        <w:t>车璐飞</w:t>
      </w:r>
    </w:p>
    <w:p w14:paraId="1BCA8287">
      <w:pPr>
        <w:ind w:left="0" w:leftChars="0" w:firstLine="602" w:firstLineChars="200"/>
        <w:rPr>
          <w:rFonts w:hint="default" w:eastAsia="宋体" w:cs="宋体" w:asciiTheme="majorAscii" w:hAnsiTheme="majorAscii"/>
          <w:color w:val="auto"/>
          <w:highlight w:val="yellow"/>
          <w:lang w:val="zh-CN"/>
        </w:rPr>
        <w:sectPr>
          <w:headerReference r:id="rId5" w:type="default"/>
          <w:footerReference r:id="rId6" w:type="default"/>
          <w:pgSz w:w="11910" w:h="16840"/>
          <w:pgMar w:top="1701" w:right="1701" w:bottom="1701" w:left="1701" w:header="851" w:footer="992" w:gutter="0"/>
          <w:pgNumType w:fmt="decimal" w:start="1"/>
          <w:cols w:space="720" w:num="1"/>
        </w:sectPr>
      </w:pPr>
      <w:r>
        <w:rPr>
          <w:rFonts w:hint="default" w:ascii="Times New Roman" w:hAnsi="Times New Roman" w:eastAsia="宋体" w:cs="Times New Roman"/>
          <w:b/>
          <w:color w:val="auto"/>
          <w:spacing w:val="0"/>
          <w:sz w:val="30"/>
          <w:szCs w:val="30"/>
        </w:rPr>
        <w:t>编</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制</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时</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间：</w:t>
      </w:r>
      <w:r>
        <w:rPr>
          <w:rFonts w:hint="default" w:ascii="Times New Roman" w:hAnsi="Times New Roman" w:eastAsia="宋体" w:cs="Times New Roman"/>
          <w:b/>
          <w:color w:val="auto"/>
          <w:spacing w:val="0"/>
          <w:sz w:val="30"/>
          <w:szCs w:val="30"/>
          <w:lang w:eastAsia="zh-CN"/>
        </w:rPr>
        <w:t>202</w:t>
      </w:r>
      <w:r>
        <w:rPr>
          <w:rFonts w:hint="eastAsia" w:ascii="Times New Roman" w:hAnsi="Times New Roman" w:eastAsia="宋体" w:cs="Times New Roman"/>
          <w:b/>
          <w:color w:val="auto"/>
          <w:spacing w:val="0"/>
          <w:sz w:val="30"/>
          <w:szCs w:val="30"/>
          <w:lang w:val="en-US" w:eastAsia="zh-CN"/>
        </w:rPr>
        <w:t>6</w:t>
      </w:r>
      <w:r>
        <w:rPr>
          <w:rFonts w:hint="default" w:ascii="Times New Roman" w:hAnsi="Times New Roman" w:eastAsia="宋体" w:cs="Times New Roman"/>
          <w:b/>
          <w:color w:val="auto"/>
          <w:spacing w:val="0"/>
          <w:sz w:val="30"/>
          <w:szCs w:val="30"/>
        </w:rPr>
        <w:t>年</w:t>
      </w:r>
      <w:r>
        <w:rPr>
          <w:rFonts w:hint="eastAsia" w:ascii="Times New Roman" w:hAnsi="Times New Roman" w:eastAsia="宋体" w:cs="Times New Roman"/>
          <w:b/>
          <w:color w:val="auto"/>
          <w:spacing w:val="0"/>
          <w:sz w:val="30"/>
          <w:szCs w:val="30"/>
          <w:lang w:val="en-US" w:eastAsia="zh-CN"/>
        </w:rPr>
        <w:t>2</w:t>
      </w:r>
      <w:r>
        <w:rPr>
          <w:rFonts w:hint="default" w:ascii="Times New Roman" w:hAnsi="Times New Roman" w:eastAsia="宋体" w:cs="Times New Roman"/>
          <w:b/>
          <w:color w:val="auto"/>
          <w:spacing w:val="0"/>
          <w:sz w:val="30"/>
          <w:szCs w:val="30"/>
        </w:rPr>
        <w:t>月</w:t>
      </w:r>
    </w:p>
    <w:p w14:paraId="465EA533">
      <w:pPr>
        <w:pStyle w:val="2"/>
        <w:rPr>
          <w:rFonts w:hint="default" w:eastAsia="宋体" w:cs="宋体" w:asciiTheme="majorAscii" w:hAnsiTheme="majorAscii"/>
          <w:color w:val="auto"/>
          <w:lang w:val="zh-CN"/>
        </w:rPr>
      </w:pPr>
      <w:bookmarkStart w:id="5" w:name="_Toc9171"/>
      <w:r>
        <w:rPr>
          <w:rFonts w:hint="default" w:eastAsia="宋体" w:cs="宋体" w:asciiTheme="majorAscii" w:hAnsiTheme="majorAscii"/>
          <w:color w:val="auto"/>
          <w:lang w:val="zh-CN"/>
        </w:rPr>
        <w:t>一、矿山基本情况</w:t>
      </w:r>
      <w:bookmarkEnd w:id="0"/>
      <w:bookmarkEnd w:id="1"/>
      <w:bookmarkEnd w:id="2"/>
      <w:bookmarkEnd w:id="3"/>
      <w:bookmarkEnd w:id="4"/>
      <w:bookmarkEnd w:id="5"/>
      <w:bookmarkStart w:id="6" w:name="_Toc32476"/>
    </w:p>
    <w:bookmarkEnd w:id="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3387"/>
        <w:gridCol w:w="1307"/>
        <w:gridCol w:w="2661"/>
      </w:tblGrid>
      <w:tr w14:paraId="6B7D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000" w:type="pct"/>
            <w:gridSpan w:val="4"/>
            <w:noWrap/>
            <w:vAlign w:val="center"/>
          </w:tcPr>
          <w:p w14:paraId="0106588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矿山企业基本信息</w:t>
            </w:r>
          </w:p>
        </w:tc>
      </w:tr>
      <w:tr w14:paraId="6D37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85" w:type="pct"/>
            <w:noWrap/>
            <w:vAlign w:val="center"/>
          </w:tcPr>
          <w:p w14:paraId="1B3DDFAA">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矿山名称</w:t>
            </w:r>
          </w:p>
        </w:tc>
        <w:tc>
          <w:tcPr>
            <w:tcW w:w="4215" w:type="pct"/>
            <w:gridSpan w:val="3"/>
            <w:noWrap/>
            <w:vAlign w:val="center"/>
          </w:tcPr>
          <w:p w14:paraId="3064AA88">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内蒙古自治区赤峰市松山区白脸子山沸石矿</w:t>
            </w:r>
          </w:p>
        </w:tc>
      </w:tr>
      <w:tr w14:paraId="0267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85" w:type="pct"/>
            <w:noWrap/>
            <w:vAlign w:val="center"/>
          </w:tcPr>
          <w:p w14:paraId="4D5874CB">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采矿权人</w:t>
            </w:r>
          </w:p>
        </w:tc>
        <w:tc>
          <w:tcPr>
            <w:tcW w:w="1941" w:type="pct"/>
            <w:noWrap/>
            <w:vAlign w:val="center"/>
          </w:tcPr>
          <w:p w14:paraId="3C432C35">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eastAsia="zh-CN"/>
              </w:rPr>
              <w:t>赤峰矿业（集团）有限责任公司</w:t>
            </w:r>
          </w:p>
        </w:tc>
        <w:tc>
          <w:tcPr>
            <w:tcW w:w="749" w:type="pct"/>
            <w:noWrap/>
            <w:vAlign w:val="center"/>
          </w:tcPr>
          <w:p w14:paraId="27A460B9">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法人代表</w:t>
            </w:r>
          </w:p>
        </w:tc>
        <w:tc>
          <w:tcPr>
            <w:tcW w:w="1525" w:type="pct"/>
            <w:noWrap/>
            <w:vAlign w:val="center"/>
          </w:tcPr>
          <w:p w14:paraId="3E2507C5">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夏景图</w:t>
            </w:r>
          </w:p>
        </w:tc>
      </w:tr>
      <w:tr w14:paraId="5D86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5" w:type="pct"/>
            <w:noWrap/>
            <w:vAlign w:val="center"/>
          </w:tcPr>
          <w:p w14:paraId="7742CEAC">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采矿许可证号</w:t>
            </w:r>
          </w:p>
        </w:tc>
        <w:tc>
          <w:tcPr>
            <w:tcW w:w="1941" w:type="pct"/>
            <w:noWrap/>
            <w:vAlign w:val="center"/>
          </w:tcPr>
          <w:p w14:paraId="15E5A614">
            <w:pPr>
              <w:pStyle w:val="2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C1504002015067130138764</w:t>
            </w:r>
          </w:p>
        </w:tc>
        <w:tc>
          <w:tcPr>
            <w:tcW w:w="749" w:type="pct"/>
            <w:noWrap/>
            <w:vAlign w:val="center"/>
          </w:tcPr>
          <w:p w14:paraId="32149554">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发证机关</w:t>
            </w:r>
          </w:p>
        </w:tc>
        <w:tc>
          <w:tcPr>
            <w:tcW w:w="2661" w:type="dxa"/>
            <w:noWrap/>
            <w:vAlign w:val="center"/>
          </w:tcPr>
          <w:p w14:paraId="7130AD78">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赤峰市自然资源局</w:t>
            </w:r>
          </w:p>
        </w:tc>
      </w:tr>
      <w:tr w14:paraId="0A55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5" w:type="pct"/>
            <w:noWrap/>
            <w:vAlign w:val="center"/>
          </w:tcPr>
          <w:p w14:paraId="2D23B9E4">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有效期限</w:t>
            </w:r>
          </w:p>
        </w:tc>
        <w:tc>
          <w:tcPr>
            <w:tcW w:w="1941" w:type="pct"/>
            <w:noWrap/>
            <w:vAlign w:val="center"/>
          </w:tcPr>
          <w:p w14:paraId="7FBC80D6">
            <w:pPr>
              <w:pStyle w:val="26"/>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2025.12.29-2030.12.29</w:t>
            </w:r>
          </w:p>
        </w:tc>
        <w:tc>
          <w:tcPr>
            <w:tcW w:w="749" w:type="pct"/>
            <w:noWrap/>
            <w:vAlign w:val="center"/>
          </w:tcPr>
          <w:p w14:paraId="0A06A1A5">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发证日期</w:t>
            </w:r>
          </w:p>
        </w:tc>
        <w:tc>
          <w:tcPr>
            <w:tcW w:w="2661" w:type="dxa"/>
            <w:noWrap/>
            <w:vAlign w:val="center"/>
          </w:tcPr>
          <w:p w14:paraId="0CEE5704">
            <w:pPr>
              <w:pStyle w:val="26"/>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eastAsia="zh-CN"/>
              </w:rPr>
              <w:t>2024.8.29</w:t>
            </w:r>
          </w:p>
        </w:tc>
      </w:tr>
      <w:tr w14:paraId="3D55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pct"/>
            <w:noWrap/>
            <w:vAlign w:val="center"/>
          </w:tcPr>
          <w:p w14:paraId="18FCD82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矿区地址</w:t>
            </w:r>
          </w:p>
        </w:tc>
        <w:tc>
          <w:tcPr>
            <w:tcW w:w="4215" w:type="pct"/>
            <w:gridSpan w:val="3"/>
            <w:noWrap/>
            <w:vAlign w:val="center"/>
          </w:tcPr>
          <w:p w14:paraId="6B9A286E">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赤峰市松山区当铺地满族乡</w:t>
            </w:r>
          </w:p>
        </w:tc>
      </w:tr>
      <w:tr w14:paraId="57E7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5" w:type="pct"/>
            <w:noWrap/>
            <w:vAlign w:val="center"/>
          </w:tcPr>
          <w:p w14:paraId="7A7AE5E4">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经纬度坐标</w:t>
            </w:r>
          </w:p>
        </w:tc>
        <w:tc>
          <w:tcPr>
            <w:tcW w:w="4215" w:type="pct"/>
            <w:gridSpan w:val="3"/>
            <w:noWrap/>
            <w:vAlign w:val="center"/>
          </w:tcPr>
          <w:p w14:paraId="3B2A648D">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东经：118°46′41″—118°47′29″；北纬：42°23′40″— 42°24′53″</w:t>
            </w:r>
          </w:p>
        </w:tc>
      </w:tr>
      <w:tr w14:paraId="243D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5" w:type="pct"/>
            <w:noWrap/>
            <w:vAlign w:val="center"/>
          </w:tcPr>
          <w:p w14:paraId="58D769D2">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经济类型</w:t>
            </w:r>
          </w:p>
        </w:tc>
        <w:tc>
          <w:tcPr>
            <w:tcW w:w="1941" w:type="pct"/>
            <w:noWrap/>
            <w:vAlign w:val="center"/>
          </w:tcPr>
          <w:p w14:paraId="7C4DB723">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有限责任公司</w:t>
            </w:r>
          </w:p>
        </w:tc>
        <w:tc>
          <w:tcPr>
            <w:tcW w:w="749" w:type="pct"/>
            <w:noWrap/>
            <w:vAlign w:val="center"/>
          </w:tcPr>
          <w:p w14:paraId="68A8D244">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生产规模</w:t>
            </w:r>
          </w:p>
        </w:tc>
        <w:tc>
          <w:tcPr>
            <w:tcW w:w="1525" w:type="pct"/>
            <w:noWrap/>
            <w:vAlign w:val="center"/>
          </w:tcPr>
          <w:p w14:paraId="47967D12">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小型</w:t>
            </w:r>
          </w:p>
        </w:tc>
      </w:tr>
      <w:tr w14:paraId="2013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pct"/>
            <w:noWrap/>
            <w:vAlign w:val="center"/>
          </w:tcPr>
          <w:p w14:paraId="11CF1C56">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开采矿种</w:t>
            </w:r>
          </w:p>
        </w:tc>
        <w:tc>
          <w:tcPr>
            <w:tcW w:w="1941" w:type="pct"/>
            <w:noWrap/>
            <w:vAlign w:val="center"/>
          </w:tcPr>
          <w:p w14:paraId="6398015D">
            <w:pPr>
              <w:pStyle w:val="2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沸石</w:t>
            </w:r>
          </w:p>
        </w:tc>
        <w:tc>
          <w:tcPr>
            <w:tcW w:w="749" w:type="pct"/>
            <w:noWrap/>
            <w:vAlign w:val="center"/>
          </w:tcPr>
          <w:p w14:paraId="6508034A">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采矿方式</w:t>
            </w:r>
          </w:p>
        </w:tc>
        <w:tc>
          <w:tcPr>
            <w:tcW w:w="1525" w:type="pct"/>
            <w:noWrap/>
            <w:vAlign w:val="center"/>
          </w:tcPr>
          <w:p w14:paraId="6A18302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露天开采</w:t>
            </w:r>
          </w:p>
        </w:tc>
      </w:tr>
      <w:tr w14:paraId="6B36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85" w:type="pct"/>
            <w:noWrap/>
            <w:vAlign w:val="center"/>
          </w:tcPr>
          <w:p w14:paraId="3F45EC51">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矿区面积</w:t>
            </w:r>
          </w:p>
        </w:tc>
        <w:tc>
          <w:tcPr>
            <w:tcW w:w="1941" w:type="pct"/>
            <w:noWrap/>
            <w:vAlign w:val="center"/>
          </w:tcPr>
          <w:p w14:paraId="2CEE099A">
            <w:pPr>
              <w:pStyle w:val="2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1.41km</w:t>
            </w:r>
            <w:r>
              <w:rPr>
                <w:rFonts w:hint="default" w:ascii="Times New Roman" w:hAnsi="Times New Roman" w:eastAsia="宋体" w:cs="Times New Roman"/>
                <w:color w:val="auto"/>
                <w:sz w:val="21"/>
                <w:szCs w:val="21"/>
                <w:vertAlign w:val="superscript"/>
                <w:lang w:val="en-US" w:eastAsia="zh-CN"/>
              </w:rPr>
              <w:t>2</w:t>
            </w:r>
          </w:p>
        </w:tc>
        <w:tc>
          <w:tcPr>
            <w:tcW w:w="749" w:type="pct"/>
            <w:noWrap/>
            <w:vAlign w:val="center"/>
          </w:tcPr>
          <w:p w14:paraId="3C043BB0">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生产现状</w:t>
            </w:r>
          </w:p>
        </w:tc>
        <w:tc>
          <w:tcPr>
            <w:tcW w:w="1525" w:type="pct"/>
            <w:noWrap/>
            <w:vAlign w:val="center"/>
          </w:tcPr>
          <w:p w14:paraId="2C923DC8">
            <w:pPr>
              <w:pStyle w:val="2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新建</w:t>
            </w:r>
          </w:p>
        </w:tc>
      </w:tr>
      <w:tr w14:paraId="7D3E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5" w:type="pct"/>
            <w:noWrap/>
            <w:vAlign w:val="center"/>
          </w:tcPr>
          <w:p w14:paraId="1F4B1031">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建矿时间</w:t>
            </w:r>
          </w:p>
        </w:tc>
        <w:tc>
          <w:tcPr>
            <w:tcW w:w="1941" w:type="pct"/>
            <w:noWrap/>
            <w:vAlign w:val="center"/>
          </w:tcPr>
          <w:p w14:paraId="5CDC0974">
            <w:pPr>
              <w:pStyle w:val="2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2015年</w:t>
            </w:r>
          </w:p>
        </w:tc>
        <w:tc>
          <w:tcPr>
            <w:tcW w:w="749" w:type="pct"/>
            <w:noWrap/>
            <w:vAlign w:val="center"/>
          </w:tcPr>
          <w:p w14:paraId="251A9822">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设计生产</w:t>
            </w:r>
          </w:p>
          <w:p w14:paraId="5FED4D7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能力</w:t>
            </w:r>
          </w:p>
        </w:tc>
        <w:tc>
          <w:tcPr>
            <w:tcW w:w="1525" w:type="pct"/>
            <w:noWrap/>
            <w:vAlign w:val="center"/>
          </w:tcPr>
          <w:p w14:paraId="56E9990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lang w:val="zh-CN"/>
              </w:rPr>
              <w:t>万吨/年</w:t>
            </w:r>
          </w:p>
        </w:tc>
      </w:tr>
      <w:tr w14:paraId="20BE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85" w:type="pct"/>
            <w:noWrap/>
            <w:vAlign w:val="center"/>
          </w:tcPr>
          <w:p w14:paraId="2E311701">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设计服务</w:t>
            </w:r>
          </w:p>
          <w:p w14:paraId="1C63ED7F">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年限</w:t>
            </w:r>
          </w:p>
        </w:tc>
        <w:tc>
          <w:tcPr>
            <w:tcW w:w="1941" w:type="pct"/>
            <w:noWrap/>
            <w:vAlign w:val="center"/>
          </w:tcPr>
          <w:p w14:paraId="37F67F7A">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18.56</w:t>
            </w:r>
            <w:r>
              <w:rPr>
                <w:rFonts w:hint="default" w:ascii="Times New Roman" w:hAnsi="Times New Roman" w:eastAsia="宋体" w:cs="Times New Roman"/>
                <w:color w:val="auto"/>
                <w:sz w:val="21"/>
                <w:szCs w:val="21"/>
                <w:lang w:val="zh-CN"/>
              </w:rPr>
              <w:t>年</w:t>
            </w:r>
          </w:p>
        </w:tc>
        <w:tc>
          <w:tcPr>
            <w:tcW w:w="749" w:type="pct"/>
            <w:noWrap/>
            <w:vAlign w:val="center"/>
          </w:tcPr>
          <w:p w14:paraId="03A2F1AD">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实际生产</w:t>
            </w:r>
          </w:p>
          <w:p w14:paraId="5CE53FBE">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能力</w:t>
            </w:r>
          </w:p>
        </w:tc>
        <w:tc>
          <w:tcPr>
            <w:tcW w:w="1525" w:type="pct"/>
            <w:noWrap/>
            <w:vAlign w:val="center"/>
          </w:tcPr>
          <w:p w14:paraId="20D373D8">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val="zh-CN"/>
              </w:rPr>
              <w:t>万吨/年</w:t>
            </w:r>
          </w:p>
        </w:tc>
      </w:tr>
      <w:tr w14:paraId="2BE7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5" w:type="pct"/>
            <w:noWrap/>
            <w:vAlign w:val="center"/>
          </w:tcPr>
          <w:p w14:paraId="45343D3A">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剩余服务</w:t>
            </w:r>
          </w:p>
          <w:p w14:paraId="29696004">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年限</w:t>
            </w:r>
          </w:p>
        </w:tc>
        <w:tc>
          <w:tcPr>
            <w:tcW w:w="1941" w:type="pct"/>
            <w:noWrap/>
            <w:vAlign w:val="center"/>
          </w:tcPr>
          <w:p w14:paraId="4715BCF2">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18.56</w:t>
            </w:r>
            <w:r>
              <w:rPr>
                <w:rFonts w:hint="default" w:ascii="Times New Roman" w:hAnsi="Times New Roman" w:eastAsia="宋体" w:cs="Times New Roman"/>
                <w:color w:val="auto"/>
                <w:sz w:val="21"/>
                <w:szCs w:val="21"/>
                <w:lang w:val="zh-CN"/>
              </w:rPr>
              <w:t>年</w:t>
            </w:r>
          </w:p>
        </w:tc>
        <w:tc>
          <w:tcPr>
            <w:tcW w:w="749" w:type="pct"/>
            <w:noWrap/>
            <w:vAlign w:val="center"/>
          </w:tcPr>
          <w:p w14:paraId="6E43B818">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开采深度</w:t>
            </w:r>
          </w:p>
        </w:tc>
        <w:tc>
          <w:tcPr>
            <w:tcW w:w="1525" w:type="pct"/>
            <w:noWrap/>
            <w:vAlign w:val="center"/>
          </w:tcPr>
          <w:p w14:paraId="4B072FE8">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85</w:t>
            </w:r>
            <w:r>
              <w:rPr>
                <w:rFonts w:hint="default" w:ascii="Times New Roman" w:hAnsi="Times New Roman" w:eastAsia="宋体" w:cs="Times New Roman"/>
                <w:color w:val="auto"/>
                <w:sz w:val="21"/>
                <w:szCs w:val="21"/>
              </w:rPr>
              <w:t>0m</w:t>
            </w:r>
            <w:r>
              <w:rPr>
                <w:rFonts w:hint="default" w:ascii="Times New Roman" w:hAnsi="Times New Roman" w:eastAsia="宋体" w:cs="Times New Roman"/>
                <w:color w:val="auto"/>
                <w:sz w:val="21"/>
                <w:szCs w:val="21"/>
                <w:lang w:val="zh-CN"/>
              </w:rPr>
              <w:t>m至</w:t>
            </w:r>
            <w:r>
              <w:rPr>
                <w:rFonts w:hint="default" w:ascii="Times New Roman" w:hAnsi="Times New Roman" w:eastAsia="宋体" w:cs="Times New Roman"/>
                <w:color w:val="auto"/>
                <w:sz w:val="21"/>
                <w:szCs w:val="21"/>
                <w:lang w:val="en-US" w:eastAsia="zh-CN"/>
              </w:rPr>
              <w:t>450</w:t>
            </w:r>
            <w:r>
              <w:rPr>
                <w:rFonts w:hint="default" w:ascii="Times New Roman" w:hAnsi="Times New Roman" w:eastAsia="宋体" w:cs="Times New Roman"/>
                <w:color w:val="auto"/>
                <w:sz w:val="21"/>
                <w:szCs w:val="21"/>
                <w:lang w:val="zh-CN"/>
              </w:rPr>
              <w:t>m标高</w:t>
            </w:r>
          </w:p>
        </w:tc>
      </w:tr>
      <w:tr w14:paraId="5FF8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85" w:type="pct"/>
            <w:noWrap/>
            <w:vAlign w:val="center"/>
          </w:tcPr>
          <w:p w14:paraId="687718CB">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查明资源</w:t>
            </w:r>
          </w:p>
          <w:p w14:paraId="29ABB163">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储量</w:t>
            </w:r>
          </w:p>
        </w:tc>
        <w:tc>
          <w:tcPr>
            <w:tcW w:w="1941" w:type="pct"/>
            <w:noWrap/>
            <w:vAlign w:val="center"/>
          </w:tcPr>
          <w:p w14:paraId="093DEE9E">
            <w:pPr>
              <w:pStyle w:val="26"/>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zh-CN"/>
              </w:rPr>
              <w:t>矿石量348.80</w:t>
            </w:r>
            <w:r>
              <w:rPr>
                <w:rFonts w:hint="default" w:ascii="Times New Roman" w:hAnsi="Times New Roman" w:eastAsia="宋体" w:cs="Times New Roman"/>
                <w:color w:val="auto"/>
                <w:sz w:val="21"/>
                <w:szCs w:val="21"/>
                <w:lang w:val="zh-CN" w:eastAsia="zh-CN"/>
              </w:rPr>
              <w:t>万</w:t>
            </w:r>
            <w:r>
              <w:rPr>
                <w:rFonts w:hint="default" w:ascii="Times New Roman" w:hAnsi="Times New Roman" w:eastAsia="宋体" w:cs="Times New Roman"/>
                <w:color w:val="auto"/>
                <w:sz w:val="21"/>
                <w:szCs w:val="21"/>
                <w:lang w:val="en-US" w:eastAsia="zh-CN"/>
              </w:rPr>
              <w:t>t</w:t>
            </w:r>
          </w:p>
        </w:tc>
        <w:tc>
          <w:tcPr>
            <w:tcW w:w="749" w:type="pct"/>
            <w:noWrap/>
            <w:vAlign w:val="center"/>
          </w:tcPr>
          <w:p w14:paraId="58BED0D0">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剩余资源</w:t>
            </w:r>
          </w:p>
          <w:p w14:paraId="7BC2E79E">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储量</w:t>
            </w:r>
          </w:p>
        </w:tc>
        <w:tc>
          <w:tcPr>
            <w:tcW w:w="1525" w:type="pct"/>
            <w:noWrap/>
            <w:vAlign w:val="center"/>
          </w:tcPr>
          <w:p w14:paraId="363BEB9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矿石量348.80</w:t>
            </w:r>
            <w:r>
              <w:rPr>
                <w:rFonts w:hint="default" w:ascii="Times New Roman" w:hAnsi="Times New Roman" w:eastAsia="宋体" w:cs="Times New Roman"/>
                <w:color w:val="auto"/>
                <w:sz w:val="21"/>
                <w:szCs w:val="21"/>
                <w:lang w:val="zh-CN" w:eastAsia="zh-CN"/>
              </w:rPr>
              <w:t>万</w:t>
            </w:r>
            <w:r>
              <w:rPr>
                <w:rFonts w:hint="default" w:ascii="Times New Roman" w:hAnsi="Times New Roman" w:eastAsia="宋体" w:cs="Times New Roman"/>
                <w:color w:val="auto"/>
                <w:sz w:val="21"/>
                <w:szCs w:val="21"/>
                <w:lang w:val="en-US" w:eastAsia="zh-CN"/>
              </w:rPr>
              <w:t>t</w:t>
            </w:r>
          </w:p>
        </w:tc>
      </w:tr>
      <w:tr w14:paraId="42ED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85" w:type="pct"/>
            <w:noWrap/>
            <w:vAlign w:val="center"/>
          </w:tcPr>
          <w:p w14:paraId="3519AA4C">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矿区范围</w:t>
            </w:r>
          </w:p>
          <w:p w14:paraId="07FD637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拐点坐标</w:t>
            </w:r>
          </w:p>
        </w:tc>
        <w:tc>
          <w:tcPr>
            <w:tcW w:w="4215" w:type="pct"/>
            <w:gridSpan w:val="3"/>
            <w:noWrap/>
            <w:vAlign w:val="center"/>
          </w:tcPr>
          <w:p w14:paraId="6C14C37A">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另附，见表1-1（矿区范围拐点坐标表）</w:t>
            </w:r>
          </w:p>
        </w:tc>
      </w:tr>
      <w:tr w14:paraId="3158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85" w:type="pct"/>
            <w:noWrap/>
            <w:vAlign w:val="center"/>
          </w:tcPr>
          <w:p w14:paraId="3CE2E912">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基金计提</w:t>
            </w:r>
          </w:p>
        </w:tc>
        <w:tc>
          <w:tcPr>
            <w:tcW w:w="1941" w:type="pct"/>
            <w:noWrap/>
            <w:vAlign w:val="center"/>
          </w:tcPr>
          <w:p w14:paraId="2A5E23CD">
            <w:pPr>
              <w:pStyle w:val="2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749" w:type="pct"/>
            <w:noWrap/>
            <w:vAlign w:val="center"/>
          </w:tcPr>
          <w:p w14:paraId="2C3ADB1A">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基金</w:t>
            </w:r>
          </w:p>
          <w:p w14:paraId="385B367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使用</w:t>
            </w:r>
          </w:p>
        </w:tc>
        <w:tc>
          <w:tcPr>
            <w:tcW w:w="1525" w:type="pct"/>
            <w:noWrap/>
            <w:vAlign w:val="center"/>
          </w:tcPr>
          <w:p w14:paraId="72B11AFE">
            <w:pPr>
              <w:pStyle w:val="2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79FB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000" w:type="pct"/>
            <w:gridSpan w:val="4"/>
            <w:noWrap/>
            <w:vAlign w:val="center"/>
          </w:tcPr>
          <w:p w14:paraId="077CDBBB">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矿山企业联系方式</w:t>
            </w:r>
          </w:p>
        </w:tc>
      </w:tr>
      <w:tr w14:paraId="5320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85" w:type="pct"/>
            <w:noWrap/>
            <w:vAlign w:val="center"/>
          </w:tcPr>
          <w:p w14:paraId="3237D07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联系人</w:t>
            </w:r>
          </w:p>
        </w:tc>
        <w:tc>
          <w:tcPr>
            <w:tcW w:w="3387" w:type="dxa"/>
            <w:noWrap/>
            <w:vAlign w:val="center"/>
          </w:tcPr>
          <w:p w14:paraId="308D63DF">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车璐飞</w:t>
            </w:r>
          </w:p>
        </w:tc>
        <w:tc>
          <w:tcPr>
            <w:tcW w:w="748" w:type="pct"/>
            <w:noWrap/>
            <w:vAlign w:val="center"/>
          </w:tcPr>
          <w:p w14:paraId="45F960C9">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手机号</w:t>
            </w:r>
          </w:p>
        </w:tc>
        <w:tc>
          <w:tcPr>
            <w:tcW w:w="2661" w:type="dxa"/>
            <w:noWrap/>
            <w:vAlign w:val="center"/>
          </w:tcPr>
          <w:p w14:paraId="76D2EFCB">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18504760036</w:t>
            </w:r>
          </w:p>
        </w:tc>
      </w:tr>
      <w:tr w14:paraId="17A5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85" w:type="pct"/>
            <w:noWrap/>
            <w:vAlign w:val="center"/>
          </w:tcPr>
          <w:p w14:paraId="7671A3DC">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通讯地址</w:t>
            </w:r>
          </w:p>
        </w:tc>
        <w:tc>
          <w:tcPr>
            <w:tcW w:w="3387" w:type="dxa"/>
            <w:noWrap/>
            <w:vAlign w:val="center"/>
          </w:tcPr>
          <w:p w14:paraId="13F59356">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赤峰市新城区玉龙大街中核大厦</w:t>
            </w:r>
          </w:p>
        </w:tc>
        <w:tc>
          <w:tcPr>
            <w:tcW w:w="748" w:type="pct"/>
            <w:noWrap/>
            <w:vAlign w:val="center"/>
          </w:tcPr>
          <w:p w14:paraId="7268804E">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邮编</w:t>
            </w:r>
          </w:p>
        </w:tc>
        <w:tc>
          <w:tcPr>
            <w:tcW w:w="2661" w:type="dxa"/>
            <w:noWrap/>
            <w:vAlign w:val="center"/>
          </w:tcPr>
          <w:p w14:paraId="43EE719C">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024000</w:t>
            </w:r>
          </w:p>
        </w:tc>
      </w:tr>
      <w:tr w14:paraId="286B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5" w:type="pct"/>
            <w:noWrap/>
            <w:vAlign w:val="center"/>
          </w:tcPr>
          <w:p w14:paraId="21A0E82F">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固定电话</w:t>
            </w:r>
          </w:p>
        </w:tc>
        <w:tc>
          <w:tcPr>
            <w:tcW w:w="3387" w:type="dxa"/>
            <w:noWrap/>
            <w:vAlign w:val="center"/>
          </w:tcPr>
          <w:p w14:paraId="05F84391">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04765678700</w:t>
            </w:r>
          </w:p>
        </w:tc>
        <w:tc>
          <w:tcPr>
            <w:tcW w:w="748" w:type="pct"/>
            <w:noWrap/>
            <w:vAlign w:val="center"/>
          </w:tcPr>
          <w:p w14:paraId="39EA146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E-mail</w:t>
            </w:r>
          </w:p>
        </w:tc>
        <w:tc>
          <w:tcPr>
            <w:tcW w:w="2661" w:type="dxa"/>
            <w:noWrap/>
            <w:vAlign w:val="center"/>
          </w:tcPr>
          <w:p w14:paraId="3FEFCC22">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CFKYJT@163.com</w:t>
            </w:r>
          </w:p>
        </w:tc>
      </w:tr>
    </w:tbl>
    <w:p w14:paraId="21AD66BD">
      <w:pPr>
        <w:widowControl/>
        <w:ind w:firstLine="562"/>
        <w:jc w:val="center"/>
        <w:rPr>
          <w:rFonts w:hint="default" w:eastAsia="宋体" w:cs="宋体" w:asciiTheme="majorAscii" w:hAnsiTheme="majorAscii"/>
          <w:b/>
          <w:color w:val="auto"/>
          <w:highlight w:val="yellow"/>
        </w:rPr>
        <w:sectPr>
          <w:footerReference r:id="rId7" w:type="default"/>
          <w:pgSz w:w="11910" w:h="16840"/>
          <w:pgMar w:top="1701" w:right="1701" w:bottom="1701" w:left="1701" w:header="851" w:footer="992" w:gutter="0"/>
          <w:pgNumType w:fmt="decimal" w:start="1"/>
          <w:cols w:space="720" w:num="1"/>
        </w:sectPr>
      </w:pPr>
    </w:p>
    <w:p w14:paraId="66F76B20">
      <w:pPr>
        <w:keepNext/>
        <w:keepLines/>
        <w:ind w:firstLine="0" w:firstLineChars="0"/>
        <w:jc w:val="center"/>
        <w:rPr>
          <w:rStyle w:val="24"/>
          <w:rFonts w:hint="default" w:eastAsia="宋体" w:cs="宋体" w:asciiTheme="majorAscii" w:hAnsiTheme="majorAscii"/>
          <w:b/>
          <w:bCs/>
          <w:color w:val="auto"/>
        </w:rPr>
      </w:pPr>
      <w:r>
        <w:rPr>
          <w:rFonts w:hint="default" w:eastAsia="宋体" w:cs="宋体" w:asciiTheme="majorAscii" w:hAnsiTheme="majorAscii"/>
          <w:b/>
          <w:bCs/>
          <w:color w:val="auto"/>
          <w:sz w:val="24"/>
          <w:szCs w:val="24"/>
        </w:rPr>
        <w:t>表1-1矿区范围拐点坐标表</w:t>
      </w:r>
      <w:bookmarkStart w:id="7" w:name="_Toc31921"/>
      <w:bookmarkStart w:id="8" w:name="_Toc16070"/>
      <w:bookmarkStart w:id="9" w:name="_Toc11838"/>
      <w:bookmarkStart w:id="10" w:name="_Toc24097"/>
      <w:bookmarkStart w:id="11" w:name="_Toc29154"/>
    </w:p>
    <w:tbl>
      <w:tblPr>
        <w:tblStyle w:val="19"/>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3824"/>
        <w:gridCol w:w="3242"/>
      </w:tblGrid>
      <w:tr w14:paraId="18E2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vMerge w:val="restart"/>
            <w:shd w:val="clear" w:color="auto" w:fill="auto"/>
            <w:vAlign w:val="center"/>
          </w:tcPr>
          <w:p w14:paraId="0093405C">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拐点</w:t>
            </w:r>
          </w:p>
        </w:tc>
        <w:tc>
          <w:tcPr>
            <w:tcW w:w="3887" w:type="pct"/>
            <w:gridSpan w:val="2"/>
            <w:shd w:val="clear" w:color="auto" w:fill="auto"/>
            <w:vAlign w:val="center"/>
          </w:tcPr>
          <w:p w14:paraId="22F26AC8">
            <w:pPr>
              <w:widowControl/>
              <w:wordWrap/>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ascii="Times New Roman" w:hAnsi="Times New Roman" w:eastAsia="宋体" w:cs="Times New Roman"/>
                <w:color w:val="auto"/>
                <w:kern w:val="0"/>
                <w:sz w:val="21"/>
                <w:szCs w:val="21"/>
              </w:rPr>
              <w:t>2000国家大地坐标系</w:t>
            </w:r>
            <w:r>
              <w:rPr>
                <w:rFonts w:hint="eastAsia" w:ascii="Times New Roman" w:hAnsi="Times New Roman" w:eastAsia="宋体" w:cs="Times New Roman"/>
                <w:color w:val="auto"/>
                <w:kern w:val="0"/>
                <w:sz w:val="21"/>
                <w:szCs w:val="21"/>
                <w:lang w:eastAsia="zh-CN"/>
              </w:rPr>
              <w:t>，</w:t>
            </w:r>
            <w:r>
              <w:rPr>
                <w:rFonts w:hint="eastAsia" w:ascii="Times New Roman" w:hAnsi="Times New Roman" w:eastAsia="宋体" w:cs="Times New Roman"/>
                <w:color w:val="auto"/>
                <w:kern w:val="0"/>
                <w:sz w:val="21"/>
                <w:szCs w:val="21"/>
                <w:lang w:val="en-US" w:eastAsia="zh-CN"/>
              </w:rPr>
              <w:t>3°带</w:t>
            </w:r>
          </w:p>
        </w:tc>
      </w:tr>
      <w:tr w14:paraId="54A9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vMerge w:val="continue"/>
            <w:vAlign w:val="center"/>
          </w:tcPr>
          <w:p w14:paraId="10381B67">
            <w:pPr>
              <w:widowControl/>
              <w:wordWrap/>
              <w:spacing w:line="240" w:lineRule="auto"/>
              <w:ind w:firstLine="0" w:firstLineChars="0"/>
              <w:jc w:val="center"/>
              <w:rPr>
                <w:rFonts w:ascii="Times New Roman" w:hAnsi="Times New Roman" w:eastAsia="宋体" w:cs="Times New Roman"/>
                <w:color w:val="auto"/>
                <w:kern w:val="0"/>
                <w:sz w:val="21"/>
                <w:szCs w:val="21"/>
              </w:rPr>
            </w:pPr>
          </w:p>
        </w:tc>
        <w:tc>
          <w:tcPr>
            <w:tcW w:w="2104" w:type="pct"/>
            <w:shd w:val="clear" w:color="auto" w:fill="auto"/>
            <w:vAlign w:val="center"/>
          </w:tcPr>
          <w:p w14:paraId="334DA947">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X</w:t>
            </w:r>
          </w:p>
        </w:tc>
        <w:tc>
          <w:tcPr>
            <w:tcW w:w="1783" w:type="pct"/>
            <w:shd w:val="clear" w:color="auto" w:fill="auto"/>
            <w:vAlign w:val="center"/>
          </w:tcPr>
          <w:p w14:paraId="6A850023">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Y</w:t>
            </w:r>
          </w:p>
        </w:tc>
      </w:tr>
      <w:tr w14:paraId="0EA7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7CA505A8">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w:t>
            </w:r>
          </w:p>
        </w:tc>
        <w:tc>
          <w:tcPr>
            <w:tcW w:w="2104" w:type="pct"/>
            <w:shd w:val="clear" w:color="auto" w:fill="auto"/>
            <w:vAlign w:val="center"/>
          </w:tcPr>
          <w:p w14:paraId="4E7033EF">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4698452.7570</w:t>
            </w:r>
          </w:p>
        </w:tc>
        <w:tc>
          <w:tcPr>
            <w:tcW w:w="1783" w:type="pct"/>
            <w:shd w:val="clear" w:color="auto" w:fill="auto"/>
            <w:vAlign w:val="center"/>
          </w:tcPr>
          <w:p w14:paraId="61B52EB8">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40399468.8543</w:t>
            </w:r>
          </w:p>
        </w:tc>
      </w:tr>
      <w:tr w14:paraId="1075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3CE1D55F">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w:t>
            </w:r>
          </w:p>
        </w:tc>
        <w:tc>
          <w:tcPr>
            <w:tcW w:w="2104" w:type="pct"/>
            <w:shd w:val="clear" w:color="auto" w:fill="auto"/>
            <w:vAlign w:val="center"/>
          </w:tcPr>
          <w:p w14:paraId="73FF3BF6">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4698427.7570</w:t>
            </w:r>
          </w:p>
        </w:tc>
        <w:tc>
          <w:tcPr>
            <w:tcW w:w="1783" w:type="pct"/>
            <w:shd w:val="clear" w:color="auto" w:fill="auto"/>
            <w:vAlign w:val="center"/>
          </w:tcPr>
          <w:p w14:paraId="4EF13767">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40400195.8543</w:t>
            </w:r>
          </w:p>
        </w:tc>
      </w:tr>
      <w:tr w14:paraId="0951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01EBB5FB">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3</w:t>
            </w:r>
          </w:p>
        </w:tc>
        <w:tc>
          <w:tcPr>
            <w:tcW w:w="2104" w:type="pct"/>
            <w:shd w:val="clear" w:color="auto" w:fill="auto"/>
            <w:vAlign w:val="center"/>
          </w:tcPr>
          <w:p w14:paraId="0B946D9A">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4697676.7570</w:t>
            </w:r>
          </w:p>
        </w:tc>
        <w:tc>
          <w:tcPr>
            <w:tcW w:w="1783" w:type="pct"/>
            <w:shd w:val="clear" w:color="auto" w:fill="auto"/>
            <w:vAlign w:val="center"/>
          </w:tcPr>
          <w:p w14:paraId="5D2DA899">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40400181.8543</w:t>
            </w:r>
          </w:p>
        </w:tc>
      </w:tr>
      <w:tr w14:paraId="35E2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4516F615">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w:t>
            </w:r>
          </w:p>
        </w:tc>
        <w:tc>
          <w:tcPr>
            <w:tcW w:w="2104" w:type="pct"/>
            <w:shd w:val="clear" w:color="auto" w:fill="auto"/>
            <w:vAlign w:val="center"/>
          </w:tcPr>
          <w:p w14:paraId="517AD437">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4697675.7570</w:t>
            </w:r>
          </w:p>
        </w:tc>
        <w:tc>
          <w:tcPr>
            <w:tcW w:w="1783" w:type="pct"/>
            <w:shd w:val="clear" w:color="auto" w:fill="auto"/>
            <w:vAlign w:val="center"/>
          </w:tcPr>
          <w:p w14:paraId="458A4487">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40399805.8543</w:t>
            </w:r>
          </w:p>
        </w:tc>
      </w:tr>
      <w:tr w14:paraId="21F4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70C6AD04">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5</w:t>
            </w:r>
          </w:p>
        </w:tc>
        <w:tc>
          <w:tcPr>
            <w:tcW w:w="2104" w:type="pct"/>
            <w:shd w:val="clear" w:color="auto" w:fill="auto"/>
            <w:vAlign w:val="center"/>
          </w:tcPr>
          <w:p w14:paraId="19F94A11">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4697755.7570</w:t>
            </w:r>
          </w:p>
        </w:tc>
        <w:tc>
          <w:tcPr>
            <w:tcW w:w="1783" w:type="pct"/>
            <w:shd w:val="clear" w:color="auto" w:fill="auto"/>
            <w:vAlign w:val="center"/>
          </w:tcPr>
          <w:p w14:paraId="5B5BDA3B">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40399807.8543</w:t>
            </w:r>
          </w:p>
        </w:tc>
      </w:tr>
      <w:tr w14:paraId="3943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4C481F3D">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6</w:t>
            </w:r>
          </w:p>
        </w:tc>
        <w:tc>
          <w:tcPr>
            <w:tcW w:w="2104" w:type="pct"/>
            <w:shd w:val="clear" w:color="auto" w:fill="auto"/>
            <w:vAlign w:val="center"/>
          </w:tcPr>
          <w:p w14:paraId="7760C69F">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4697765.7570</w:t>
            </w:r>
          </w:p>
        </w:tc>
        <w:tc>
          <w:tcPr>
            <w:tcW w:w="1783" w:type="pct"/>
            <w:shd w:val="clear" w:color="auto" w:fill="auto"/>
            <w:vAlign w:val="center"/>
          </w:tcPr>
          <w:p w14:paraId="5A939710">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40399528.8543</w:t>
            </w:r>
          </w:p>
        </w:tc>
      </w:tr>
      <w:tr w14:paraId="4167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4077C722">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7</w:t>
            </w:r>
          </w:p>
        </w:tc>
        <w:tc>
          <w:tcPr>
            <w:tcW w:w="2104" w:type="pct"/>
            <w:shd w:val="clear" w:color="auto" w:fill="auto"/>
            <w:vAlign w:val="center"/>
          </w:tcPr>
          <w:p w14:paraId="4F85C701">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4697145.7570</w:t>
            </w:r>
          </w:p>
        </w:tc>
        <w:tc>
          <w:tcPr>
            <w:tcW w:w="1783" w:type="pct"/>
            <w:shd w:val="clear" w:color="auto" w:fill="auto"/>
            <w:vAlign w:val="center"/>
          </w:tcPr>
          <w:p w14:paraId="3F6C145F">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40399506.8543</w:t>
            </w:r>
          </w:p>
        </w:tc>
      </w:tr>
      <w:tr w14:paraId="17D1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3D22EE8D">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8</w:t>
            </w:r>
          </w:p>
        </w:tc>
        <w:tc>
          <w:tcPr>
            <w:tcW w:w="2104" w:type="pct"/>
            <w:shd w:val="clear" w:color="auto" w:fill="auto"/>
            <w:vAlign w:val="center"/>
          </w:tcPr>
          <w:p w14:paraId="75DB52C5">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4697136.7570</w:t>
            </w:r>
          </w:p>
        </w:tc>
        <w:tc>
          <w:tcPr>
            <w:tcW w:w="1783" w:type="pct"/>
            <w:shd w:val="clear" w:color="auto" w:fill="auto"/>
            <w:vAlign w:val="center"/>
          </w:tcPr>
          <w:p w14:paraId="2D5675B6">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40399785.8543</w:t>
            </w:r>
          </w:p>
        </w:tc>
      </w:tr>
      <w:tr w14:paraId="72D7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548409B9">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9</w:t>
            </w:r>
          </w:p>
        </w:tc>
        <w:tc>
          <w:tcPr>
            <w:tcW w:w="2104" w:type="pct"/>
            <w:shd w:val="clear" w:color="auto" w:fill="auto"/>
            <w:vAlign w:val="center"/>
          </w:tcPr>
          <w:p w14:paraId="49663BE4">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4697642.7570</w:t>
            </w:r>
          </w:p>
        </w:tc>
        <w:tc>
          <w:tcPr>
            <w:tcW w:w="1783" w:type="pct"/>
            <w:shd w:val="clear" w:color="auto" w:fill="auto"/>
            <w:vAlign w:val="center"/>
          </w:tcPr>
          <w:p w14:paraId="70CD2EB9">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40399803.8543</w:t>
            </w:r>
          </w:p>
        </w:tc>
      </w:tr>
      <w:tr w14:paraId="702A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1F30B704">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10</w:t>
            </w:r>
          </w:p>
        </w:tc>
        <w:tc>
          <w:tcPr>
            <w:tcW w:w="2104" w:type="pct"/>
            <w:shd w:val="clear" w:color="auto" w:fill="auto"/>
            <w:vAlign w:val="center"/>
          </w:tcPr>
          <w:p w14:paraId="611ABFA9">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4697533.7570</w:t>
            </w:r>
          </w:p>
        </w:tc>
        <w:tc>
          <w:tcPr>
            <w:tcW w:w="1783" w:type="pct"/>
            <w:shd w:val="clear" w:color="auto" w:fill="auto"/>
            <w:vAlign w:val="center"/>
          </w:tcPr>
          <w:p w14:paraId="533DB8E4">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40399937.8543</w:t>
            </w:r>
          </w:p>
        </w:tc>
      </w:tr>
      <w:tr w14:paraId="4E9B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26B1E67A">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11</w:t>
            </w:r>
          </w:p>
        </w:tc>
        <w:tc>
          <w:tcPr>
            <w:tcW w:w="2104" w:type="pct"/>
            <w:shd w:val="clear" w:color="auto" w:fill="auto"/>
            <w:vAlign w:val="center"/>
          </w:tcPr>
          <w:p w14:paraId="55C7990A">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4697486.7570</w:t>
            </w:r>
          </w:p>
        </w:tc>
        <w:tc>
          <w:tcPr>
            <w:tcW w:w="1783" w:type="pct"/>
            <w:shd w:val="clear" w:color="auto" w:fill="auto"/>
            <w:vAlign w:val="center"/>
          </w:tcPr>
          <w:p w14:paraId="05F07E88">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40400177.8543</w:t>
            </w:r>
          </w:p>
        </w:tc>
      </w:tr>
      <w:tr w14:paraId="139C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48D3547C">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12</w:t>
            </w:r>
          </w:p>
        </w:tc>
        <w:tc>
          <w:tcPr>
            <w:tcW w:w="2104" w:type="pct"/>
            <w:shd w:val="clear" w:color="auto" w:fill="auto"/>
            <w:vAlign w:val="center"/>
          </w:tcPr>
          <w:p w14:paraId="7C5B9E39">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4696832.7570</w:t>
            </w:r>
          </w:p>
        </w:tc>
        <w:tc>
          <w:tcPr>
            <w:tcW w:w="1783" w:type="pct"/>
            <w:shd w:val="clear" w:color="auto" w:fill="auto"/>
            <w:vAlign w:val="center"/>
          </w:tcPr>
          <w:p w14:paraId="6A9670A6">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40400164.8543</w:t>
            </w:r>
          </w:p>
        </w:tc>
      </w:tr>
      <w:tr w14:paraId="1AE6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767FF850">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w:t>
            </w:r>
          </w:p>
        </w:tc>
        <w:tc>
          <w:tcPr>
            <w:tcW w:w="2104" w:type="pct"/>
            <w:shd w:val="clear" w:color="auto" w:fill="auto"/>
            <w:vAlign w:val="center"/>
          </w:tcPr>
          <w:p w14:paraId="315763BE">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4696817.7570</w:t>
            </w:r>
          </w:p>
        </w:tc>
        <w:tc>
          <w:tcPr>
            <w:tcW w:w="1783" w:type="pct"/>
            <w:shd w:val="clear" w:color="auto" w:fill="auto"/>
            <w:vAlign w:val="center"/>
          </w:tcPr>
          <w:p w14:paraId="4BEB2B78">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40400499.8543</w:t>
            </w:r>
          </w:p>
        </w:tc>
      </w:tr>
      <w:tr w14:paraId="18DF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707EC9DF">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14</w:t>
            </w:r>
          </w:p>
        </w:tc>
        <w:tc>
          <w:tcPr>
            <w:tcW w:w="2104" w:type="pct"/>
            <w:shd w:val="clear" w:color="auto" w:fill="auto"/>
            <w:vAlign w:val="center"/>
          </w:tcPr>
          <w:p w14:paraId="34993673">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4696170.7570</w:t>
            </w:r>
          </w:p>
        </w:tc>
        <w:tc>
          <w:tcPr>
            <w:tcW w:w="1783" w:type="pct"/>
            <w:shd w:val="clear" w:color="auto" w:fill="auto"/>
            <w:vAlign w:val="center"/>
          </w:tcPr>
          <w:p w14:paraId="06901223">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40400476.8543</w:t>
            </w:r>
          </w:p>
        </w:tc>
      </w:tr>
      <w:tr w14:paraId="1AC6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734BE454">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15</w:t>
            </w:r>
          </w:p>
        </w:tc>
        <w:tc>
          <w:tcPr>
            <w:tcW w:w="2104" w:type="pct"/>
            <w:shd w:val="clear" w:color="auto" w:fill="auto"/>
            <w:vAlign w:val="center"/>
          </w:tcPr>
          <w:p w14:paraId="37FDCB41">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4696197.7570</w:t>
            </w:r>
          </w:p>
        </w:tc>
        <w:tc>
          <w:tcPr>
            <w:tcW w:w="1783" w:type="pct"/>
            <w:shd w:val="clear" w:color="auto" w:fill="auto"/>
            <w:vAlign w:val="center"/>
          </w:tcPr>
          <w:p w14:paraId="7047FBDC">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40399712.8543</w:t>
            </w:r>
          </w:p>
        </w:tc>
      </w:tr>
      <w:tr w14:paraId="0AB9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21EB0172">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16</w:t>
            </w:r>
          </w:p>
        </w:tc>
        <w:tc>
          <w:tcPr>
            <w:tcW w:w="2104" w:type="pct"/>
            <w:shd w:val="clear" w:color="auto" w:fill="auto"/>
            <w:vAlign w:val="center"/>
          </w:tcPr>
          <w:p w14:paraId="4E29187A">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4696969.7570</w:t>
            </w:r>
          </w:p>
        </w:tc>
        <w:tc>
          <w:tcPr>
            <w:tcW w:w="1783" w:type="pct"/>
            <w:shd w:val="clear" w:color="auto" w:fill="auto"/>
            <w:vAlign w:val="center"/>
          </w:tcPr>
          <w:p w14:paraId="779838C5">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40399740.8543</w:t>
            </w:r>
          </w:p>
        </w:tc>
      </w:tr>
      <w:tr w14:paraId="47E0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350B26E2">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17</w:t>
            </w:r>
          </w:p>
        </w:tc>
        <w:tc>
          <w:tcPr>
            <w:tcW w:w="2104" w:type="pct"/>
            <w:shd w:val="clear" w:color="auto" w:fill="auto"/>
            <w:vAlign w:val="center"/>
          </w:tcPr>
          <w:p w14:paraId="534CC547">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4696981.7570</w:t>
            </w:r>
          </w:p>
        </w:tc>
        <w:tc>
          <w:tcPr>
            <w:tcW w:w="1783" w:type="pct"/>
            <w:shd w:val="clear" w:color="auto" w:fill="auto"/>
            <w:vAlign w:val="center"/>
          </w:tcPr>
          <w:p w14:paraId="36ADF95A">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40399417.8543</w:t>
            </w:r>
          </w:p>
        </w:tc>
      </w:tr>
      <w:tr w14:paraId="425D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3"/>
            <w:shd w:val="clear" w:color="auto" w:fill="auto"/>
            <w:vAlign w:val="center"/>
          </w:tcPr>
          <w:p w14:paraId="14B458EF">
            <w:pPr>
              <w:widowControl/>
              <w:wordWrap/>
              <w:spacing w:line="240" w:lineRule="auto"/>
              <w:ind w:firstLine="0" w:firstLineChars="0"/>
              <w:jc w:val="center"/>
              <w:rPr>
                <w:rFonts w:hint="eastAsia" w:ascii="Times New Roman" w:hAnsi="Times New Roman" w:eastAsia="宋体" w:cs="Times New Roman"/>
                <w:color w:val="auto"/>
                <w:kern w:val="0"/>
                <w:sz w:val="21"/>
                <w:szCs w:val="21"/>
                <w:lang w:eastAsia="zh-CN"/>
              </w:rPr>
            </w:pPr>
            <w:r>
              <w:rPr>
                <w:rFonts w:ascii="Times New Roman" w:hAnsi="Times New Roman" w:eastAsia="宋体" w:cs="Times New Roman"/>
                <w:color w:val="auto"/>
                <w:kern w:val="0"/>
                <w:sz w:val="21"/>
                <w:szCs w:val="21"/>
              </w:rPr>
              <w:t>面积：1.41km</w:t>
            </w:r>
            <w:r>
              <w:rPr>
                <w:rFonts w:ascii="Times New Roman" w:hAnsi="Times New Roman" w:eastAsia="宋体" w:cs="Times New Roman"/>
                <w:color w:val="auto"/>
                <w:kern w:val="0"/>
                <w:sz w:val="21"/>
                <w:szCs w:val="21"/>
                <w:vertAlign w:val="superscript"/>
              </w:rPr>
              <w:t>2</w:t>
            </w:r>
            <w:r>
              <w:rPr>
                <w:rFonts w:ascii="Times New Roman" w:hAnsi="Times New Roman" w:eastAsia="宋体" w:cs="Times New Roman"/>
                <w:color w:val="auto"/>
                <w:kern w:val="0"/>
                <w:sz w:val="21"/>
                <w:szCs w:val="21"/>
              </w:rPr>
              <w:t>，标高850-450m</w:t>
            </w:r>
            <w:r>
              <w:rPr>
                <w:rFonts w:hint="eastAsia" w:ascii="Times New Roman" w:hAnsi="Times New Roman" w:eastAsia="宋体" w:cs="Times New Roman"/>
                <w:color w:val="auto"/>
                <w:kern w:val="0"/>
                <w:sz w:val="21"/>
                <w:szCs w:val="21"/>
                <w:lang w:eastAsia="zh-CN"/>
              </w:rPr>
              <w:t>。</w:t>
            </w:r>
          </w:p>
        </w:tc>
      </w:tr>
    </w:tbl>
    <w:p w14:paraId="46536182">
      <w:pPr>
        <w:rPr>
          <w:rFonts w:hint="default"/>
          <w:color w:val="auto"/>
        </w:rPr>
        <w:sectPr>
          <w:pgSz w:w="11850" w:h="16783"/>
          <w:pgMar w:top="1418" w:right="1440" w:bottom="1418" w:left="1440" w:header="709" w:footer="709" w:gutter="0"/>
          <w:pgNumType w:fmt="decimal"/>
          <w:cols w:space="720" w:num="1"/>
          <w:docGrid w:linePitch="286" w:charSpace="0"/>
        </w:sectPr>
      </w:pPr>
    </w:p>
    <w:p w14:paraId="24530BA0">
      <w:pPr>
        <w:pStyle w:val="2"/>
        <w:rPr>
          <w:rStyle w:val="24"/>
          <w:rFonts w:hint="default" w:eastAsia="宋体" w:cs="宋体" w:asciiTheme="majorAscii" w:hAnsiTheme="majorAscii"/>
          <w:b/>
          <w:bCs/>
          <w:color w:val="auto"/>
        </w:rPr>
      </w:pPr>
      <w:bookmarkStart w:id="12" w:name="_Toc27866"/>
      <w:r>
        <w:rPr>
          <w:rStyle w:val="24"/>
          <w:rFonts w:hint="default" w:eastAsia="宋体" w:cs="宋体" w:asciiTheme="majorAscii" w:hAnsiTheme="majorAscii"/>
          <w:b/>
          <w:bCs/>
          <w:color w:val="auto"/>
        </w:rPr>
        <w:t>二、矿山地质环境治理方案的编制与执行情况</w:t>
      </w:r>
      <w:bookmarkEnd w:id="7"/>
      <w:bookmarkEnd w:id="8"/>
      <w:bookmarkEnd w:id="9"/>
      <w:bookmarkEnd w:id="10"/>
      <w:bookmarkEnd w:id="11"/>
      <w:bookmarkEnd w:id="12"/>
    </w:p>
    <w:p w14:paraId="2117A1A1">
      <w:pPr>
        <w:ind w:firstLine="562"/>
        <w:outlineLvl w:val="1"/>
        <w:rPr>
          <w:rFonts w:hint="eastAsia" w:ascii="宋体" w:hAnsi="宋体" w:eastAsia="宋体" w:cs="宋体"/>
          <w:b/>
          <w:bCs/>
          <w:color w:val="auto"/>
          <w:lang w:eastAsia="zh-CN"/>
        </w:rPr>
      </w:pPr>
      <w:bookmarkStart w:id="13" w:name="_Toc31157"/>
      <w:bookmarkStart w:id="14" w:name="_Toc21328"/>
      <w:bookmarkStart w:id="15" w:name="_Toc23438"/>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一</w:t>
      </w:r>
      <w:r>
        <w:rPr>
          <w:rFonts w:hint="eastAsia" w:ascii="宋体" w:hAnsi="宋体" w:eastAsia="宋体" w:cs="宋体"/>
          <w:b/>
          <w:bCs/>
          <w:color w:val="auto"/>
          <w:lang w:eastAsia="zh-CN"/>
        </w:rPr>
        <w:t>）矿山地质环境治理方案</w:t>
      </w:r>
      <w:bookmarkEnd w:id="13"/>
      <w:bookmarkEnd w:id="14"/>
      <w:bookmarkEnd w:id="15"/>
    </w:p>
    <w:p w14:paraId="5FFA5194">
      <w:pPr>
        <w:ind w:firstLine="560"/>
        <w:rPr>
          <w:rFonts w:hint="default" w:eastAsia="宋体" w:cs="宋体" w:asciiTheme="majorAscii" w:hAnsiTheme="majorAscii"/>
          <w:color w:val="auto"/>
          <w:sz w:val="24"/>
          <w:szCs w:val="24"/>
          <w:lang w:eastAsia="zh-CN"/>
        </w:rPr>
      </w:pPr>
      <w:r>
        <w:rPr>
          <w:rFonts w:hint="default" w:eastAsia="宋体" w:cs="宋体" w:asciiTheme="majorAscii" w:hAnsiTheme="majorAscii"/>
          <w:color w:val="auto"/>
          <w:sz w:val="24"/>
          <w:szCs w:val="24"/>
          <w:lang w:eastAsia="zh-CN"/>
        </w:rPr>
        <w:t>松山区白脸子山沸石矿属</w:t>
      </w:r>
      <w:r>
        <w:rPr>
          <w:rFonts w:hint="default" w:eastAsia="宋体" w:cs="宋体" w:asciiTheme="majorAscii" w:hAnsiTheme="majorAscii"/>
          <w:color w:val="auto"/>
          <w:sz w:val="24"/>
          <w:szCs w:val="24"/>
        </w:rPr>
        <w:t>探转采新建矿山，</w:t>
      </w:r>
      <w:r>
        <w:rPr>
          <w:rFonts w:hint="default" w:eastAsia="宋体" w:cs="宋体" w:asciiTheme="majorAscii" w:hAnsiTheme="majorAscii"/>
          <w:color w:val="auto"/>
          <w:sz w:val="24"/>
          <w:szCs w:val="24"/>
          <w:lang w:val="en-US" w:eastAsia="zh-CN"/>
        </w:rPr>
        <w:t>采矿权人赤峰矿业（集团）有限责任公司于202</w:t>
      </w:r>
      <w:r>
        <w:rPr>
          <w:rFonts w:hint="eastAsia" w:eastAsia="宋体" w:cs="宋体" w:asciiTheme="majorAscii" w:hAnsiTheme="majorAscii"/>
          <w:color w:val="auto"/>
          <w:sz w:val="24"/>
          <w:szCs w:val="24"/>
          <w:lang w:val="en-US" w:eastAsia="zh-CN"/>
        </w:rPr>
        <w:t>0</w:t>
      </w:r>
      <w:r>
        <w:rPr>
          <w:rFonts w:hint="default" w:eastAsia="宋体" w:cs="宋体" w:asciiTheme="majorAscii" w:hAnsiTheme="majorAscii"/>
          <w:color w:val="auto"/>
          <w:sz w:val="24"/>
          <w:szCs w:val="24"/>
          <w:lang w:val="en-US" w:eastAsia="zh-CN"/>
        </w:rPr>
        <w:t>年1月委托河北人地生态工程有限公司</w:t>
      </w:r>
      <w:r>
        <w:rPr>
          <w:rFonts w:hint="eastAsia" w:eastAsia="宋体" w:cs="宋体" w:asciiTheme="majorAscii" w:hAnsiTheme="majorAscii"/>
          <w:color w:val="auto"/>
          <w:sz w:val="24"/>
          <w:szCs w:val="24"/>
          <w:lang w:val="en-US" w:eastAsia="zh-CN"/>
        </w:rPr>
        <w:t>编制了</w:t>
      </w:r>
      <w:r>
        <w:rPr>
          <w:rFonts w:hint="default" w:eastAsia="宋体" w:cs="宋体" w:asciiTheme="majorAscii" w:hAnsiTheme="majorAscii"/>
          <w:color w:val="auto"/>
          <w:sz w:val="24"/>
          <w:szCs w:val="24"/>
          <w:lang w:val="en-US" w:eastAsia="zh-CN"/>
        </w:rPr>
        <w:t>《内蒙古自治区赤峰市松山区白脸子山沸石矿矿山地质环境治理方案》，以下简称《方案》</w:t>
      </w:r>
      <w:r>
        <w:rPr>
          <w:rFonts w:hint="default" w:eastAsia="宋体" w:cs="宋体" w:asciiTheme="majorAscii" w:hAnsiTheme="majorAscii"/>
          <w:color w:val="auto"/>
          <w:sz w:val="24"/>
          <w:szCs w:val="24"/>
          <w:lang w:eastAsia="zh-CN"/>
        </w:rPr>
        <w:t>。</w:t>
      </w:r>
    </w:p>
    <w:p w14:paraId="55EC5B5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w:t>
      </w:r>
      <w:r>
        <w:rPr>
          <w:rFonts w:hint="eastAsia"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月</w:t>
      </w:r>
      <w:r>
        <w:rPr>
          <w:rFonts w:hint="eastAsia" w:ascii="Times New Roman" w:hAnsi="Times New Roman" w:eastAsia="宋体" w:cs="Times New Roman"/>
          <w:color w:val="auto"/>
          <w:sz w:val="24"/>
          <w:szCs w:val="24"/>
          <w:lang w:val="en-US" w:eastAsia="zh-CN"/>
        </w:rPr>
        <w:t>24</w:t>
      </w:r>
      <w:r>
        <w:rPr>
          <w:rFonts w:hint="default" w:ascii="Times New Roman" w:hAnsi="Times New Roman" w:eastAsia="宋体" w:cs="Times New Roman"/>
          <w:color w:val="auto"/>
          <w:sz w:val="24"/>
          <w:szCs w:val="24"/>
          <w:lang w:val="en-US" w:eastAsia="zh-CN"/>
        </w:rPr>
        <w:t>日，受赤峰市自然资源局委托，内蒙古</w:t>
      </w:r>
      <w:r>
        <w:rPr>
          <w:rFonts w:hint="eastAsia" w:ascii="Times New Roman" w:hAnsi="Times New Roman" w:eastAsia="宋体" w:cs="Times New Roman"/>
          <w:color w:val="auto"/>
          <w:sz w:val="24"/>
          <w:szCs w:val="24"/>
          <w:lang w:val="en-US" w:eastAsia="zh-CN"/>
        </w:rPr>
        <w:t>自治区地质环境监测院赤峰分院</w:t>
      </w:r>
      <w:r>
        <w:rPr>
          <w:rFonts w:hint="default" w:ascii="Times New Roman" w:hAnsi="Times New Roman" w:eastAsia="宋体" w:cs="Times New Roman"/>
          <w:color w:val="auto"/>
          <w:sz w:val="24"/>
          <w:szCs w:val="24"/>
          <w:lang w:val="en-US" w:eastAsia="zh-CN"/>
        </w:rPr>
        <w:t>组织有关专家在赤峰市召开会议，对由</w:t>
      </w:r>
      <w:r>
        <w:rPr>
          <w:rFonts w:hint="eastAsia" w:ascii="Times New Roman" w:hAnsi="Times New Roman" w:eastAsia="宋体" w:cs="Times New Roman"/>
          <w:color w:val="auto"/>
          <w:sz w:val="24"/>
          <w:szCs w:val="24"/>
          <w:lang w:val="en-US" w:eastAsia="zh-CN"/>
        </w:rPr>
        <w:t>河北人地生态工程有限公司</w:t>
      </w:r>
      <w:r>
        <w:rPr>
          <w:rFonts w:hint="default" w:ascii="Times New Roman" w:hAnsi="Times New Roman" w:eastAsia="宋体" w:cs="Times New Roman"/>
          <w:color w:val="auto"/>
          <w:sz w:val="24"/>
          <w:szCs w:val="24"/>
          <w:lang w:val="en-US" w:eastAsia="zh-CN"/>
        </w:rPr>
        <w:t>编制、赤峰矿业（集团）有限责任公司提交的《内蒙古自治区赤峰市松山区白脸子山沸石矿矿山地质环境治理方案》(以下简称《</w:t>
      </w:r>
      <w:r>
        <w:rPr>
          <w:rFonts w:hint="eastAsia" w:ascii="Times New Roman" w:hAnsi="Times New Roman" w:eastAsia="宋体" w:cs="Times New Roman"/>
          <w:color w:val="auto"/>
          <w:sz w:val="24"/>
          <w:szCs w:val="24"/>
          <w:lang w:val="en-US" w:eastAsia="zh-CN"/>
        </w:rPr>
        <w:t>治理</w:t>
      </w:r>
      <w:r>
        <w:rPr>
          <w:rFonts w:hint="default" w:ascii="Times New Roman" w:hAnsi="Times New Roman" w:eastAsia="宋体" w:cs="Times New Roman"/>
          <w:color w:val="auto"/>
          <w:sz w:val="24"/>
          <w:szCs w:val="24"/>
          <w:lang w:val="en-US" w:eastAsia="zh-CN"/>
        </w:rPr>
        <w:t>方案》)进行了审查。</w:t>
      </w:r>
    </w:p>
    <w:p w14:paraId="5D0BA78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评审结果，《</w:t>
      </w:r>
      <w:r>
        <w:rPr>
          <w:rFonts w:hint="eastAsia" w:ascii="Times New Roman" w:hAnsi="Times New Roman" w:eastAsia="宋体" w:cs="Times New Roman"/>
          <w:color w:val="auto"/>
          <w:sz w:val="24"/>
          <w:szCs w:val="24"/>
          <w:lang w:val="en-US" w:eastAsia="zh-CN"/>
        </w:rPr>
        <w:t>治理</w:t>
      </w:r>
      <w:r>
        <w:rPr>
          <w:rFonts w:hint="default" w:ascii="Times New Roman" w:hAnsi="Times New Roman" w:eastAsia="宋体" w:cs="Times New Roman"/>
          <w:color w:val="auto"/>
          <w:sz w:val="24"/>
          <w:szCs w:val="24"/>
          <w:lang w:val="en-US" w:eastAsia="zh-CN"/>
        </w:rPr>
        <w:t>方案》通过了内蒙古</w:t>
      </w:r>
      <w:r>
        <w:rPr>
          <w:rFonts w:hint="eastAsia" w:ascii="Times New Roman" w:hAnsi="Times New Roman" w:eastAsia="宋体" w:cs="Times New Roman"/>
          <w:color w:val="auto"/>
          <w:sz w:val="24"/>
          <w:szCs w:val="24"/>
          <w:lang w:val="en-US" w:eastAsia="zh-CN"/>
        </w:rPr>
        <w:t>自治区地质环境监测院赤峰分院</w:t>
      </w:r>
      <w:r>
        <w:rPr>
          <w:rFonts w:hint="default" w:ascii="Times New Roman" w:hAnsi="Times New Roman" w:eastAsia="宋体" w:cs="Times New Roman"/>
          <w:color w:val="auto"/>
          <w:sz w:val="24"/>
          <w:szCs w:val="24"/>
          <w:lang w:val="en-US" w:eastAsia="zh-CN"/>
        </w:rPr>
        <w:t>组织的专家审查（评审文号：赤矿治评字[20</w:t>
      </w:r>
      <w:r>
        <w:rPr>
          <w:rFonts w:hint="eastAsia"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031</w:t>
      </w:r>
      <w:r>
        <w:rPr>
          <w:rFonts w:hint="default" w:ascii="Times New Roman" w:hAnsi="Times New Roman" w:eastAsia="宋体" w:cs="Times New Roman"/>
          <w:color w:val="auto"/>
          <w:sz w:val="24"/>
          <w:szCs w:val="24"/>
          <w:lang w:val="en-US" w:eastAsia="zh-CN"/>
        </w:rPr>
        <w:t>号）。</w:t>
      </w:r>
    </w:p>
    <w:p w14:paraId="49C94989">
      <w:pPr>
        <w:keepNext w:val="0"/>
        <w:keepLines w:val="0"/>
        <w:pageBreakBefore w:val="0"/>
        <w:widowControl w:val="0"/>
        <w:kinsoku/>
        <w:wordWrap w:val="0"/>
        <w:overflowPunct/>
        <w:topLinePunct w:val="0"/>
        <w:autoSpaceDE/>
        <w:autoSpaceDN/>
        <w:bidi w:val="0"/>
        <w:adjustRightInd/>
        <w:snapToGrid/>
        <w:ind w:firstLine="560"/>
        <w:textAlignment w:val="auto"/>
        <w:outlineLvl w:val="1"/>
        <w:rPr>
          <w:rFonts w:hint="eastAsia" w:ascii="宋体" w:hAnsi="宋体" w:eastAsia="宋体" w:cs="宋体"/>
          <w:color w:val="auto"/>
          <w:lang w:eastAsia="zh-CN"/>
        </w:rPr>
      </w:pPr>
      <w:bookmarkStart w:id="16" w:name="_Toc30271"/>
      <w:bookmarkStart w:id="17" w:name="_Toc24674"/>
      <w:bookmarkStart w:id="18" w:name="_Toc1068"/>
      <w:bookmarkStart w:id="19" w:name="_Toc2635"/>
      <w:r>
        <w:rPr>
          <w:rFonts w:hint="eastAsia" w:ascii="Times New Roman" w:hAnsi="Times New Roman" w:eastAsia="宋体" w:cs="Times New Roman"/>
          <w:b/>
          <w:bCs/>
          <w:color w:val="auto"/>
          <w:sz w:val="28"/>
          <w:szCs w:val="28"/>
          <w:lang w:val="en-US" w:eastAsia="zh-CN"/>
        </w:rPr>
        <w:t>（二）</w:t>
      </w:r>
      <w:r>
        <w:rPr>
          <w:rFonts w:hint="default" w:ascii="Times New Roman" w:hAnsi="Times New Roman" w:eastAsia="宋体" w:cs="Times New Roman"/>
          <w:b/>
          <w:bCs/>
          <w:color w:val="auto"/>
          <w:sz w:val="28"/>
          <w:szCs w:val="28"/>
          <w:lang w:val="en-US" w:eastAsia="zh-CN"/>
        </w:rPr>
        <w:t>治理方案规划的近期治理工程内容</w:t>
      </w:r>
      <w:bookmarkEnd w:id="16"/>
      <w:bookmarkEnd w:id="17"/>
      <w:bookmarkEnd w:id="18"/>
      <w:bookmarkEnd w:id="19"/>
    </w:p>
    <w:p w14:paraId="6733CBEA">
      <w:pPr>
        <w:pStyle w:val="59"/>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bCs/>
          <w:color w:val="auto"/>
          <w:sz w:val="28"/>
          <w:szCs w:val="28"/>
          <w:lang w:val="en-US" w:eastAsia="zh-CN"/>
        </w:rPr>
      </w:pPr>
      <w:r>
        <w:rPr>
          <w:rFonts w:hint="default" w:ascii="Times New Roman" w:hAnsi="Times New Roman" w:eastAsia="宋体" w:cs="Times New Roman"/>
          <w:color w:val="auto"/>
          <w:sz w:val="24"/>
          <w:szCs w:val="24"/>
          <w:lang w:val="en-US" w:eastAsia="zh-CN"/>
        </w:rPr>
        <w:t>《内蒙古自治区赤峰市松山区白脸子山沸石矿矿山地质环境治理方案》规划的近期（首期）治理工程实施时间为2020年7月1日-2025年6月30日</w:t>
      </w:r>
      <w:r>
        <w:rPr>
          <w:rFonts w:hint="eastAsia" w:cs="Times New Roman"/>
          <w:color w:val="auto"/>
          <w:sz w:val="24"/>
          <w:szCs w:val="24"/>
          <w:lang w:val="en-US" w:eastAsia="zh-CN"/>
        </w:rPr>
        <w:t>，已完成治理内容，由于矿山暂未生产，根据治理方案规划，本年度治理内容为监测。</w:t>
      </w:r>
      <w:bookmarkStart w:id="20" w:name="_Toc26916"/>
      <w:bookmarkStart w:id="21" w:name="_Toc19544"/>
      <w:bookmarkStart w:id="22" w:name="_Toc18291"/>
      <w:bookmarkStart w:id="23" w:name="_Toc30094"/>
      <w:bookmarkStart w:id="24" w:name="_Toc30380"/>
      <w:bookmarkStart w:id="25" w:name="_Toc771"/>
    </w:p>
    <w:p w14:paraId="4CDD58D3">
      <w:pPr>
        <w:ind w:firstLine="562"/>
        <w:outlineLvl w:val="1"/>
        <w:rPr>
          <w:rFonts w:hint="eastAsia" w:ascii="宋体" w:hAnsi="宋体" w:eastAsia="宋体" w:cs="宋体"/>
          <w:b/>
          <w:bCs/>
          <w:color w:val="auto"/>
          <w:lang w:val="en-US" w:eastAsia="zh-CN"/>
        </w:rPr>
      </w:pPr>
      <w:bookmarkStart w:id="26" w:name="_Toc22283"/>
      <w:bookmarkStart w:id="27" w:name="_Toc31149"/>
      <w:r>
        <w:rPr>
          <w:rFonts w:hint="eastAsia"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lang w:val="en-US" w:eastAsia="zh-CN"/>
        </w:rPr>
        <w:t>矿山地质环境治理方案执行情况</w:t>
      </w:r>
      <w:bookmarkEnd w:id="20"/>
      <w:bookmarkEnd w:id="21"/>
      <w:bookmarkEnd w:id="22"/>
      <w:bookmarkEnd w:id="23"/>
      <w:bookmarkEnd w:id="24"/>
      <w:bookmarkEnd w:id="25"/>
      <w:bookmarkEnd w:id="26"/>
      <w:bookmarkEnd w:id="27"/>
    </w:p>
    <w:p w14:paraId="5D97622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0"/>
          <w:sz w:val="24"/>
          <w:szCs w:val="24"/>
          <w:lang w:val="zh-CN" w:eastAsia="zh-CN" w:bidi="ar"/>
        </w:rPr>
        <w:t>内蒙古自治区赤峰市松山区白脸子山沸石矿</w:t>
      </w:r>
      <w:r>
        <w:rPr>
          <w:rFonts w:hint="default" w:ascii="Times New Roman" w:hAnsi="Times New Roman" w:eastAsia="宋体" w:cs="Times New Roman"/>
          <w:color w:val="auto"/>
          <w:sz w:val="24"/>
          <w:szCs w:val="24"/>
          <w:lang w:val="en-US" w:eastAsia="zh-CN"/>
        </w:rPr>
        <w:t>属于新建矿山（现状尚未基建），无生产历史，矿区仅实施过探矿工程。2016年6月29日赤峰市政府同意将</w:t>
      </w:r>
      <w:r>
        <w:rPr>
          <w:rFonts w:hint="eastAsia" w:ascii="Times New Roman" w:hAnsi="Times New Roman" w:eastAsia="宋体" w:cs="Times New Roman"/>
          <w:color w:val="auto"/>
          <w:kern w:val="0"/>
          <w:sz w:val="24"/>
          <w:szCs w:val="24"/>
          <w:lang w:val="zh-CN" w:eastAsia="zh-CN" w:bidi="ar"/>
        </w:rPr>
        <w:t>内蒙古自治区赤峰市松山区白脸子山沸石矿</w:t>
      </w:r>
      <w:r>
        <w:rPr>
          <w:rFonts w:hint="default" w:ascii="Times New Roman" w:hAnsi="Times New Roman" w:eastAsia="宋体" w:cs="Times New Roman"/>
          <w:color w:val="auto"/>
          <w:sz w:val="24"/>
          <w:szCs w:val="24"/>
          <w:lang w:val="en-US" w:eastAsia="zh-CN"/>
        </w:rPr>
        <w:t>矿权转让至赤峰矿业（集团）有限责任公司后，仅在202</w:t>
      </w:r>
      <w:r>
        <w:rPr>
          <w:rFonts w:hint="eastAsia"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lang w:val="en-US" w:eastAsia="zh-CN"/>
        </w:rPr>
        <w:t>年度委托资质单位编制了《内蒙古自治区赤峰市松山区白脸子山沸石矿矿山地质环境治理方案》，现状条件下</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治理</w:t>
      </w:r>
      <w:r>
        <w:rPr>
          <w:rFonts w:hint="default" w:ascii="Times New Roman" w:hAnsi="Times New Roman" w:eastAsia="宋体" w:cs="Times New Roman"/>
          <w:color w:val="auto"/>
          <w:kern w:val="2"/>
          <w:sz w:val="24"/>
          <w:szCs w:val="24"/>
          <w:lang w:val="en-US" w:eastAsia="zh-CN" w:bidi="ar"/>
        </w:rPr>
        <w:t>方案》</w:t>
      </w:r>
      <w:r>
        <w:rPr>
          <w:rFonts w:hint="eastAsia" w:ascii="Times New Roman" w:hAnsi="Times New Roman" w:eastAsia="宋体" w:cs="Times New Roman"/>
          <w:color w:val="auto"/>
          <w:kern w:val="2"/>
          <w:sz w:val="24"/>
          <w:szCs w:val="24"/>
          <w:lang w:val="en-US" w:eastAsia="zh-CN" w:bidi="ar"/>
        </w:rPr>
        <w:t>中所规划的</w:t>
      </w:r>
      <w:r>
        <w:rPr>
          <w:rFonts w:hint="default" w:ascii="Times New Roman" w:hAnsi="Times New Roman" w:eastAsia="宋体" w:cs="Times New Roman"/>
          <w:color w:val="auto"/>
          <w:kern w:val="2"/>
          <w:sz w:val="24"/>
          <w:szCs w:val="24"/>
          <w:lang w:val="en-US" w:eastAsia="zh-CN" w:bidi="ar"/>
        </w:rPr>
        <w:t>前期探矿形成</w:t>
      </w:r>
      <w:r>
        <w:rPr>
          <w:rFonts w:hint="eastAsia" w:ascii="Times New Roman" w:hAnsi="Times New Roman" w:eastAsia="宋体" w:cs="Times New Roman"/>
          <w:color w:val="auto"/>
          <w:kern w:val="2"/>
          <w:sz w:val="24"/>
          <w:szCs w:val="24"/>
          <w:lang w:val="en-US" w:eastAsia="zh-CN" w:bidi="ar"/>
        </w:rPr>
        <w:t>的</w:t>
      </w:r>
      <w:r>
        <w:rPr>
          <w:rFonts w:hint="default" w:ascii="Times New Roman" w:hAnsi="Times New Roman" w:eastAsia="宋体" w:cs="Times New Roman"/>
          <w:color w:val="auto"/>
          <w:kern w:val="2"/>
          <w:sz w:val="24"/>
          <w:szCs w:val="24"/>
          <w:lang w:val="en-US" w:eastAsia="zh-CN" w:bidi="ar"/>
        </w:rPr>
        <w:t>钻机平台、探坑、</w:t>
      </w:r>
      <w:r>
        <w:rPr>
          <w:rFonts w:hint="eastAsia" w:ascii="Times New Roman" w:hAnsi="Times New Roman" w:eastAsia="宋体" w:cs="Times New Roman"/>
          <w:color w:val="auto"/>
          <w:kern w:val="2"/>
          <w:sz w:val="24"/>
          <w:szCs w:val="24"/>
          <w:lang w:val="en-US" w:eastAsia="zh-CN" w:bidi="ar"/>
        </w:rPr>
        <w:t>废渣堆、</w:t>
      </w:r>
      <w:r>
        <w:rPr>
          <w:rFonts w:hint="default" w:ascii="Times New Roman" w:hAnsi="Times New Roman" w:eastAsia="宋体" w:cs="Times New Roman"/>
          <w:color w:val="auto"/>
          <w:kern w:val="2"/>
          <w:sz w:val="24"/>
          <w:szCs w:val="24"/>
          <w:lang w:val="en-US" w:eastAsia="zh-CN" w:bidi="ar"/>
        </w:rPr>
        <w:t>矿区道路</w:t>
      </w:r>
      <w:r>
        <w:rPr>
          <w:rFonts w:hint="eastAsia" w:ascii="Times New Roman" w:hAnsi="Times New Roman" w:eastAsia="宋体" w:cs="Times New Roman"/>
          <w:color w:val="auto"/>
          <w:kern w:val="2"/>
          <w:sz w:val="24"/>
          <w:szCs w:val="24"/>
          <w:lang w:val="en-US" w:eastAsia="zh-CN" w:bidi="ar"/>
        </w:rPr>
        <w:t>以及历史遗留</w:t>
      </w:r>
      <w:r>
        <w:rPr>
          <w:rFonts w:hint="default" w:ascii="Times New Roman" w:hAnsi="Times New Roman" w:eastAsia="宋体" w:cs="Times New Roman"/>
          <w:color w:val="auto"/>
          <w:kern w:val="2"/>
          <w:sz w:val="24"/>
          <w:szCs w:val="24"/>
          <w:lang w:val="en-US" w:eastAsia="zh-CN" w:bidi="ar"/>
        </w:rPr>
        <w:t>的</w:t>
      </w:r>
      <w:r>
        <w:rPr>
          <w:rFonts w:hint="eastAsia" w:ascii="Times New Roman" w:hAnsi="Times New Roman" w:eastAsia="宋体" w:cs="Times New Roman"/>
          <w:color w:val="auto"/>
          <w:kern w:val="2"/>
          <w:sz w:val="24"/>
          <w:szCs w:val="24"/>
          <w:lang w:val="en-US" w:eastAsia="zh-CN" w:bidi="ar"/>
        </w:rPr>
        <w:t>露天采坑</w:t>
      </w:r>
      <w:r>
        <w:rPr>
          <w:rFonts w:hint="default" w:ascii="Times New Roman" w:hAnsi="Times New Roman" w:eastAsia="宋体" w:cs="Times New Roman"/>
          <w:color w:val="auto"/>
          <w:kern w:val="2"/>
          <w:sz w:val="24"/>
          <w:szCs w:val="24"/>
          <w:lang w:val="en-US" w:eastAsia="zh-CN" w:bidi="ar"/>
        </w:rPr>
        <w:t>、废石堆等单元破坏地形地貌景观、占用和损毁土地资源存在的地质环境问题。</w:t>
      </w:r>
      <w:r>
        <w:rPr>
          <w:rFonts w:hint="default" w:ascii="Times New Roman" w:hAnsi="Times New Roman" w:eastAsia="宋体" w:cs="Times New Roman"/>
          <w:color w:val="auto"/>
          <w:sz w:val="24"/>
          <w:szCs w:val="24"/>
          <w:lang w:val="en-US" w:eastAsia="zh-CN"/>
        </w:rPr>
        <w:t>依据《</w:t>
      </w:r>
      <w:r>
        <w:rPr>
          <w:rFonts w:hint="eastAsia" w:ascii="Times New Roman" w:hAnsi="Times New Roman" w:eastAsia="宋体" w:cs="Times New Roman"/>
          <w:color w:val="auto"/>
          <w:sz w:val="24"/>
          <w:szCs w:val="24"/>
          <w:lang w:val="en-US" w:eastAsia="zh-CN"/>
        </w:rPr>
        <w:t>赤峰市松山区白脸子山沸石矿（2021、2022、2023、2024、2025）年度</w:t>
      </w:r>
      <w:r>
        <w:rPr>
          <w:rFonts w:hint="default" w:ascii="Times New Roman" w:hAnsi="Times New Roman" w:eastAsia="宋体" w:cs="Times New Roman"/>
          <w:color w:val="auto"/>
          <w:sz w:val="24"/>
          <w:szCs w:val="24"/>
          <w:lang w:val="en-US" w:eastAsia="zh-CN"/>
        </w:rPr>
        <w:t>矿山地质环境治理计划书》</w:t>
      </w:r>
      <w:r>
        <w:rPr>
          <w:rFonts w:hint="eastAsia" w:ascii="Times New Roman" w:hAnsi="Times New Roman" w:eastAsia="宋体" w:cs="Times New Roman"/>
          <w:color w:val="auto"/>
          <w:kern w:val="2"/>
          <w:sz w:val="24"/>
          <w:szCs w:val="24"/>
          <w:lang w:val="en-US" w:eastAsia="zh-CN" w:bidi="ar"/>
        </w:rPr>
        <w:t>对矿山影响矿山地貌景观的单元逐年进行治理，具体完成情况如下：</w:t>
      </w:r>
    </w:p>
    <w:p w14:paraId="3FDA9B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b/>
          <w:bCs/>
          <w:color w:val="auto"/>
          <w:kern w:val="2"/>
          <w:sz w:val="24"/>
          <w:szCs w:val="24"/>
          <w:lang w:val="en-US" w:eastAsia="zh-CN" w:bidi="ar"/>
        </w:rPr>
        <w:t>2021年度</w:t>
      </w:r>
    </w:p>
    <w:p w14:paraId="705584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治理工程设计：</w:t>
      </w:r>
      <w:r>
        <w:rPr>
          <w:rFonts w:hint="eastAsia" w:ascii="Times New Roman" w:hAnsi="Times New Roman" w:eastAsia="楷体" w:cs="Times New Roman"/>
          <w:color w:val="auto"/>
          <w:sz w:val="24"/>
          <w:szCs w:val="24"/>
          <w:lang w:eastAsia="zh-CN"/>
        </w:rPr>
        <w:t>2</w:t>
      </w:r>
      <w:r>
        <w:rPr>
          <w:rFonts w:hint="eastAsia" w:ascii="Times New Roman" w:hAnsi="Times New Roman" w:eastAsia="宋体" w:cs="Times New Roman"/>
          <w:color w:val="auto"/>
          <w:sz w:val="24"/>
          <w:szCs w:val="24"/>
          <w:lang w:val="en-US" w:eastAsia="zh-CN"/>
        </w:rPr>
        <w:t>021年度</w:t>
      </w:r>
      <w:r>
        <w:rPr>
          <w:rFonts w:hint="default" w:ascii="Times New Roman" w:hAnsi="Times New Roman" w:eastAsia="宋体" w:cs="Times New Roman"/>
          <w:color w:val="auto"/>
          <w:sz w:val="24"/>
          <w:szCs w:val="24"/>
          <w:lang w:val="en-US" w:eastAsia="zh-CN"/>
        </w:rPr>
        <w:t>对</w:t>
      </w:r>
      <w:r>
        <w:rPr>
          <w:rFonts w:hint="eastAsia" w:ascii="Times New Roman" w:hAnsi="Times New Roman" w:eastAsia="宋体" w:cs="Times New Roman"/>
          <w:color w:val="auto"/>
          <w:sz w:val="24"/>
          <w:szCs w:val="24"/>
          <w:lang w:val="en-US" w:eastAsia="zh-CN"/>
        </w:rPr>
        <w:t>钻机平台进行垫坡整形、石方整平（后期资源储量勘探工程还需要利用，暂不设计覆土及植被恢复工程）。对矿区道路DL1进行垫坡整形及石方整平、覆土及土方整平、种草；对矿区道路DL6随坡排放的废石进行坡面整形、覆土及土方整平、种草。</w:t>
      </w:r>
      <w:r>
        <w:rPr>
          <w:rFonts w:hint="default" w:ascii="Times New Roman" w:hAnsi="Times New Roman" w:eastAsia="宋体" w:cs="Times New Roman"/>
          <w:color w:val="auto"/>
          <w:sz w:val="24"/>
          <w:szCs w:val="24"/>
          <w:lang w:val="en-US" w:eastAsia="zh-CN"/>
        </w:rPr>
        <w:t>对</w:t>
      </w:r>
      <w:r>
        <w:rPr>
          <w:rFonts w:hint="eastAsia" w:ascii="Times New Roman" w:hAnsi="Times New Roman" w:eastAsia="宋体" w:cs="Times New Roman"/>
          <w:color w:val="auto"/>
          <w:sz w:val="24"/>
          <w:szCs w:val="24"/>
          <w:lang w:val="en-US" w:eastAsia="zh-CN"/>
        </w:rPr>
        <w:t>矿区</w:t>
      </w:r>
      <w:r>
        <w:rPr>
          <w:rFonts w:hint="default" w:ascii="Times New Roman" w:hAnsi="Times New Roman" w:eastAsia="宋体" w:cs="Times New Roman"/>
          <w:color w:val="auto"/>
          <w:sz w:val="24"/>
          <w:szCs w:val="24"/>
          <w:lang w:val="en-US" w:eastAsia="zh-CN"/>
        </w:rPr>
        <w:t>地形地貌景观及土地资源进行监测。</w:t>
      </w:r>
    </w:p>
    <w:p w14:paraId="391DDA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完成情况：</w:t>
      </w:r>
      <w:r>
        <w:rPr>
          <w:rFonts w:hint="default" w:ascii="Times New Roman" w:hAnsi="Times New Roman" w:eastAsia="宋体" w:cs="Times New Roman"/>
          <w:color w:val="auto"/>
          <w:kern w:val="2"/>
          <w:sz w:val="24"/>
          <w:szCs w:val="24"/>
          <w:lang w:val="en-US" w:eastAsia="zh-CN" w:bidi="ar"/>
        </w:rPr>
        <w:t>2023年</w:t>
      </w:r>
      <w:r>
        <w:rPr>
          <w:rFonts w:hint="eastAsia" w:ascii="Times New Roman" w:hAnsi="Times New Roman" w:eastAsia="宋体"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月</w:t>
      </w:r>
      <w:r>
        <w:rPr>
          <w:rFonts w:hint="eastAsia" w:ascii="Times New Roman" w:hAnsi="Times New Roman" w:eastAsia="宋体" w:cs="Times New Roman"/>
          <w:color w:val="auto"/>
          <w:kern w:val="2"/>
          <w:sz w:val="24"/>
          <w:szCs w:val="24"/>
          <w:lang w:val="en-US" w:eastAsia="zh-CN" w:bidi="ar"/>
        </w:rPr>
        <w:t>05</w:t>
      </w:r>
      <w:r>
        <w:rPr>
          <w:rFonts w:hint="default" w:ascii="Times New Roman" w:hAnsi="Times New Roman" w:eastAsia="宋体" w:cs="Times New Roman"/>
          <w:color w:val="auto"/>
          <w:kern w:val="2"/>
          <w:sz w:val="24"/>
          <w:szCs w:val="24"/>
          <w:lang w:val="en-US" w:eastAsia="zh-CN" w:bidi="ar"/>
        </w:rPr>
        <w:t>日，赤峰市自然资源局松山区分局组织有关专家组成核查组对</w:t>
      </w:r>
      <w:r>
        <w:rPr>
          <w:rFonts w:hint="default" w:ascii="Times New Roman" w:hAnsi="Times New Roman" w:eastAsia="宋体" w:cs="Times New Roman"/>
          <w:color w:val="auto"/>
          <w:sz w:val="24"/>
          <w:szCs w:val="24"/>
          <w:lang w:val="en-US" w:eastAsia="zh-CN"/>
        </w:rPr>
        <w:t>《赤峰矿业（集团）有限责任公司松山区白脸子山沸石矿202</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年度矿山地质环境治理计划书》</w:t>
      </w:r>
      <w:r>
        <w:rPr>
          <w:rFonts w:hint="default" w:ascii="Times New Roman" w:hAnsi="Times New Roman" w:eastAsia="宋体" w:cs="Times New Roman"/>
          <w:color w:val="auto"/>
          <w:kern w:val="2"/>
          <w:sz w:val="24"/>
          <w:szCs w:val="24"/>
          <w:lang w:val="en-US" w:eastAsia="zh-CN" w:bidi="ar"/>
        </w:rPr>
        <w:t>执行情况进行了现场核查。</w:t>
      </w:r>
    </w:p>
    <w:p w14:paraId="60160E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经现场核查，</w:t>
      </w:r>
      <w:r>
        <w:rPr>
          <w:rFonts w:hint="eastAsia" w:ascii="Times New Roman" w:hAnsi="Times New Roman" w:eastAsia="宋体" w:cs="Times New Roman"/>
          <w:color w:val="auto"/>
          <w:sz w:val="24"/>
          <w:szCs w:val="24"/>
          <w:lang w:val="en-US" w:eastAsia="zh-CN"/>
        </w:rPr>
        <w:t>基本完成矿区道路DL1的垫坡整形及石方整平、覆土及土方整平、种草；基本完成矿区道路DL6随坡排放的废石的坡面整形、覆土及土方整平、种草</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根据核查现场专家组的要求，矿山已开始</w:t>
      </w:r>
      <w:r>
        <w:rPr>
          <w:rFonts w:hint="default" w:ascii="Times New Roman" w:hAnsi="Times New Roman" w:eastAsia="宋体" w:cs="Times New Roman"/>
          <w:color w:val="auto"/>
          <w:sz w:val="24"/>
          <w:szCs w:val="24"/>
          <w:lang w:val="en-US" w:eastAsia="zh-CN"/>
        </w:rPr>
        <w:t>对矿区地形地貌景观及土地资源进行监测。</w:t>
      </w:r>
    </w:p>
    <w:p w14:paraId="784F9F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专家组认为，矿山基本完成了《</w:t>
      </w:r>
      <w:r>
        <w:rPr>
          <w:rFonts w:hint="eastAsia" w:ascii="Times New Roman" w:hAnsi="Times New Roman" w:eastAsia="宋体" w:cs="Times New Roman"/>
          <w:color w:val="auto"/>
          <w:sz w:val="24"/>
          <w:szCs w:val="24"/>
          <w:lang w:val="en-US" w:eastAsia="zh-CN"/>
        </w:rPr>
        <w:t>赤峰市松山区白脸子山沸石矿</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年度矿山地质环境治理计划书》设计的治理工程</w:t>
      </w:r>
      <w:r>
        <w:rPr>
          <w:rFonts w:hint="eastAsia" w:ascii="Times New Roman" w:hAnsi="Times New Roman" w:eastAsia="宋体" w:cs="Times New Roman"/>
          <w:color w:val="auto"/>
          <w:sz w:val="24"/>
          <w:szCs w:val="24"/>
          <w:lang w:val="en-US" w:eastAsia="zh-CN"/>
        </w:rPr>
        <w:t>内容</w:t>
      </w:r>
      <w:r>
        <w:rPr>
          <w:rFonts w:hint="default" w:ascii="Times New Roman" w:hAnsi="Times New Roman" w:eastAsia="宋体" w:cs="Times New Roman"/>
          <w:color w:val="auto"/>
          <w:sz w:val="24"/>
          <w:szCs w:val="24"/>
          <w:lang w:val="en-US" w:eastAsia="zh-CN"/>
        </w:rPr>
        <w:t>，治理工程效果基本符合年度治理计划书的要求。</w:t>
      </w:r>
      <w:r>
        <w:rPr>
          <w:rFonts w:hint="eastAsia" w:ascii="Times New Roman" w:hAnsi="Times New Roman" w:eastAsia="宋体" w:cs="Times New Roman"/>
          <w:color w:val="auto"/>
          <w:sz w:val="24"/>
          <w:szCs w:val="24"/>
          <w:lang w:val="en-US" w:eastAsia="zh-CN"/>
        </w:rPr>
        <w:t>赤峰市松山区白脸子山沸石矿</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年度矿山地质环境治理工程通过了专家组的核查。</w:t>
      </w:r>
    </w:p>
    <w:p w14:paraId="3E79E2BF">
      <w:pPr>
        <w:pStyle w:val="23"/>
        <w:jc w:val="center"/>
        <w:rPr>
          <w:rFonts w:hint="eastAsia" w:ascii="Times New Roman" w:hAnsi="Times New Roman" w:eastAsia="宋体" w:cs="Times New Roman"/>
          <w:color w:val="auto"/>
          <w:sz w:val="24"/>
          <w:szCs w:val="24"/>
          <w:lang w:val="en-US" w:eastAsia="zh-CN"/>
        </w:rPr>
      </w:pPr>
      <w:r>
        <w:rPr>
          <w:rFonts w:hint="eastAsia"/>
          <w:color w:val="auto"/>
          <w:lang w:eastAsia="zh-CN"/>
        </w:rPr>
        <w:t xml:space="preserve">     </w:t>
      </w:r>
      <w:r>
        <w:rPr>
          <w:rFonts w:hint="eastAsia"/>
          <w:color w:val="auto"/>
          <w:lang w:val="en-US" w:eastAsia="zh-CN"/>
        </w:rPr>
        <w:t xml:space="preserve"> </w:t>
      </w:r>
      <w:r>
        <w:rPr>
          <w:rFonts w:hint="eastAsia"/>
          <w:color w:val="auto"/>
          <w:lang w:eastAsia="zh-CN"/>
        </w:rPr>
        <w:t xml:space="preserve">     </w:t>
      </w:r>
    </w:p>
    <w:p w14:paraId="7ABBDD45">
      <w:pPr>
        <w:pStyle w:val="2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黑体" w:hAnsi="黑体" w:eastAsia="黑体" w:cs="黑体"/>
          <w:b w:val="0"/>
          <w:bCs w:val="0"/>
          <w:color w:val="auto"/>
          <w:sz w:val="21"/>
          <w:szCs w:val="21"/>
          <w:lang w:val="en-US" w:eastAsia="zh-CN"/>
        </w:rPr>
      </w:pPr>
      <w:r>
        <w:rPr>
          <w:rFonts w:hint="eastAsia" w:ascii="Times New Roman" w:hAnsi="Times New Roman" w:eastAsia="宋体" w:cs="Times New Roman"/>
          <w:b/>
          <w:bCs/>
          <w:color w:val="auto"/>
          <w:sz w:val="21"/>
          <w:szCs w:val="21"/>
          <w:lang w:val="en-US" w:eastAsia="zh-CN"/>
        </w:rPr>
        <w:t xml:space="preserve">       </w:t>
      </w:r>
      <w:r>
        <w:rPr>
          <w:rFonts w:hint="eastAsia" w:ascii="黑体" w:hAnsi="黑体" w:eastAsia="黑体" w:cs="黑体"/>
          <w:b w:val="0"/>
          <w:bCs w:val="0"/>
          <w:color w:val="auto"/>
          <w:sz w:val="21"/>
          <w:szCs w:val="21"/>
          <w:lang w:val="en-US" w:eastAsia="zh-CN"/>
        </w:rPr>
        <w:t>图2-1 钻机平台的治理效果照片          图2-2 矿区道路（DL1）治理效果照片</w:t>
      </w:r>
    </w:p>
    <w:p w14:paraId="37241313">
      <w:pPr>
        <w:pStyle w:val="2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imes New Roman" w:hAnsi="Times New Roman" w:eastAsia="宋体" w:cs="Times New Roman"/>
          <w:b/>
          <w:bCs/>
          <w:color w:val="auto"/>
          <w:sz w:val="21"/>
          <w:szCs w:val="21"/>
          <w:lang w:val="en-US" w:eastAsia="zh-CN"/>
        </w:rPr>
      </w:pPr>
      <w:r>
        <w:rPr>
          <w:rFonts w:hint="eastAsia"/>
          <w:color w:val="auto"/>
          <w:lang w:eastAsia="zh-CN"/>
        </w:rPr>
        <w:t xml:space="preserve">     </w:t>
      </w:r>
    </w:p>
    <w:p w14:paraId="4D6E75A1">
      <w:pPr>
        <w:pStyle w:val="2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图2-3  白脸子山沸石矿矿区道路（DL6）治理效果照片</w:t>
      </w:r>
    </w:p>
    <w:p w14:paraId="007A8BF0">
      <w:pPr>
        <w:ind w:firstLine="562"/>
        <w:rPr>
          <w:rFonts w:hint="eastAsia" w:ascii="宋体" w:hAnsi="宋体" w:eastAsia="宋体" w:cs="宋体"/>
          <w:b/>
          <w:bCs/>
          <w:color w:val="auto"/>
          <w:lang w:val="en-US" w:eastAsia="zh-CN"/>
        </w:rPr>
      </w:pPr>
      <w:r>
        <w:rPr>
          <w:rFonts w:hint="eastAsia" w:ascii="Times New Roman" w:hAnsi="Times New Roman" w:eastAsia="宋体" w:cs="Times New Roman"/>
          <w:b/>
          <w:bCs/>
          <w:color w:val="auto"/>
          <w:kern w:val="2"/>
          <w:sz w:val="24"/>
          <w:szCs w:val="24"/>
          <w:lang w:val="en-US" w:eastAsia="zh-CN" w:bidi="ar"/>
        </w:rPr>
        <w:t>2022年度</w:t>
      </w:r>
    </w:p>
    <w:p w14:paraId="6D3C7EFE">
      <w:pPr>
        <w:ind w:firstLine="562"/>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治理工程设计：2022年度对矿区及周边的探坑（TK2～TK15）进行回填，对探坑TK1场地垫坡整形及石方整平，对回填与垫坡后的探坑覆土及土方整平、种草；对探坑TK1前端的废渣堆进行清运，对清运后的场地覆土及土方整平、种草。对地形地貌景观及土地资源进行监测。</w:t>
      </w:r>
    </w:p>
    <w:p w14:paraId="6BABD5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完成情况：2023年6月05日，赤峰市自然资源局松山区分局组织有关专家组成核查组对《</w:t>
      </w:r>
      <w:r>
        <w:rPr>
          <w:rFonts w:hint="default" w:ascii="Times New Roman" w:hAnsi="Times New Roman" w:eastAsia="宋体" w:cs="Times New Roman"/>
          <w:color w:val="auto"/>
          <w:sz w:val="24"/>
          <w:szCs w:val="24"/>
          <w:lang w:val="en-US" w:eastAsia="zh-CN"/>
        </w:rPr>
        <w:t>内蒙古自治区赤峰市松山区白脸子山沸石矿2022年度矿山地</w:t>
      </w:r>
      <w:r>
        <w:rPr>
          <w:rFonts w:hint="default" w:ascii="Times New Roman" w:hAnsi="Times New Roman" w:eastAsia="宋体" w:cs="Times New Roman"/>
          <w:color w:val="auto"/>
          <w:kern w:val="2"/>
          <w:sz w:val="24"/>
          <w:szCs w:val="24"/>
          <w:lang w:val="en-US" w:eastAsia="zh-CN" w:bidi="ar"/>
        </w:rPr>
        <w:t>质环境治理计划书》执行情况进行了现场核查。</w:t>
      </w:r>
    </w:p>
    <w:p w14:paraId="6A3CE4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经现场核查，矿山基本完成了探坑（TK2～TK15）的回填，完成了探坑TK1场地垫坡整形及石方整平，基本完成了回填与垫坡后的探坑覆土及土方整平、种草；由于探坑TK1前端废渣堆的地形较陡，不具备机械清运作用的条件，矿山对废渣堆进行了人工坡面整形，然后进行了覆土及土方整平、种草。限于覆土土源不足及施工边坡坡度陡，部分单元的覆土厚度略有欠缺。矿山已开始对矿区地形地貌景观及土地资源进行监测。治理效果见附图（图2-4至图2-8）。</w:t>
      </w:r>
    </w:p>
    <w:p w14:paraId="578FBD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bidi="ar"/>
        </w:rPr>
        <w:t>专家组认为，矿山基本完成了《</w:t>
      </w:r>
      <w:r>
        <w:rPr>
          <w:rFonts w:hint="default" w:ascii="Times New Roman" w:hAnsi="Times New Roman" w:eastAsia="宋体" w:cs="Times New Roman"/>
          <w:color w:val="auto"/>
          <w:sz w:val="24"/>
          <w:szCs w:val="24"/>
          <w:lang w:val="en-US" w:eastAsia="zh-CN"/>
        </w:rPr>
        <w:t>赤峰矿业（集团）有限责任公司松山区白脸子山沸石矿2022年度矿山地质环境治理计划书</w:t>
      </w:r>
      <w:r>
        <w:rPr>
          <w:rFonts w:hint="default" w:ascii="Times New Roman" w:hAnsi="Times New Roman" w:eastAsia="宋体" w:cs="Times New Roman"/>
          <w:color w:val="auto"/>
          <w:kern w:val="2"/>
          <w:sz w:val="24"/>
          <w:szCs w:val="24"/>
          <w:lang w:val="en-US" w:eastAsia="zh-CN" w:bidi="ar"/>
        </w:rPr>
        <w:t>》设计的治理工程内容，治理工程效果基本符合年度治理计划书的要求。</w:t>
      </w:r>
      <w:r>
        <w:rPr>
          <w:rFonts w:hint="default" w:ascii="Times New Roman" w:hAnsi="Times New Roman" w:eastAsia="宋体" w:cs="Times New Roman"/>
          <w:color w:val="auto"/>
          <w:sz w:val="24"/>
          <w:szCs w:val="24"/>
          <w:lang w:val="en-US" w:eastAsia="zh-CN"/>
        </w:rPr>
        <w:t>赤峰市松山区白脸子山沸石矿2022年度矿山地质环境治理工程通过了专家组的核查。</w:t>
      </w:r>
    </w:p>
    <w:p w14:paraId="1F43F501">
      <w:pPr>
        <w:pStyle w:val="23"/>
        <w:jc w:val="center"/>
        <w:rPr>
          <w:rFonts w:hint="eastAsia" w:ascii="Times New Roman" w:hAnsi="Times New Roman" w:eastAsia="宋体" w:cs="Times New Roman"/>
          <w:color w:val="auto"/>
          <w:sz w:val="24"/>
          <w:szCs w:val="24"/>
          <w:lang w:val="en-US" w:eastAsia="zh-CN"/>
        </w:rPr>
      </w:pPr>
      <w:r>
        <w:rPr>
          <w:rFonts w:hint="eastAsia"/>
          <w:color w:val="auto"/>
          <w:lang w:eastAsia="zh-CN"/>
        </w:rPr>
        <w:t xml:space="preserve">     </w:t>
      </w:r>
    </w:p>
    <w:p w14:paraId="4887177A">
      <w:pPr>
        <w:pStyle w:val="23"/>
        <w:rPr>
          <w:rFonts w:hint="default" w:ascii="Times New Roman" w:hAnsi="Times New Roman" w:eastAsia="宋体" w:cs="Times New Roman"/>
          <w:color w:val="auto"/>
          <w:sz w:val="24"/>
          <w:szCs w:val="24"/>
          <w:lang w:val="en-US" w:eastAsia="zh-CN"/>
        </w:rPr>
      </w:pPr>
      <w:r>
        <w:rPr>
          <w:rFonts w:hint="eastAsia" w:ascii="黑体" w:hAnsi="黑体" w:eastAsia="黑体" w:cs="黑体"/>
          <w:b w:val="0"/>
          <w:bCs w:val="0"/>
          <w:color w:val="auto"/>
          <w:sz w:val="21"/>
          <w:szCs w:val="21"/>
          <w:lang w:val="en-US" w:eastAsia="zh-CN"/>
        </w:rPr>
        <w:t>图2-4  白脸子山沸石矿探坑TK1与废渣堆治理效果远景照片</w:t>
      </w:r>
    </w:p>
    <w:p w14:paraId="2D13EDD9">
      <w:pPr>
        <w:pStyle w:val="23"/>
        <w:rPr>
          <w:rFonts w:hint="eastAsia" w:ascii="Times New Roman" w:hAnsi="Times New Roman" w:eastAsia="宋体" w:cs="Times New Roman"/>
          <w:color w:val="auto"/>
          <w:sz w:val="24"/>
          <w:szCs w:val="24"/>
          <w:lang w:val="en-US" w:eastAsia="zh-CN"/>
        </w:rPr>
      </w:pPr>
      <w:r>
        <w:rPr>
          <w:rFonts w:hint="eastAsia"/>
          <w:color w:val="auto"/>
          <w:lang w:eastAsia="zh-CN"/>
        </w:rPr>
        <w:t xml:space="preserve">     </w:t>
      </w:r>
    </w:p>
    <w:p w14:paraId="15DCDC83">
      <w:pPr>
        <w:pStyle w:val="23"/>
        <w:spacing w:line="360" w:lineRule="auto"/>
        <w:rPr>
          <w:rFonts w:hint="default" w:ascii="黑体" w:hAnsi="黑体" w:eastAsia="黑体" w:cs="黑体"/>
          <w:b w:val="0"/>
          <w:bCs w:val="0"/>
          <w:color w:val="auto"/>
          <w:sz w:val="21"/>
          <w:szCs w:val="21"/>
          <w:lang w:val="en-US" w:eastAsia="zh-CN"/>
        </w:rPr>
      </w:pPr>
      <w:r>
        <w:rPr>
          <w:rFonts w:hint="default" w:ascii="黑体" w:hAnsi="黑体" w:eastAsia="黑体" w:cs="黑体"/>
          <w:b w:val="0"/>
          <w:bCs w:val="0"/>
          <w:color w:val="auto"/>
          <w:sz w:val="21"/>
          <w:szCs w:val="21"/>
          <w:lang w:val="en-US" w:eastAsia="zh-CN"/>
        </w:rPr>
        <w:t>图2-</w:t>
      </w:r>
      <w:r>
        <w:rPr>
          <w:rFonts w:hint="eastAsia" w:ascii="黑体" w:hAnsi="黑体" w:eastAsia="黑体" w:cs="黑体"/>
          <w:b w:val="0"/>
          <w:bCs w:val="0"/>
          <w:color w:val="auto"/>
          <w:sz w:val="21"/>
          <w:szCs w:val="21"/>
          <w:lang w:val="en-US" w:eastAsia="zh-CN"/>
        </w:rPr>
        <w:t>5  白脸子山沸石矿探坑TK1与废渣堆治理效果近景照片</w:t>
      </w:r>
    </w:p>
    <w:p w14:paraId="131D3A0F">
      <w:pPr>
        <w:pStyle w:val="23"/>
        <w:rPr>
          <w:rFonts w:hint="eastAsia" w:ascii="Times New Roman" w:hAnsi="Times New Roman" w:eastAsia="宋体" w:cs="Times New Roman"/>
          <w:color w:val="auto"/>
          <w:sz w:val="24"/>
          <w:szCs w:val="24"/>
          <w:lang w:val="en-US" w:eastAsia="zh-CN"/>
        </w:rPr>
      </w:pPr>
      <w:r>
        <w:rPr>
          <w:rFonts w:hint="eastAsia"/>
          <w:color w:val="auto"/>
          <w:lang w:eastAsia="zh-CN"/>
        </w:rPr>
        <w:t xml:space="preserve">     </w:t>
      </w:r>
    </w:p>
    <w:p w14:paraId="158EF382">
      <w:pPr>
        <w:pStyle w:val="23"/>
        <w:spacing w:line="360" w:lineRule="auto"/>
        <w:rPr>
          <w:rFonts w:hint="default" w:ascii="黑体" w:hAnsi="黑体" w:eastAsia="黑体" w:cs="黑体"/>
          <w:b w:val="0"/>
          <w:bCs w:val="0"/>
          <w:color w:val="auto"/>
          <w:sz w:val="21"/>
          <w:szCs w:val="21"/>
          <w:lang w:val="en-US" w:eastAsia="zh-CN"/>
        </w:rPr>
      </w:pPr>
      <w:r>
        <w:rPr>
          <w:rFonts w:hint="default" w:ascii="黑体" w:hAnsi="黑体" w:eastAsia="黑体" w:cs="黑体"/>
          <w:b w:val="0"/>
          <w:bCs w:val="0"/>
          <w:color w:val="auto"/>
          <w:sz w:val="21"/>
          <w:szCs w:val="21"/>
          <w:lang w:val="en-US" w:eastAsia="zh-CN"/>
        </w:rPr>
        <w:t>图2-</w:t>
      </w:r>
      <w:r>
        <w:rPr>
          <w:rFonts w:hint="eastAsia" w:ascii="黑体" w:hAnsi="黑体" w:eastAsia="黑体" w:cs="黑体"/>
          <w:b w:val="0"/>
          <w:bCs w:val="0"/>
          <w:color w:val="auto"/>
          <w:sz w:val="21"/>
          <w:szCs w:val="21"/>
          <w:lang w:val="en-US" w:eastAsia="zh-CN"/>
        </w:rPr>
        <w:t>6  白脸子山沸石矿探坑4治理效果照片</w:t>
      </w:r>
    </w:p>
    <w:p w14:paraId="2951CAD1">
      <w:pPr>
        <w:pStyle w:val="23"/>
        <w:jc w:val="center"/>
        <w:rPr>
          <w:rFonts w:hint="eastAsia" w:ascii="Times New Roman" w:hAnsi="Times New Roman" w:eastAsia="宋体" w:cs="Times New Roman"/>
          <w:color w:val="auto"/>
          <w:sz w:val="24"/>
          <w:szCs w:val="24"/>
          <w:lang w:val="en-US" w:eastAsia="zh-CN"/>
        </w:rPr>
      </w:pPr>
      <w:r>
        <w:rPr>
          <w:rFonts w:hint="eastAsia"/>
          <w:color w:val="auto"/>
          <w:lang w:eastAsia="zh-CN"/>
        </w:rPr>
        <w:t xml:space="preserve">     </w:t>
      </w:r>
    </w:p>
    <w:p w14:paraId="179C0A2E">
      <w:pPr>
        <w:pStyle w:val="23"/>
        <w:spacing w:line="360" w:lineRule="auto"/>
        <w:rPr>
          <w:rFonts w:hint="eastAsia" w:ascii="黑体" w:hAnsi="黑体" w:eastAsia="黑体" w:cs="黑体"/>
          <w:b w:val="0"/>
          <w:bCs w:val="0"/>
          <w:color w:val="auto"/>
          <w:sz w:val="21"/>
          <w:szCs w:val="21"/>
          <w:lang w:val="en-US" w:eastAsia="zh-CN"/>
        </w:rPr>
      </w:pPr>
      <w:r>
        <w:rPr>
          <w:rFonts w:hint="default" w:ascii="黑体" w:hAnsi="黑体" w:eastAsia="黑体" w:cs="黑体"/>
          <w:b w:val="0"/>
          <w:bCs w:val="0"/>
          <w:color w:val="auto"/>
          <w:sz w:val="21"/>
          <w:szCs w:val="21"/>
          <w:lang w:val="en-US" w:eastAsia="zh-CN"/>
        </w:rPr>
        <w:t>图2-</w:t>
      </w:r>
      <w:r>
        <w:rPr>
          <w:rFonts w:hint="eastAsia" w:ascii="黑体" w:hAnsi="黑体" w:eastAsia="黑体" w:cs="黑体"/>
          <w:b w:val="0"/>
          <w:bCs w:val="0"/>
          <w:color w:val="auto"/>
          <w:sz w:val="21"/>
          <w:szCs w:val="21"/>
          <w:lang w:val="en-US" w:eastAsia="zh-CN"/>
        </w:rPr>
        <w:t>7  白脸子山沸石矿探坑5、探坑8治理效果照片</w:t>
      </w:r>
    </w:p>
    <w:p w14:paraId="053E9061">
      <w:pPr>
        <w:pStyle w:val="23"/>
        <w:rPr>
          <w:rFonts w:hint="eastAsia" w:ascii="Times New Roman" w:hAnsi="Times New Roman" w:eastAsia="黑体" w:cs="Times New Roman"/>
          <w:color w:val="auto"/>
          <w:sz w:val="24"/>
          <w:szCs w:val="24"/>
          <w:lang w:eastAsia="zh-CN"/>
        </w:rPr>
      </w:pPr>
      <w:r>
        <w:rPr>
          <w:rFonts w:hint="eastAsia" w:eastAsia="黑体"/>
          <w:color w:val="auto"/>
          <w:lang w:eastAsia="zh-CN"/>
        </w:rPr>
        <w:t xml:space="preserve">     </w:t>
      </w:r>
    </w:p>
    <w:p w14:paraId="711FF105">
      <w:pPr>
        <w:pStyle w:val="23"/>
        <w:spacing w:line="360" w:lineRule="auto"/>
        <w:rPr>
          <w:rFonts w:hint="eastAsia" w:ascii="黑体" w:hAnsi="黑体" w:eastAsia="黑体" w:cs="黑体"/>
          <w:b w:val="0"/>
          <w:bCs w:val="0"/>
          <w:color w:val="auto"/>
          <w:sz w:val="21"/>
          <w:szCs w:val="21"/>
          <w:lang w:val="en-US" w:eastAsia="zh-CN"/>
        </w:rPr>
      </w:pPr>
      <w:r>
        <w:rPr>
          <w:rFonts w:hint="default" w:ascii="黑体" w:hAnsi="黑体" w:eastAsia="黑体" w:cs="黑体"/>
          <w:b w:val="0"/>
          <w:bCs w:val="0"/>
          <w:color w:val="auto"/>
          <w:sz w:val="21"/>
          <w:szCs w:val="21"/>
          <w:lang w:val="en-US" w:eastAsia="zh-CN"/>
        </w:rPr>
        <w:t>图2-</w:t>
      </w:r>
      <w:r>
        <w:rPr>
          <w:rFonts w:hint="eastAsia" w:ascii="黑体" w:hAnsi="黑体" w:eastAsia="黑体" w:cs="黑体"/>
          <w:b w:val="0"/>
          <w:bCs w:val="0"/>
          <w:color w:val="auto"/>
          <w:sz w:val="21"/>
          <w:szCs w:val="21"/>
          <w:lang w:val="en-US" w:eastAsia="zh-CN"/>
        </w:rPr>
        <w:t>8  白脸子山沸石矿探坑13治理效果照片</w:t>
      </w:r>
    </w:p>
    <w:p w14:paraId="140201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b/>
          <w:bCs/>
          <w:color w:val="auto"/>
          <w:kern w:val="2"/>
          <w:sz w:val="24"/>
          <w:szCs w:val="24"/>
          <w:lang w:val="en-US" w:eastAsia="zh-CN" w:bidi="ar"/>
        </w:rPr>
        <w:t>2023年度</w:t>
      </w:r>
    </w:p>
    <w:p w14:paraId="7650F3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治理工程设计：</w:t>
      </w:r>
      <w:r>
        <w:rPr>
          <w:rFonts w:hint="default" w:ascii="Times New Roman" w:hAnsi="Times New Roman" w:eastAsia="宋体" w:cs="Times New Roman"/>
          <w:color w:val="auto"/>
          <w:sz w:val="24"/>
          <w:szCs w:val="24"/>
          <w:lang w:val="en-US" w:eastAsia="zh-CN"/>
        </w:rPr>
        <w:t>对采坑CK1与采坑CK2进行危岩体清理（上部）及垫坡（下部），对采坑底部进行覆土、种草；对采坑CK3-1与采坑CK3-2进行垫坡整形与石方整平、覆土、种草；对废渣堆进行清运、石方整平、覆土、种草。并对地形地貌景观及土地资源进行监测。</w:t>
      </w:r>
    </w:p>
    <w:p w14:paraId="5BD2D8E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完成情况：2023年6月05日，赤峰市自然资源局松山区分局组织有关专家组成核查组对《</w:t>
      </w:r>
      <w:r>
        <w:rPr>
          <w:rFonts w:hint="default" w:ascii="Times New Roman" w:hAnsi="Times New Roman" w:eastAsia="宋体" w:cs="Times New Roman"/>
          <w:color w:val="auto"/>
          <w:sz w:val="24"/>
          <w:szCs w:val="24"/>
          <w:lang w:val="en-US" w:eastAsia="zh-CN"/>
        </w:rPr>
        <w:t>内蒙古自治区赤峰市松山区白脸子山沸石矿2023年度矿山地</w:t>
      </w:r>
      <w:r>
        <w:rPr>
          <w:rFonts w:hint="default" w:ascii="Times New Roman" w:hAnsi="Times New Roman" w:eastAsia="宋体" w:cs="Times New Roman"/>
          <w:color w:val="auto"/>
          <w:kern w:val="2"/>
          <w:sz w:val="24"/>
          <w:szCs w:val="24"/>
          <w:lang w:val="en-US" w:eastAsia="zh-CN" w:bidi="ar"/>
        </w:rPr>
        <w:t>质环境治理计划书》执行情况进行了现场核查。</w:t>
      </w:r>
    </w:p>
    <w:p w14:paraId="35DDD4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经现场核查，矿山完成了采坑CK1的整体垫坡与覆土、种草；采坑CK2的剥离面已见沸石矿体，矿山后续提交外围资源储量报告需要利用该剖面，据此矿山对采坑CK2进行了危岩体清理；对废渣堆进行了石方整平；基本完成了采坑CK3-1与采坑CK3-2的垫坡整形与石方整平、覆土、种草。矿山已开始对矿区地形地貌景观及土地资源进行监测。</w:t>
      </w:r>
      <w:r>
        <w:rPr>
          <w:rFonts w:hint="default" w:ascii="Times New Roman" w:hAnsi="Times New Roman" w:eastAsia="宋体" w:cs="Times New Roman"/>
          <w:color w:val="auto"/>
          <w:kern w:val="2"/>
          <w:sz w:val="24"/>
          <w:szCs w:val="24"/>
          <w:lang w:val="en-US" w:eastAsia="zh-CN" w:bidi="ar"/>
        </w:rPr>
        <w:t>治理效果见附图（图2-9至图2-11）</w:t>
      </w:r>
    </w:p>
    <w:p w14:paraId="466DCE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专家组认为，矿山依据实际情况基本完成了《赤峰矿业（集团）有限责任公司松山区白脸子山沸石矿2023年度矿山地质环境治理计划书》设计的治理工程内容，治理工程效果基本符合年度治理计划书的要求</w:t>
      </w:r>
      <w:r>
        <w:rPr>
          <w:rFonts w:hint="default" w:ascii="Times New Roman" w:hAnsi="Times New Roman" w:cs="Times New Roman"/>
          <w:color w:val="auto"/>
          <w:spacing w:val="-1"/>
        </w:rPr>
        <w:t>。</w:t>
      </w:r>
      <w:r>
        <w:rPr>
          <w:rFonts w:hint="default" w:ascii="Times New Roman" w:hAnsi="Times New Roman" w:eastAsia="宋体" w:cs="Times New Roman"/>
          <w:color w:val="auto"/>
          <w:sz w:val="24"/>
          <w:szCs w:val="24"/>
          <w:lang w:val="en-US" w:eastAsia="zh-CN"/>
        </w:rPr>
        <w:t>赤峰市松山区白脸子山沸石矿2023年度矿山地质环境治理工程通过了专家组的核查。</w:t>
      </w:r>
    </w:p>
    <w:p w14:paraId="46AAEF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p>
    <w:p w14:paraId="2F9C51EB">
      <w:pPr>
        <w:pStyle w:val="23"/>
        <w:rPr>
          <w:rFonts w:hint="eastAsia" w:eastAsia="宋体"/>
          <w:color w:val="auto"/>
          <w:lang w:val="en-US" w:eastAsia="zh-CN"/>
        </w:rPr>
      </w:pPr>
      <w:r>
        <w:rPr>
          <w:rFonts w:hint="eastAsia"/>
          <w:color w:val="auto"/>
          <w:lang w:eastAsia="zh-CN"/>
        </w:rPr>
        <w:t xml:space="preserve">     </w:t>
      </w:r>
    </w:p>
    <w:p w14:paraId="4D0E9CE7">
      <w:pPr>
        <w:pStyle w:val="2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olor w:val="auto"/>
          <w:lang w:val="en-US" w:eastAsia="zh-CN"/>
        </w:rPr>
      </w:pPr>
      <w:r>
        <w:rPr>
          <w:rFonts w:hint="eastAsia" w:ascii="黑体" w:hAnsi="黑体" w:eastAsia="黑体" w:cs="黑体"/>
          <w:b w:val="0"/>
          <w:bCs w:val="0"/>
          <w:color w:val="auto"/>
          <w:sz w:val="21"/>
          <w:szCs w:val="21"/>
          <w:lang w:val="en-US" w:eastAsia="zh-CN"/>
        </w:rPr>
        <w:t>图2-9  白脸子山沸石矿采坑 CK1治理效果照片</w:t>
      </w:r>
    </w:p>
    <w:p w14:paraId="16E4BE58">
      <w:pPr>
        <w:pStyle w:val="23"/>
        <w:rPr>
          <w:rFonts w:hint="eastAsia" w:eastAsia="宋体"/>
          <w:color w:val="auto"/>
          <w:lang w:val="en-US" w:eastAsia="zh-CN"/>
        </w:rPr>
      </w:pPr>
      <w:r>
        <w:rPr>
          <w:rFonts w:hint="eastAsia"/>
          <w:color w:val="auto"/>
          <w:lang w:eastAsia="zh-CN"/>
        </w:rPr>
        <w:t xml:space="preserve">     </w:t>
      </w:r>
    </w:p>
    <w:p w14:paraId="5EFB5C44">
      <w:pPr>
        <w:pStyle w:val="2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图2-10  白脸子山沸石矿废渣堆整形效果照片</w:t>
      </w:r>
    </w:p>
    <w:p w14:paraId="51AE24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宋体" w:cs="Times New Roman"/>
          <w:b/>
          <w:bCs/>
          <w:color w:val="auto"/>
          <w:kern w:val="2"/>
          <w:sz w:val="24"/>
          <w:szCs w:val="24"/>
          <w:lang w:val="en-US" w:eastAsia="zh-CN" w:bidi="ar"/>
        </w:rPr>
      </w:pPr>
      <w:r>
        <w:rPr>
          <w:rFonts w:hint="eastAsia" w:ascii="Times New Roman" w:hAnsi="Times New Roman" w:eastAsia="宋体" w:cs="Times New Roman"/>
          <w:b/>
          <w:bCs/>
          <w:color w:val="auto"/>
          <w:kern w:val="2"/>
          <w:sz w:val="24"/>
          <w:szCs w:val="24"/>
          <w:lang w:val="en-US" w:eastAsia="zh-CN" w:bidi="ar"/>
        </w:rPr>
        <w:t>2024-2025年度</w:t>
      </w:r>
    </w:p>
    <w:p w14:paraId="7292A3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矿山将依据《赤峰矿业（集团）有限责任公司松山区白脸子山沸石矿2024—2025年度矿山地质环境治理计划书》对矿区</w:t>
      </w:r>
      <w:r>
        <w:rPr>
          <w:rFonts w:hint="default" w:ascii="Times New Roman" w:hAnsi="Times New Roman" w:eastAsia="宋体" w:cs="Times New Roman"/>
          <w:color w:val="auto"/>
          <w:sz w:val="24"/>
          <w:szCs w:val="24"/>
          <w:lang w:val="en-US" w:eastAsia="zh-CN"/>
        </w:rPr>
        <w:t>土地资源及地形地貌景观监测</w:t>
      </w:r>
      <w:r>
        <w:rPr>
          <w:rFonts w:hint="eastAsia" w:ascii="Times New Roman" w:hAnsi="Times New Roman" w:eastAsia="宋体" w:cs="Times New Roman"/>
          <w:color w:val="auto"/>
          <w:sz w:val="24"/>
          <w:szCs w:val="24"/>
          <w:lang w:val="en-US" w:eastAsia="zh-CN"/>
        </w:rPr>
        <w:t>。</w:t>
      </w:r>
    </w:p>
    <w:p w14:paraId="7A64C1C5">
      <w:pPr>
        <w:pStyle w:val="2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黑体" w:hAnsi="黑体" w:eastAsia="黑体" w:cs="黑体"/>
          <w:b w:val="0"/>
          <w:bCs w:val="0"/>
          <w:color w:val="auto"/>
          <w:sz w:val="21"/>
          <w:szCs w:val="21"/>
          <w:lang w:val="en-US" w:eastAsia="zh-CN"/>
        </w:rPr>
      </w:pPr>
    </w:p>
    <w:p w14:paraId="465F1083">
      <w:pPr>
        <w:pStyle w:val="2"/>
        <w:jc w:val="both"/>
        <w:rPr>
          <w:rFonts w:hint="eastAsia" w:ascii="宋体" w:hAnsi="宋体" w:eastAsia="宋体" w:cs="宋体"/>
          <w:color w:val="auto"/>
          <w:lang w:eastAsia="zh-CN"/>
        </w:rPr>
      </w:pPr>
      <w:bookmarkStart w:id="28" w:name="_Toc6910"/>
      <w:bookmarkStart w:id="29" w:name="_Toc7462"/>
    </w:p>
    <w:p w14:paraId="6DA0C486">
      <w:pPr>
        <w:pStyle w:val="2"/>
        <w:rPr>
          <w:rFonts w:hint="eastAsia" w:ascii="宋体" w:hAnsi="宋体" w:eastAsia="宋体" w:cs="宋体"/>
          <w:color w:val="auto"/>
        </w:rPr>
      </w:pPr>
      <w:r>
        <w:rPr>
          <w:rFonts w:hint="eastAsia" w:ascii="宋体" w:hAnsi="宋体" w:eastAsia="宋体" w:cs="宋体"/>
          <w:color w:val="auto"/>
          <w:lang w:eastAsia="zh-CN"/>
        </w:rPr>
        <w:t>三、</w:t>
      </w:r>
      <w:r>
        <w:rPr>
          <w:rFonts w:hint="eastAsia" w:ascii="宋体" w:hAnsi="宋体" w:eastAsia="宋体" w:cs="宋体"/>
          <w:color w:val="auto"/>
        </w:rPr>
        <w:t>本年度矿山生产计划</w:t>
      </w:r>
      <w:bookmarkEnd w:id="28"/>
      <w:bookmarkEnd w:id="29"/>
    </w:p>
    <w:p w14:paraId="0CC3495D">
      <w:pPr>
        <w:keepNext w:val="0"/>
        <w:keepLines w:val="0"/>
        <w:pageBreakBefore w:val="0"/>
        <w:numPr>
          <w:ilvl w:val="0"/>
          <w:numId w:val="0"/>
        </w:numPr>
        <w:kinsoku/>
        <w:overflowPunct/>
        <w:topLinePunct w:val="0"/>
        <w:autoSpaceDE/>
        <w:autoSpaceDN/>
        <w:bidi w:val="0"/>
        <w:spacing w:line="360" w:lineRule="auto"/>
        <w:ind w:firstLine="562" w:firstLineChars="200"/>
        <w:jc w:val="both"/>
        <w:textAlignment w:val="auto"/>
        <w:outlineLvl w:val="1"/>
        <w:rPr>
          <w:rFonts w:hint="default" w:ascii="Times New Roman" w:hAnsi="Times New Roman" w:eastAsia="宋体" w:cs="Times New Roman"/>
          <w:b/>
          <w:bCs/>
          <w:color w:val="auto"/>
          <w:sz w:val="28"/>
          <w:szCs w:val="28"/>
          <w:lang w:val="en-US" w:eastAsia="zh-CN"/>
        </w:rPr>
      </w:pPr>
      <w:bookmarkStart w:id="30" w:name="_Toc15415"/>
      <w:bookmarkStart w:id="31" w:name="_Toc28046"/>
      <w:bookmarkStart w:id="32" w:name="_Toc9363"/>
      <w:bookmarkStart w:id="33" w:name="_Toc8282"/>
      <w:bookmarkStart w:id="34" w:name="_Toc17686"/>
      <w:bookmarkStart w:id="35" w:name="_Toc28757"/>
      <w:bookmarkStart w:id="36" w:name="_Toc4644"/>
      <w:bookmarkStart w:id="37" w:name="_Toc7893"/>
      <w:r>
        <w:rPr>
          <w:rFonts w:hint="eastAsia" w:ascii="Times New Roman" w:hAnsi="Times New Roman" w:eastAsia="宋体" w:cs="Times New Roman"/>
          <w:b/>
          <w:bCs/>
          <w:color w:val="auto"/>
          <w:sz w:val="28"/>
          <w:szCs w:val="28"/>
          <w:lang w:val="en-US" w:eastAsia="zh-CN"/>
        </w:rPr>
        <w:t>（一）</w:t>
      </w:r>
      <w:r>
        <w:rPr>
          <w:rFonts w:hint="default" w:ascii="Times New Roman" w:hAnsi="Times New Roman" w:eastAsia="宋体" w:cs="Times New Roman"/>
          <w:b/>
          <w:bCs/>
          <w:color w:val="auto"/>
          <w:sz w:val="28"/>
          <w:szCs w:val="28"/>
          <w:lang w:val="en-US" w:eastAsia="zh-CN"/>
        </w:rPr>
        <w:t>本年度的主要生产指标计划</w:t>
      </w:r>
      <w:bookmarkEnd w:id="30"/>
      <w:bookmarkEnd w:id="31"/>
      <w:bookmarkEnd w:id="32"/>
      <w:bookmarkEnd w:id="33"/>
      <w:bookmarkEnd w:id="34"/>
      <w:bookmarkEnd w:id="35"/>
      <w:bookmarkEnd w:id="36"/>
      <w:bookmarkEnd w:id="37"/>
    </w:p>
    <w:p w14:paraId="515B294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赤峰矿业（集团）有限责任公司松山区白脸子山沸石矿权设置于2015年。</w:t>
      </w:r>
    </w:p>
    <w:p w14:paraId="58B002C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2015年4月29日，原内蒙古自治区国土资源厅以内国土资字[2015]194号文《关于赤峰市非金属矿业权设置方案（局部调整）矿业权设置方案备案的批复》，同意按照《赤峰市非金属矿业权设置方案（局部调整）》设置“松山区白脸子山沸石矿”矿业权，设置类型为“空白区新设”。</w:t>
      </w:r>
    </w:p>
    <w:p w14:paraId="0E02144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赤峰市矿业权储备交易中心以招标、拍卖、挂牌的方式获得该矿业权，采矿许可证号（配号）为C1504002015067130138764，发证机关为赤峰市国土资源局。</w:t>
      </w:r>
    </w:p>
    <w:p w14:paraId="28980C0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2016年6月29日，赤峰市国土资源局向赤峰市政府递交《赤峰市国土资源局关于已收储矿业权股权无偿划转的请示》（赤国土资发[2016]366号），将矿业权储备交易中心名下“松山区白脸子山沸石矿”无偿转让到赤峰矿业有限责任公司名下。2016年6月29日，赤峰市政府同意将此矿权转让至赤峰矿业有限责任公司。2017年4月28日，赤峰矿业有限责任公司变更为赤峰矿业（集团）有限责任公司。</w:t>
      </w:r>
    </w:p>
    <w:p w14:paraId="17E2FC3C">
      <w:pPr>
        <w:keepNext w:val="0"/>
        <w:keepLines w:val="0"/>
        <w:pageBreakBefore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现状条件下，</w:t>
      </w:r>
      <w:r>
        <w:rPr>
          <w:rFonts w:hint="default" w:ascii="Times New Roman" w:hAnsi="Times New Roman" w:eastAsia="宋体" w:cs="Times New Roman"/>
          <w:color w:val="auto"/>
          <w:sz w:val="24"/>
          <w:szCs w:val="24"/>
          <w:lang w:val="en-US" w:eastAsia="zh-CN"/>
        </w:rPr>
        <w:t>松山区白脸子山沸石矿仅实施过探矿工程。自矿权设置以来，未实施过矿山基础建设工程，亦未进行过采矿活动。</w:t>
      </w:r>
    </w:p>
    <w:p w14:paraId="10EC7443">
      <w:pPr>
        <w:keepNext w:val="0"/>
        <w:keepLines w:val="0"/>
        <w:pageBreakBefore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lang w:val="en-US" w:eastAsia="zh-CN"/>
        </w:rPr>
        <w:t>根据</w:t>
      </w:r>
      <w:r>
        <w:rPr>
          <w:rFonts w:hint="default" w:ascii="Times New Roman" w:hAnsi="Times New Roman" w:eastAsia="宋体" w:cs="Times New Roman"/>
          <w:color w:val="auto"/>
          <w:sz w:val="24"/>
          <w:lang w:eastAsia="zh-CN"/>
        </w:rPr>
        <w:t>赤峰矿业（集团）有限责任公司</w:t>
      </w:r>
      <w:r>
        <w:rPr>
          <w:rFonts w:hint="default" w:ascii="Times New Roman" w:hAnsi="Times New Roman" w:eastAsia="宋体" w:cs="Times New Roman"/>
          <w:color w:val="auto"/>
          <w:sz w:val="24"/>
          <w:lang w:val="en-US" w:eastAsia="zh-CN"/>
        </w:rPr>
        <w:t>工作计划，</w:t>
      </w:r>
      <w:r>
        <w:rPr>
          <w:rFonts w:hint="default" w:ascii="Times New Roman" w:hAnsi="Times New Roman" w:eastAsia="宋体" w:cs="Times New Roman"/>
          <w:color w:val="auto"/>
          <w:sz w:val="24"/>
          <w:szCs w:val="24"/>
          <w:lang w:val="en-US" w:eastAsia="zh-CN"/>
        </w:rPr>
        <w:t>松山区白脸子山沸石矿202</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年度的工作内容为：由于前期地质勘查工作程度低，导致现状已有的开发利用方案难以实施，拟重新投入地质详查工作以准确查明资源量。</w:t>
      </w:r>
    </w:p>
    <w:p w14:paraId="457D7985">
      <w:pPr>
        <w:keepNext w:val="0"/>
        <w:keepLines w:val="0"/>
        <w:pageBreakBefore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目前相关手续正在办理过程中。</w:t>
      </w:r>
    </w:p>
    <w:p w14:paraId="39FE62E9">
      <w:pPr>
        <w:keepNext w:val="0"/>
        <w:keepLines w:val="0"/>
        <w:pageBreakBefore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因此</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szCs w:val="24"/>
          <w:lang w:val="en-US" w:eastAsia="zh-CN"/>
        </w:rPr>
        <w:t>松山区白脸子山沸石矿202</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年度无生产与矿山基础设施建设计划。</w:t>
      </w:r>
    </w:p>
    <w:p w14:paraId="61573962">
      <w:pPr>
        <w:numPr>
          <w:ilvl w:val="0"/>
          <w:numId w:val="0"/>
        </w:numPr>
        <w:spacing w:line="360" w:lineRule="auto"/>
        <w:ind w:leftChars="0" w:firstLine="562" w:firstLineChars="200"/>
        <w:jc w:val="both"/>
        <w:outlineLvl w:val="1"/>
        <w:rPr>
          <w:rFonts w:hint="default" w:ascii="Times New Roman" w:hAnsi="Times New Roman" w:eastAsia="宋体" w:cs="Times New Roman"/>
          <w:b/>
          <w:bCs/>
          <w:color w:val="auto"/>
          <w:sz w:val="28"/>
          <w:szCs w:val="28"/>
          <w:lang w:val="en-US" w:eastAsia="zh-CN"/>
        </w:rPr>
      </w:pPr>
      <w:bookmarkStart w:id="38" w:name="_Toc18165"/>
      <w:bookmarkStart w:id="39" w:name="_Toc29487"/>
      <w:bookmarkStart w:id="40" w:name="_Toc18505"/>
      <w:bookmarkStart w:id="41" w:name="_Toc24748"/>
      <w:bookmarkStart w:id="42" w:name="_Toc32486"/>
      <w:bookmarkStart w:id="43" w:name="_Toc7751"/>
      <w:bookmarkStart w:id="44" w:name="_Toc6879"/>
      <w:r>
        <w:rPr>
          <w:rFonts w:hint="default" w:ascii="Times New Roman" w:hAnsi="Times New Roman" w:eastAsia="宋体" w:cs="Times New Roman"/>
          <w:b/>
          <w:bCs/>
          <w:color w:val="auto"/>
          <w:sz w:val="28"/>
          <w:szCs w:val="28"/>
          <w:lang w:val="en-US" w:eastAsia="zh-CN"/>
        </w:rPr>
        <w:t>（二）开采范围</w:t>
      </w:r>
      <w:bookmarkEnd w:id="38"/>
      <w:bookmarkEnd w:id="39"/>
      <w:bookmarkEnd w:id="40"/>
      <w:bookmarkEnd w:id="41"/>
      <w:bookmarkEnd w:id="42"/>
      <w:bookmarkEnd w:id="43"/>
      <w:bookmarkEnd w:id="44"/>
    </w:p>
    <w:p w14:paraId="301A936D">
      <w:pPr>
        <w:pStyle w:val="36"/>
        <w:spacing w:line="360" w:lineRule="auto"/>
        <w:ind w:firstLine="480"/>
        <w:jc w:val="left"/>
        <w:rPr>
          <w:rFonts w:hint="eastAsia" w:ascii="宋体" w:hAnsi="宋体" w:eastAsia="宋体" w:cs="宋体"/>
          <w:color w:val="auto"/>
          <w:sz w:val="28"/>
          <w:szCs w:val="28"/>
          <w:lang w:eastAsia="zh-CN"/>
        </w:rPr>
      </w:pPr>
      <w:r>
        <w:rPr>
          <w:rFonts w:hint="default" w:ascii="Times New Roman" w:hAnsi="Times New Roman" w:eastAsia="宋体" w:cs="Times New Roman"/>
          <w:color w:val="auto"/>
          <w:sz w:val="24"/>
          <w:lang w:val="en-US" w:eastAsia="zh-CN"/>
        </w:rPr>
        <w:t>鉴于</w:t>
      </w:r>
      <w:r>
        <w:rPr>
          <w:rFonts w:hint="default" w:ascii="Times New Roman" w:hAnsi="Times New Roman" w:eastAsia="宋体" w:cs="Times New Roman"/>
          <w:color w:val="auto"/>
          <w:sz w:val="24"/>
          <w:szCs w:val="24"/>
          <w:lang w:val="en-US" w:eastAsia="zh-CN"/>
        </w:rPr>
        <w:t>松山区白脸子山沸石</w:t>
      </w:r>
      <w:r>
        <w:rPr>
          <w:rFonts w:hint="eastAsia" w:ascii="Times New Roman" w:hAnsi="Times New Roman" w:eastAsia="宋体" w:cs="Times New Roman"/>
          <w:color w:val="auto"/>
          <w:sz w:val="24"/>
          <w:szCs w:val="24"/>
          <w:lang w:val="en-US" w:eastAsia="zh-CN"/>
        </w:rPr>
        <w:t>矿</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年度无生产与矿山基础设施建设计划，相关内容略。</w:t>
      </w:r>
    </w:p>
    <w:p w14:paraId="4ED25E17">
      <w:pPr>
        <w:ind w:left="0" w:leftChars="0" w:firstLine="0" w:firstLineChars="0"/>
        <w:rPr>
          <w:color w:val="auto"/>
          <w:sz w:val="24"/>
          <w:szCs w:val="20"/>
        </w:rPr>
      </w:pPr>
      <w:r>
        <w:rPr>
          <w:color w:val="auto"/>
          <w:sz w:val="24"/>
          <w:szCs w:val="20"/>
        </w:rPr>
        <w:br w:type="page"/>
      </w:r>
    </w:p>
    <w:p w14:paraId="26A9C2E5">
      <w:pPr>
        <w:pStyle w:val="2"/>
        <w:spacing w:beforeLines="100"/>
        <w:rPr>
          <w:rStyle w:val="25"/>
          <w:rFonts w:hint="eastAsia" w:ascii="宋体" w:hAnsi="宋体" w:eastAsia="宋体" w:cs="宋体"/>
          <w:b/>
          <w:bCs/>
          <w:color w:val="auto"/>
        </w:rPr>
      </w:pPr>
      <w:bookmarkStart w:id="45" w:name="_Toc542"/>
      <w:r>
        <w:rPr>
          <w:rFonts w:hint="eastAsia" w:ascii="宋体" w:hAnsi="宋体" w:eastAsia="宋体" w:cs="宋体"/>
          <w:color w:val="auto"/>
          <w:lang w:val="en-US" w:eastAsia="zh-CN"/>
        </w:rPr>
        <w:t>四</w:t>
      </w:r>
      <w:r>
        <w:rPr>
          <w:rFonts w:hint="eastAsia" w:ascii="宋体" w:hAnsi="宋体" w:eastAsia="宋体" w:cs="宋体"/>
          <w:color w:val="auto"/>
          <w:lang w:eastAsia="zh-CN"/>
        </w:rPr>
        <w:t>、</w:t>
      </w:r>
      <w:r>
        <w:rPr>
          <w:rFonts w:hint="eastAsia" w:ascii="宋体" w:hAnsi="宋体" w:eastAsia="宋体" w:cs="宋体"/>
          <w:color w:val="auto"/>
        </w:rPr>
        <w:t>矿山地质环境防治工程</w:t>
      </w:r>
      <w:bookmarkEnd w:id="45"/>
    </w:p>
    <w:p w14:paraId="27C1E5A0">
      <w:pPr>
        <w:numPr>
          <w:ilvl w:val="0"/>
          <w:numId w:val="0"/>
        </w:numPr>
        <w:spacing w:line="360" w:lineRule="auto"/>
        <w:ind w:leftChars="0" w:firstLine="482" w:firstLineChars="200"/>
        <w:jc w:val="both"/>
        <w:outlineLvl w:val="1"/>
        <w:rPr>
          <w:rFonts w:hint="default" w:ascii="Times New Roman" w:hAnsi="Times New Roman" w:eastAsia="宋体" w:cs="Times New Roman"/>
          <w:b/>
          <w:bCs/>
          <w:color w:val="auto"/>
          <w:sz w:val="24"/>
          <w:szCs w:val="24"/>
          <w:lang w:val="en-US" w:eastAsia="zh-CN"/>
        </w:rPr>
      </w:pPr>
      <w:bookmarkStart w:id="46" w:name="_Toc27096"/>
      <w:bookmarkStart w:id="47" w:name="_Toc25591"/>
      <w:bookmarkStart w:id="48" w:name="_Toc13770"/>
      <w:bookmarkStart w:id="49" w:name="_Toc27262"/>
      <w:bookmarkStart w:id="50" w:name="_Toc30779"/>
      <w:bookmarkStart w:id="51" w:name="_Toc7619"/>
      <w:r>
        <w:rPr>
          <w:rFonts w:hint="default" w:ascii="Times New Roman" w:hAnsi="Times New Roman" w:eastAsia="宋体" w:cs="Times New Roman"/>
          <w:b/>
          <w:bCs/>
          <w:color w:val="auto"/>
          <w:sz w:val="24"/>
          <w:szCs w:val="24"/>
          <w:lang w:val="en-US" w:eastAsia="zh-CN"/>
        </w:rPr>
        <w:t>（一）矿山地质环境治理区的确定</w:t>
      </w:r>
      <w:bookmarkEnd w:id="46"/>
      <w:bookmarkEnd w:id="47"/>
      <w:bookmarkEnd w:id="48"/>
      <w:bookmarkEnd w:id="49"/>
      <w:bookmarkEnd w:id="50"/>
      <w:bookmarkEnd w:id="51"/>
    </w:p>
    <w:p w14:paraId="32892484">
      <w:pPr>
        <w:spacing w:after="0" w:line="360" w:lineRule="auto"/>
        <w:ind w:firstLine="480" w:firstLineChars="200"/>
        <w:contextualSpacing/>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矿山地质环境保护与恢复治理方案编制规范》（DZ/T0223-2011），治理区域范围包括已存在矿山地质环境问题的区域及本期开采区与矿业活动的影响区域。根据《土地复垦方案编制规程》，土地复垦责任范围为复垦区中已损毁和拟损毁的土地及土地复垦方案涉及的生产年限结束后不再留续使用的永久性建设用地共同构成的区域。</w:t>
      </w:r>
    </w:p>
    <w:p w14:paraId="3579D500">
      <w:pPr>
        <w:ind w:firstLine="560"/>
        <w:jc w:val="both"/>
        <w:rPr>
          <w:rFonts w:hint="eastAsia"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治理区的确定（1）原则上对应《</w:t>
      </w:r>
      <w:r>
        <w:rPr>
          <w:rFonts w:hint="eastAsia" w:ascii="Times New Roman" w:hAnsi="Times New Roman" w:eastAsia="宋体" w:cs="Times New Roman"/>
          <w:color w:val="auto"/>
          <w:kern w:val="2"/>
          <w:sz w:val="24"/>
          <w:szCs w:val="24"/>
          <w:lang w:val="en-US" w:eastAsia="zh-CN" w:bidi="ar"/>
        </w:rPr>
        <w:t>治理</w:t>
      </w:r>
      <w:r>
        <w:rPr>
          <w:rFonts w:hint="default" w:ascii="Times New Roman" w:hAnsi="Times New Roman" w:eastAsia="宋体" w:cs="Times New Roman"/>
          <w:color w:val="auto"/>
          <w:kern w:val="2"/>
          <w:sz w:val="24"/>
          <w:szCs w:val="24"/>
          <w:lang w:val="en-US" w:eastAsia="zh-CN" w:bidi="ar"/>
        </w:rPr>
        <w:t>方案》规划的年度治理工程内容（《</w:t>
      </w:r>
      <w:r>
        <w:rPr>
          <w:rFonts w:hint="eastAsia" w:ascii="Times New Roman" w:hAnsi="Times New Roman" w:eastAsia="宋体" w:cs="Times New Roman"/>
          <w:color w:val="auto"/>
          <w:kern w:val="2"/>
          <w:sz w:val="24"/>
          <w:szCs w:val="24"/>
          <w:lang w:val="en-US" w:eastAsia="zh-CN" w:bidi="ar"/>
        </w:rPr>
        <w:t>治理</w:t>
      </w:r>
      <w:r>
        <w:rPr>
          <w:rFonts w:hint="default" w:ascii="Times New Roman" w:hAnsi="Times New Roman" w:eastAsia="宋体" w:cs="Times New Roman"/>
          <w:color w:val="auto"/>
          <w:kern w:val="2"/>
          <w:sz w:val="24"/>
          <w:szCs w:val="24"/>
          <w:lang w:val="en-US" w:eastAsia="zh-CN" w:bidi="ar"/>
        </w:rPr>
        <w:t>方案》规划的202</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年及其以前未完成的治理工程内容应该在本年度设计治理）；（2）结合矿山地质环境现状，按照</w:t>
      </w:r>
      <w:r>
        <w:rPr>
          <w:rFonts w:hint="default" w:ascii="Times New Roman" w:hAnsi="Times New Roman" w:eastAsia="宋体" w:cs="Times New Roman"/>
          <w:color w:val="auto"/>
          <w:sz w:val="24"/>
          <w:szCs w:val="24"/>
          <w:lang w:val="en-US" w:eastAsia="zh-CN"/>
        </w:rPr>
        <w:t>“边开采，边治理”、“预防为主，防治结合”、“在保护中开发，在开发中保护”、“谁损毁，谁复垦”、“</w:t>
      </w:r>
      <w:r>
        <w:rPr>
          <w:rFonts w:hint="default" w:ascii="Times New Roman" w:hAnsi="Times New Roman" w:eastAsia="宋体" w:cs="Times New Roman"/>
          <w:color w:val="auto"/>
          <w:kern w:val="2"/>
          <w:sz w:val="24"/>
          <w:szCs w:val="24"/>
          <w:lang w:val="en-US" w:eastAsia="zh-CN" w:bidi="ar"/>
        </w:rPr>
        <w:t>应治可治全部治理</w:t>
      </w:r>
      <w:r>
        <w:rPr>
          <w:rFonts w:hint="default" w:ascii="Times New Roman" w:hAnsi="Times New Roman" w:eastAsia="宋体" w:cs="Times New Roman"/>
          <w:color w:val="auto"/>
          <w:sz w:val="24"/>
          <w:szCs w:val="24"/>
          <w:lang w:val="en-US" w:eastAsia="zh-CN"/>
        </w:rPr>
        <w:t>”的原则，确定矿山地质环境</w:t>
      </w:r>
      <w:r>
        <w:rPr>
          <w:rFonts w:hint="default" w:ascii="Times New Roman" w:hAnsi="Times New Roman" w:eastAsia="宋体" w:cs="Times New Roman"/>
          <w:color w:val="auto"/>
          <w:kern w:val="2"/>
          <w:sz w:val="24"/>
          <w:szCs w:val="24"/>
          <w:lang w:val="en-US" w:eastAsia="zh-CN" w:bidi="ar"/>
        </w:rPr>
        <w:t>年度治理单元。</w:t>
      </w:r>
    </w:p>
    <w:p w14:paraId="6E1A301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治理</w:t>
      </w:r>
      <w:r>
        <w:rPr>
          <w:rFonts w:hint="default" w:ascii="Times New Roman" w:hAnsi="Times New Roman" w:eastAsia="宋体" w:cs="Times New Roman"/>
          <w:color w:val="auto"/>
          <w:kern w:val="2"/>
          <w:sz w:val="24"/>
          <w:szCs w:val="24"/>
          <w:lang w:val="en-US" w:eastAsia="zh-CN" w:bidi="ar"/>
        </w:rPr>
        <w:t>方案》规划的</w:t>
      </w:r>
      <w:r>
        <w:rPr>
          <w:rFonts w:hint="eastAsia" w:ascii="Times New Roman" w:hAnsi="Times New Roman" w:eastAsia="宋体" w:cs="Times New Roman"/>
          <w:color w:val="auto"/>
          <w:kern w:val="2"/>
          <w:sz w:val="24"/>
          <w:szCs w:val="24"/>
          <w:lang w:val="en-US" w:eastAsia="zh-CN" w:bidi="ar"/>
        </w:rPr>
        <w:t>近期</w:t>
      </w:r>
      <w:r>
        <w:rPr>
          <w:rFonts w:hint="default" w:ascii="Times New Roman" w:hAnsi="Times New Roman" w:eastAsia="宋体" w:cs="Times New Roman"/>
          <w:color w:val="auto"/>
          <w:kern w:val="2"/>
          <w:sz w:val="24"/>
          <w:szCs w:val="24"/>
          <w:lang w:val="en-US" w:eastAsia="zh-CN" w:bidi="ar"/>
        </w:rPr>
        <w:t>治理工程单元与工程包括：</w:t>
      </w:r>
    </w:p>
    <w:p w14:paraId="5C0CB6B5">
      <w:pPr>
        <w:pStyle w:val="36"/>
        <w:spacing w:line="360" w:lineRule="auto"/>
        <w:ind w:firstLine="480"/>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1、露天采场：矿山应按《开发利用方案》设计开采方式方法进行开采，避免在开采中出现高陡边坡，开采期间对形成的危岩体及时清除；露天开采前对表土进行剥离，在露天采场终采境界周围建设网围栏。</w:t>
      </w:r>
    </w:p>
    <w:p w14:paraId="15008B62">
      <w:pPr>
        <w:spacing w:line="360" w:lineRule="auto"/>
        <w:ind w:firstLine="480" w:firstLineChars="200"/>
        <w:contextualSpacing/>
        <w:textAlignment w:val="center"/>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2、1#废石场：基建期对场地表土进行剥离。</w:t>
      </w:r>
    </w:p>
    <w:p w14:paraId="5E378902">
      <w:pPr>
        <w:spacing w:line="360" w:lineRule="auto"/>
        <w:ind w:firstLine="480" w:firstLineChars="200"/>
        <w:contextualSpacing/>
        <w:textAlignment w:val="center"/>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3、2#废石场：基建期对场地表土进行剥离。</w:t>
      </w:r>
    </w:p>
    <w:p w14:paraId="00884DA1">
      <w:pPr>
        <w:spacing w:line="360" w:lineRule="auto"/>
        <w:ind w:firstLine="480" w:firstLineChars="200"/>
        <w:contextualSpacing/>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4、工业场地：在基建期对拟建的场地进行剥离。</w:t>
      </w:r>
    </w:p>
    <w:p w14:paraId="2E71B6A7">
      <w:pPr>
        <w:spacing w:line="360" w:lineRule="auto"/>
        <w:ind w:firstLine="480" w:firstLineChars="200"/>
        <w:contextualSpacing/>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5、探坑：治理措施为垫坡</w:t>
      </w:r>
      <w:r>
        <w:rPr>
          <w:rFonts w:hint="eastAsia" w:ascii="Times New Roman" w:hAnsi="Times New Roman" w:eastAsia="宋体" w:cs="Times New Roman"/>
          <w:color w:val="auto"/>
          <w:kern w:val="2"/>
          <w:sz w:val="24"/>
          <w:szCs w:val="24"/>
          <w:lang w:val="en-US" w:eastAsia="zh-CN" w:bidi="ar"/>
        </w:rPr>
        <w:t>整形</w:t>
      </w:r>
      <w:r>
        <w:rPr>
          <w:rFonts w:hint="default" w:ascii="Times New Roman" w:hAnsi="Times New Roman" w:eastAsia="宋体" w:cs="Times New Roman"/>
          <w:color w:val="auto"/>
          <w:kern w:val="2"/>
          <w:sz w:val="24"/>
          <w:szCs w:val="24"/>
          <w:lang w:val="en-US" w:eastAsia="zh-CN" w:bidi="ar"/>
        </w:rPr>
        <w:t>、覆土、整平、恢复植被。</w:t>
      </w:r>
    </w:p>
    <w:p w14:paraId="425650C3">
      <w:pPr>
        <w:spacing w:line="360" w:lineRule="auto"/>
        <w:ind w:firstLine="480" w:firstLineChars="200"/>
        <w:contextualSpacing/>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6、采坑</w:t>
      </w:r>
      <w:r>
        <w:rPr>
          <w:rFonts w:hint="default" w:ascii="Times New Roman" w:hAnsi="Times New Roman" w:eastAsia="宋体" w:cs="Times New Roman"/>
          <w:color w:val="auto"/>
          <w:kern w:val="2"/>
          <w:sz w:val="24"/>
          <w:szCs w:val="24"/>
          <w:lang w:val="en-US" w:eastAsia="zh-CN" w:bidi="ar"/>
        </w:rPr>
        <w:t>：治理措施为回填</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垫坡</w:t>
      </w:r>
      <w:r>
        <w:rPr>
          <w:rFonts w:hint="eastAsia" w:ascii="Times New Roman" w:hAnsi="Times New Roman" w:eastAsia="宋体" w:cs="Times New Roman"/>
          <w:color w:val="auto"/>
          <w:kern w:val="2"/>
          <w:sz w:val="24"/>
          <w:szCs w:val="24"/>
          <w:lang w:val="en-US" w:eastAsia="zh-CN" w:bidi="ar"/>
        </w:rPr>
        <w:t>整形</w:t>
      </w:r>
      <w:r>
        <w:rPr>
          <w:rFonts w:hint="default" w:ascii="Times New Roman" w:hAnsi="Times New Roman" w:eastAsia="宋体" w:cs="Times New Roman"/>
          <w:color w:val="auto"/>
          <w:kern w:val="2"/>
          <w:sz w:val="24"/>
          <w:szCs w:val="24"/>
          <w:lang w:val="en-US" w:eastAsia="zh-CN" w:bidi="ar"/>
        </w:rPr>
        <w:t>、覆土、整平、恢复植被。</w:t>
      </w:r>
    </w:p>
    <w:p w14:paraId="02FF898C">
      <w:pPr>
        <w:snapToGrid w:val="0"/>
        <w:spacing w:line="360" w:lineRule="auto"/>
        <w:ind w:firstLine="480" w:firstLineChars="200"/>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7</w:t>
      </w:r>
      <w:r>
        <w:rPr>
          <w:rFonts w:hint="default" w:ascii="Times New Roman" w:hAnsi="Times New Roman" w:eastAsia="宋体" w:cs="Times New Roman"/>
          <w:color w:val="auto"/>
          <w:kern w:val="2"/>
          <w:sz w:val="24"/>
          <w:szCs w:val="24"/>
          <w:lang w:val="en-US" w:eastAsia="zh-CN" w:bidi="ar"/>
        </w:rPr>
        <w:t>、钻机平台：治理措施为垫坡</w:t>
      </w:r>
      <w:r>
        <w:rPr>
          <w:rFonts w:hint="eastAsia" w:ascii="Times New Roman" w:hAnsi="Times New Roman" w:eastAsia="宋体" w:cs="Times New Roman"/>
          <w:color w:val="auto"/>
          <w:kern w:val="2"/>
          <w:sz w:val="24"/>
          <w:szCs w:val="24"/>
          <w:lang w:val="en-US" w:eastAsia="zh-CN" w:bidi="ar"/>
        </w:rPr>
        <w:t>整形</w:t>
      </w:r>
      <w:r>
        <w:rPr>
          <w:rFonts w:hint="default" w:ascii="Times New Roman" w:hAnsi="Times New Roman" w:eastAsia="宋体" w:cs="Times New Roman"/>
          <w:color w:val="auto"/>
          <w:kern w:val="2"/>
          <w:sz w:val="24"/>
          <w:szCs w:val="24"/>
          <w:lang w:val="en-US" w:eastAsia="zh-CN" w:bidi="ar"/>
        </w:rPr>
        <w:t>、覆土、整平、恢复植被。</w:t>
      </w:r>
    </w:p>
    <w:p w14:paraId="701BA558">
      <w:pPr>
        <w:spacing w:line="360" w:lineRule="auto"/>
        <w:ind w:firstLine="480" w:firstLineChars="200"/>
        <w:contextualSpacing/>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8</w:t>
      </w:r>
      <w:r>
        <w:rPr>
          <w:rFonts w:hint="default" w:ascii="Times New Roman" w:hAnsi="Times New Roman" w:eastAsia="宋体" w:cs="Times New Roman"/>
          <w:color w:val="auto"/>
          <w:kern w:val="2"/>
          <w:sz w:val="24"/>
          <w:szCs w:val="24"/>
          <w:lang w:val="en-US" w:eastAsia="zh-CN" w:bidi="ar"/>
        </w:rPr>
        <w:t>、废石堆：措施为对场地内废石进行清运、对场地进行翻耕、整平、恢复植被。</w:t>
      </w:r>
    </w:p>
    <w:p w14:paraId="6CF5A53B">
      <w:pPr>
        <w:spacing w:line="360" w:lineRule="auto"/>
        <w:ind w:firstLine="480" w:firstLineChars="200"/>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9</w:t>
      </w:r>
      <w:r>
        <w:rPr>
          <w:rFonts w:hint="default" w:ascii="Times New Roman" w:hAnsi="Times New Roman" w:eastAsia="宋体" w:cs="Times New Roman"/>
          <w:color w:val="auto"/>
          <w:kern w:val="2"/>
          <w:sz w:val="24"/>
          <w:szCs w:val="24"/>
          <w:lang w:val="en-US" w:eastAsia="zh-CN" w:bidi="ar"/>
        </w:rPr>
        <w:t>、办公生活区：在基建期对拟建的场地进行剥离。</w:t>
      </w:r>
    </w:p>
    <w:p w14:paraId="50BDB0FC">
      <w:pPr>
        <w:tabs>
          <w:tab w:val="left" w:pos="1200"/>
        </w:tabs>
        <w:spacing w:line="360" w:lineRule="auto"/>
        <w:ind w:firstLine="436" w:firstLineChars="182"/>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lang w:val="en-US" w:eastAsia="zh-CN" w:bidi="ar"/>
        </w:rPr>
        <w:t>、矿区道路：首期对不在继续使用的矿区道路及前期道路修建时产生的切坡进行治理</w:t>
      </w:r>
      <w:r>
        <w:rPr>
          <w:rFonts w:hint="eastAsia" w:ascii="Times New Roman" w:hAnsi="Times New Roman" w:eastAsia="宋体" w:cs="Times New Roman"/>
          <w:color w:val="auto"/>
          <w:kern w:val="2"/>
          <w:sz w:val="24"/>
          <w:szCs w:val="24"/>
          <w:lang w:val="en-US" w:eastAsia="zh-CN" w:bidi="ar"/>
        </w:rPr>
        <w:t>，措施为对切坡处进行垫坡、覆土、整平、恢复植被；对道路进行翻耕、整平、恢复植被。</w:t>
      </w:r>
    </w:p>
    <w:p w14:paraId="27A8647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治理</w:t>
      </w:r>
      <w:r>
        <w:rPr>
          <w:rFonts w:hint="default" w:ascii="Times New Roman" w:hAnsi="Times New Roman" w:eastAsia="宋体" w:cs="Times New Roman"/>
          <w:color w:val="auto"/>
          <w:kern w:val="2"/>
          <w:sz w:val="24"/>
          <w:szCs w:val="24"/>
          <w:lang w:val="en-US" w:eastAsia="zh-CN" w:bidi="ar"/>
        </w:rPr>
        <w:t>方案》规划的202</w:t>
      </w:r>
      <w:r>
        <w:rPr>
          <w:rFonts w:hint="eastAsia" w:ascii="Times New Roman" w:hAnsi="Times New Roman" w:eastAsia="宋体"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年治理工程单元与工程包括：</w:t>
      </w:r>
    </w:p>
    <w:p w14:paraId="71688B15">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1、对露天采场进行危岩体清理。</w:t>
      </w:r>
    </w:p>
    <w:p w14:paraId="593953E4">
      <w:pPr>
        <w:keepNext w:val="0"/>
        <w:keepLines w:val="0"/>
        <w:widowControl w:val="0"/>
        <w:suppressLineNumbers w:val="0"/>
        <w:spacing w:before="0" w:beforeAutospacing="0" w:after="0" w:afterAutospacing="0" w:line="360" w:lineRule="auto"/>
        <w:ind w:right="0"/>
        <w:jc w:val="both"/>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2、对地形地貌景观进行监测。</w:t>
      </w:r>
    </w:p>
    <w:p w14:paraId="4F86876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现状赤峰矿业（集团）有限责任公司没有相关的矿山基建建设或生产计划，</w:t>
      </w:r>
      <w:r>
        <w:rPr>
          <w:rFonts w:hint="default" w:ascii="Times New Roman" w:hAnsi="Times New Roman" w:eastAsia="宋体" w:cs="Times New Roman"/>
          <w:color w:val="auto"/>
          <w:kern w:val="2"/>
          <w:sz w:val="24"/>
          <w:szCs w:val="24"/>
          <w:lang w:val="en-US" w:eastAsia="zh-CN" w:bidi="ar"/>
        </w:rPr>
        <w:t>《方案》规划的202</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年对露天采场危岩体清理工程没有实施的意义。</w:t>
      </w:r>
    </w:p>
    <w:p w14:paraId="786A0AF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bidi="ar"/>
        </w:rPr>
        <w:t>依据《方案》规划的202</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年治理工程单元与工程，结合矿山地质环境现状，按照</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kern w:val="2"/>
          <w:sz w:val="24"/>
          <w:szCs w:val="24"/>
          <w:lang w:val="en-US" w:eastAsia="zh-CN" w:bidi="ar"/>
        </w:rPr>
        <w:t>应治可治全部治理</w:t>
      </w:r>
      <w:r>
        <w:rPr>
          <w:rFonts w:hint="default" w:ascii="Times New Roman" w:hAnsi="Times New Roman" w:eastAsia="宋体" w:cs="Times New Roman"/>
          <w:color w:val="auto"/>
          <w:sz w:val="24"/>
          <w:szCs w:val="24"/>
          <w:lang w:val="en-US" w:eastAsia="zh-CN"/>
        </w:rPr>
        <w:t>”的原则，确定</w:t>
      </w:r>
      <w:r>
        <w:rPr>
          <w:rFonts w:hint="default" w:ascii="Times New Roman" w:hAnsi="Times New Roman" w:eastAsia="宋体" w:cs="Times New Roman"/>
          <w:color w:val="auto"/>
          <w:kern w:val="0"/>
          <w:sz w:val="24"/>
          <w:szCs w:val="24"/>
          <w:lang w:val="en-US" w:eastAsia="zh-CN" w:bidi="ar"/>
        </w:rPr>
        <w:t>松山区白脸子山沸石矿</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年度不设计新的矿山地质环境</w:t>
      </w:r>
      <w:r>
        <w:rPr>
          <w:rFonts w:hint="default" w:ascii="Times New Roman" w:hAnsi="Times New Roman" w:eastAsia="宋体" w:cs="Times New Roman"/>
          <w:color w:val="auto"/>
          <w:kern w:val="2"/>
          <w:sz w:val="24"/>
          <w:szCs w:val="24"/>
          <w:lang w:val="en-US" w:eastAsia="zh-CN" w:bidi="ar"/>
        </w:rPr>
        <w:t>治理单元，但前期治理区钻机平台、</w:t>
      </w:r>
      <w:r>
        <w:rPr>
          <w:rFonts w:hint="default" w:ascii="Times New Roman" w:hAnsi="Times New Roman" w:eastAsia="宋体" w:cs="Times New Roman"/>
          <w:color w:val="auto"/>
          <w:sz w:val="24"/>
          <w:szCs w:val="24"/>
          <w:lang w:val="en-US" w:eastAsia="zh-CN"/>
        </w:rPr>
        <w:t>探坑、废渣堆等，</w:t>
      </w:r>
      <w:r>
        <w:rPr>
          <w:rFonts w:hint="default" w:ascii="Times New Roman" w:hAnsi="Times New Roman" w:eastAsia="宋体" w:cs="Times New Roman"/>
          <w:color w:val="auto"/>
          <w:kern w:val="2"/>
          <w:sz w:val="24"/>
          <w:szCs w:val="24"/>
          <w:lang w:val="en-US" w:eastAsia="zh-CN" w:bidi="ar"/>
        </w:rPr>
        <w:t>因播种季节、</w:t>
      </w:r>
      <w:r>
        <w:rPr>
          <w:rFonts w:hint="default" w:ascii="Times New Roman" w:hAnsi="Times New Roman" w:eastAsia="宋体" w:cs="Times New Roman"/>
          <w:b w:val="0"/>
          <w:bCs w:val="0"/>
          <w:color w:val="auto"/>
          <w:sz w:val="24"/>
          <w:szCs w:val="24"/>
          <w:lang w:val="en-US" w:eastAsia="zh-CN"/>
        </w:rPr>
        <w:t>气候干旱等</w:t>
      </w:r>
      <w:r>
        <w:rPr>
          <w:rFonts w:hint="default" w:ascii="Times New Roman" w:hAnsi="Times New Roman" w:eastAsia="宋体" w:cs="Times New Roman"/>
          <w:color w:val="auto"/>
          <w:kern w:val="2"/>
          <w:sz w:val="24"/>
          <w:szCs w:val="24"/>
          <w:lang w:val="en-US" w:eastAsia="zh-CN" w:bidi="ar"/>
        </w:rPr>
        <w:t>原因，导致植被成活率较低，需要对已完成的治理单元进行补种补植、管护；且根据现场调查发现，治理区</w:t>
      </w:r>
      <w:r>
        <w:rPr>
          <w:rFonts w:hint="default" w:ascii="Times New Roman" w:hAnsi="Times New Roman" w:eastAsia="宋体" w:cs="Times New Roman"/>
          <w:color w:val="auto"/>
          <w:sz w:val="24"/>
          <w:szCs w:val="24"/>
          <w:lang w:val="en-US" w:eastAsia="zh-CN"/>
        </w:rPr>
        <w:t>探坑TK1及废渣堆存在被冲蚀现象，为防止雨水继续对坡面造成冲蚀，设计在废渣堆顶部设置挡水梗，并对现状的冲蚀</w:t>
      </w:r>
      <w:r>
        <w:rPr>
          <w:rFonts w:hint="eastAsia" w:ascii="Times New Roman" w:hAnsi="Times New Roman" w:eastAsia="宋体" w:cs="Times New Roman"/>
          <w:color w:val="auto"/>
          <w:sz w:val="24"/>
          <w:szCs w:val="24"/>
          <w:lang w:val="en-US" w:eastAsia="zh-CN"/>
        </w:rPr>
        <w:t>沟</w:t>
      </w:r>
      <w:r>
        <w:rPr>
          <w:rFonts w:hint="default" w:ascii="Times New Roman" w:hAnsi="Times New Roman" w:eastAsia="宋体" w:cs="Times New Roman"/>
          <w:color w:val="auto"/>
          <w:sz w:val="24"/>
          <w:szCs w:val="24"/>
          <w:lang w:val="en-US" w:eastAsia="zh-CN"/>
        </w:rPr>
        <w:t>进行修复，已保证地形地貌景观的协调性。</w:t>
      </w:r>
    </w:p>
    <w:p w14:paraId="6924BBB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需要指出的是，矿区存在的民采坑（CK1-CK4）也属于应治可治单元，其中CK3/CK3-1位于养猪场的网围栏及警戒线以内，鉴于CK3/CK3-1所在的区域已被围封有效利用，治理责任主体明确，应由养殖企业进行治理，矿山年度治理计划书不再设计相关的治理工程。CK4的绝大部分位于未来开采范围内，采坑西侧开发利用境界线之外的区域，矿方计划后续提交外围资源储量报告，利用该场地沿矿体走向继续布设钻探工程，故该场地不设计治理。</w:t>
      </w:r>
    </w:p>
    <w:p w14:paraId="0A15189E">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ind w:firstLine="482" w:firstLineChars="200"/>
        <w:jc w:val="left"/>
        <w:textAlignment w:val="auto"/>
        <w:outlineLvl w:val="1"/>
        <w:rPr>
          <w:rFonts w:hint="default" w:ascii="Times New Roman" w:hAnsi="Times New Roman" w:eastAsia="宋体" w:cs="Times New Roman"/>
          <w:b/>
          <w:bCs/>
          <w:color w:val="auto"/>
          <w:sz w:val="24"/>
          <w:szCs w:val="24"/>
          <w:lang w:val="en-US" w:eastAsia="zh-CN"/>
        </w:rPr>
      </w:pPr>
      <w:bookmarkStart w:id="52" w:name="_Toc19944"/>
      <w:bookmarkStart w:id="53" w:name="_Toc10321"/>
      <w:bookmarkStart w:id="54" w:name="_Toc18394"/>
      <w:bookmarkStart w:id="55" w:name="_Toc16292"/>
      <w:bookmarkStart w:id="56" w:name="_Toc23661"/>
      <w:bookmarkStart w:id="57" w:name="_Toc30328"/>
      <w:r>
        <w:rPr>
          <w:rFonts w:hint="default" w:ascii="Times New Roman" w:hAnsi="Times New Roman" w:eastAsia="宋体" w:cs="Times New Roman"/>
          <w:b/>
          <w:bCs/>
          <w:color w:val="auto"/>
          <w:sz w:val="24"/>
          <w:szCs w:val="24"/>
          <w:lang w:val="en-US" w:eastAsia="zh-CN"/>
        </w:rPr>
        <w:t>（</w:t>
      </w:r>
      <w:r>
        <w:rPr>
          <w:rFonts w:hint="eastAsia" w:ascii="Times New Roman" w:hAnsi="Times New Roman" w:eastAsia="宋体" w:cs="Times New Roman"/>
          <w:b/>
          <w:bCs/>
          <w:color w:val="auto"/>
          <w:sz w:val="24"/>
          <w:szCs w:val="24"/>
          <w:lang w:val="en-US" w:eastAsia="zh-CN"/>
        </w:rPr>
        <w:t>二</w:t>
      </w:r>
      <w:r>
        <w:rPr>
          <w:rFonts w:hint="default" w:ascii="Times New Roman" w:hAnsi="Times New Roman" w:eastAsia="宋体" w:cs="Times New Roman"/>
          <w:b/>
          <w:bCs/>
          <w:color w:val="auto"/>
          <w:sz w:val="24"/>
          <w:szCs w:val="24"/>
          <w:lang w:val="en-US" w:eastAsia="zh-CN"/>
        </w:rPr>
        <w:t>）矿山地质环境监测工程</w:t>
      </w:r>
      <w:bookmarkEnd w:id="52"/>
      <w:bookmarkEnd w:id="53"/>
      <w:bookmarkEnd w:id="54"/>
      <w:bookmarkEnd w:id="55"/>
      <w:bookmarkEnd w:id="56"/>
      <w:bookmarkEnd w:id="57"/>
    </w:p>
    <w:p w14:paraId="682CC9B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治理</w:t>
      </w:r>
      <w:r>
        <w:rPr>
          <w:rFonts w:hint="default" w:ascii="Times New Roman" w:hAnsi="Times New Roman" w:eastAsia="宋体" w:cs="Times New Roman"/>
          <w:color w:val="auto"/>
          <w:kern w:val="2"/>
          <w:sz w:val="24"/>
          <w:szCs w:val="24"/>
          <w:lang w:val="en-US" w:eastAsia="zh-CN" w:bidi="ar"/>
        </w:rPr>
        <w:t>方案》规划的202</w:t>
      </w:r>
      <w:r>
        <w:rPr>
          <w:rFonts w:hint="eastAsia" w:ascii="Times New Roman" w:hAnsi="Times New Roman" w:eastAsia="宋体"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年</w:t>
      </w:r>
      <w:r>
        <w:rPr>
          <w:rFonts w:hint="default" w:ascii="Times New Roman" w:hAnsi="Times New Roman" w:eastAsia="宋体" w:cs="Times New Roman"/>
          <w:color w:val="auto"/>
          <w:sz w:val="24"/>
          <w:szCs w:val="24"/>
          <w:lang w:val="en-US" w:eastAsia="zh-CN"/>
        </w:rPr>
        <w:t>矿山地质环境监测工程包括</w:t>
      </w:r>
      <w:r>
        <w:rPr>
          <w:rFonts w:hint="default" w:ascii="Times New Roman" w:hAnsi="Times New Roman" w:eastAsia="宋体" w:cs="Times New Roman"/>
          <w:color w:val="auto"/>
          <w:sz w:val="24"/>
          <w:szCs w:val="24"/>
        </w:rPr>
        <w:t>对</w:t>
      </w:r>
      <w:r>
        <w:rPr>
          <w:rFonts w:hint="eastAsia" w:ascii="Times New Roman" w:hAnsi="Times New Roman" w:eastAsia="宋体" w:cs="Times New Roman"/>
          <w:color w:val="auto"/>
          <w:sz w:val="24"/>
          <w:szCs w:val="24"/>
          <w:lang w:val="en-US" w:eastAsia="zh-CN"/>
        </w:rPr>
        <w:t>露天采场</w:t>
      </w:r>
      <w:r>
        <w:rPr>
          <w:rFonts w:hint="default" w:ascii="Times New Roman" w:hAnsi="Times New Roman" w:eastAsia="宋体" w:cs="Times New Roman"/>
          <w:color w:val="auto"/>
          <w:sz w:val="24"/>
          <w:szCs w:val="24"/>
        </w:rPr>
        <w:t>进行稳定性地质灾害监测，以及对矿区土地资源及地形地貌景观进行监测工程</w:t>
      </w:r>
      <w:r>
        <w:rPr>
          <w:rFonts w:hint="default" w:ascii="Times New Roman" w:hAnsi="Times New Roman" w:eastAsia="宋体" w:cs="Times New Roman"/>
          <w:color w:val="auto"/>
          <w:sz w:val="24"/>
          <w:szCs w:val="24"/>
          <w:lang w:val="en-US" w:eastAsia="zh-CN"/>
        </w:rPr>
        <w:t>两项</w:t>
      </w:r>
      <w:r>
        <w:rPr>
          <w:rFonts w:hint="default" w:ascii="Times New Roman" w:hAnsi="Times New Roman" w:eastAsia="宋体" w:cs="Times New Roman"/>
          <w:color w:val="auto"/>
          <w:sz w:val="24"/>
          <w:szCs w:val="24"/>
        </w:rPr>
        <w:t>。</w:t>
      </w:r>
    </w:p>
    <w:p w14:paraId="66ABD0E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bidi="ar"/>
        </w:rPr>
        <w:t>202</w:t>
      </w:r>
      <w:r>
        <w:rPr>
          <w:rFonts w:hint="eastAsia" w:ascii="Times New Roman" w:hAnsi="Times New Roman" w:eastAsia="宋体"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年</w:t>
      </w:r>
      <w:r>
        <w:rPr>
          <w:rFonts w:hint="default" w:ascii="Times New Roman" w:hAnsi="Times New Roman" w:eastAsia="宋体" w:cs="Times New Roman"/>
          <w:color w:val="auto"/>
          <w:sz w:val="24"/>
          <w:szCs w:val="24"/>
          <w:lang w:val="en-US" w:eastAsia="zh-CN"/>
        </w:rPr>
        <w:t>矿山地质环境监测工程主要为矿区土地资源及地形地貌景观监测。</w:t>
      </w:r>
    </w:p>
    <w:p w14:paraId="031122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1、监测内容</w:t>
      </w:r>
    </w:p>
    <w:p w14:paraId="6B22F5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为保护矿区生态环境，尽可能的保护矿区及其矿区以外土地免受挖损与占用，对矿区内土地资源、地形地貌景观进行监测。</w:t>
      </w:r>
    </w:p>
    <w:p w14:paraId="63198FC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2</w:t>
      </w:r>
      <w:r>
        <w:rPr>
          <w:rFonts w:hint="default" w:ascii="Times New Roman" w:hAnsi="Times New Roman" w:eastAsia="宋体" w:cs="Times New Roman"/>
          <w:color w:val="auto"/>
          <w:sz w:val="24"/>
          <w:szCs w:val="24"/>
          <w:lang w:eastAsia="zh-CN"/>
        </w:rPr>
        <w:t>、监测方法</w:t>
      </w:r>
    </w:p>
    <w:p w14:paraId="3D9995F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采用目测及拍照摄像相结合的方式，采用路线法，对工程场地的外观表现特征参数进行监测，对各区破坏的土地类型进行实地调查。</w:t>
      </w:r>
    </w:p>
    <w:p w14:paraId="413F0C0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3</w:t>
      </w:r>
      <w:r>
        <w:rPr>
          <w:rFonts w:hint="default" w:ascii="Times New Roman" w:hAnsi="Times New Roman" w:eastAsia="宋体" w:cs="Times New Roman"/>
          <w:color w:val="auto"/>
          <w:sz w:val="24"/>
          <w:szCs w:val="24"/>
          <w:lang w:eastAsia="zh-CN"/>
        </w:rPr>
        <w:t>、监测频率</w:t>
      </w:r>
    </w:p>
    <w:p w14:paraId="2868FE7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每月目测</w:t>
      </w:r>
      <w:r>
        <w:rPr>
          <w:rFonts w:hint="default" w:ascii="Times New Roman" w:hAnsi="Times New Roman" w:eastAsia="宋体" w:cs="Times New Roman"/>
          <w:color w:val="auto"/>
          <w:sz w:val="24"/>
          <w:szCs w:val="24"/>
          <w:lang w:val="en-US"/>
        </w:rPr>
        <w:t>1</w:t>
      </w:r>
      <w:r>
        <w:rPr>
          <w:rFonts w:hint="default" w:ascii="Times New Roman" w:hAnsi="Times New Roman" w:eastAsia="宋体" w:cs="Times New Roman"/>
          <w:color w:val="auto"/>
          <w:sz w:val="24"/>
          <w:szCs w:val="24"/>
          <w:lang w:eastAsia="zh-CN"/>
        </w:rPr>
        <w:t>次，每年对场地占用情况进行一次仪器测量并拍照摄像。</w:t>
      </w:r>
    </w:p>
    <w:p w14:paraId="406EFAB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4</w:t>
      </w:r>
      <w:r>
        <w:rPr>
          <w:rFonts w:hint="default" w:ascii="Times New Roman" w:hAnsi="Times New Roman" w:eastAsia="宋体" w:cs="Times New Roman"/>
          <w:color w:val="auto"/>
          <w:sz w:val="24"/>
          <w:szCs w:val="24"/>
          <w:lang w:eastAsia="zh-CN"/>
        </w:rPr>
        <w:t>、监测时限</w:t>
      </w:r>
    </w:p>
    <w:p w14:paraId="6E938B1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矿山生产期间和首期治理期内，自</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eastAsia="zh-CN"/>
        </w:rPr>
        <w:t>年</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月</w:t>
      </w:r>
      <w:r>
        <w:rPr>
          <w:rFonts w:hint="default" w:ascii="Times New Roman" w:hAnsi="Times New Roman" w:eastAsia="宋体" w:cs="Times New Roman"/>
          <w:color w:val="auto"/>
          <w:sz w:val="24"/>
          <w:szCs w:val="24"/>
          <w:lang w:val="en-US"/>
        </w:rPr>
        <w:t>1</w:t>
      </w:r>
      <w:r>
        <w:rPr>
          <w:rFonts w:hint="default" w:ascii="Times New Roman" w:hAnsi="Times New Roman" w:eastAsia="宋体" w:cs="Times New Roman"/>
          <w:color w:val="auto"/>
          <w:sz w:val="24"/>
          <w:szCs w:val="24"/>
          <w:lang w:eastAsia="zh-CN"/>
        </w:rPr>
        <w:t>日</w:t>
      </w:r>
      <w:r>
        <w:rPr>
          <w:rFonts w:hint="default" w:ascii="Times New Roman" w:hAnsi="Times New Roman" w:eastAsia="宋体" w:cs="Times New Roman"/>
          <w:color w:val="auto"/>
          <w:sz w:val="24"/>
          <w:szCs w:val="24"/>
          <w:lang w:val="en-US"/>
        </w:rPr>
        <w:t>-</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eastAsia="zh-CN"/>
        </w:rPr>
        <w:t>年</w:t>
      </w:r>
      <w:r>
        <w:rPr>
          <w:rFonts w:hint="eastAsia"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lang w:eastAsia="zh-CN"/>
        </w:rPr>
        <w:t>月</w:t>
      </w:r>
      <w:r>
        <w:rPr>
          <w:rFonts w:hint="eastAsia" w:ascii="Times New Roman" w:hAnsi="Times New Roman" w:eastAsia="宋体" w:cs="Times New Roman"/>
          <w:color w:val="auto"/>
          <w:sz w:val="24"/>
          <w:szCs w:val="24"/>
          <w:lang w:val="en-US" w:eastAsia="zh-CN"/>
        </w:rPr>
        <w:t>31</w:t>
      </w:r>
      <w:r>
        <w:rPr>
          <w:rFonts w:hint="default" w:ascii="Times New Roman" w:hAnsi="Times New Roman" w:eastAsia="宋体" w:cs="Times New Roman"/>
          <w:color w:val="auto"/>
          <w:sz w:val="24"/>
          <w:szCs w:val="24"/>
          <w:lang w:eastAsia="zh-CN"/>
        </w:rPr>
        <w:t>日</w:t>
      </w:r>
      <w:r>
        <w:rPr>
          <w:rFonts w:hint="eastAsia" w:ascii="Times New Roman" w:hAnsi="Times New Roman" w:eastAsia="宋体" w:cs="Times New Roman"/>
          <w:color w:val="auto"/>
          <w:sz w:val="24"/>
          <w:szCs w:val="24"/>
          <w:lang w:eastAsia="zh-CN"/>
        </w:rPr>
        <w:t>；</w:t>
      </w:r>
    </w:p>
    <w:p w14:paraId="6D9B548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p>
    <w:p w14:paraId="233E9DA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监测记录表见表</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rPr>
        <w:t>-</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p>
    <w:p w14:paraId="6631E045">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b/>
          <w:bCs w:val="0"/>
          <w:color w:val="auto"/>
          <w:sz w:val="24"/>
          <w:szCs w:val="24"/>
          <w:lang w:val="en-US"/>
        </w:rPr>
      </w:pPr>
      <w:r>
        <w:rPr>
          <w:rFonts w:hint="eastAsia" w:ascii="黑体" w:hAnsi="黑体" w:eastAsia="黑体" w:cs="黑体"/>
          <w:b w:val="0"/>
          <w:bCs/>
          <w:color w:val="auto"/>
          <w:kern w:val="0"/>
          <w:sz w:val="24"/>
          <w:szCs w:val="24"/>
          <w:lang w:val="en-US" w:eastAsia="zh-CN" w:bidi="ar"/>
        </w:rPr>
        <w:t>表5-2  地形地貌景观及土地资源监测记录表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0"/>
        <w:gridCol w:w="863"/>
        <w:gridCol w:w="1270"/>
        <w:gridCol w:w="5235"/>
      </w:tblGrid>
      <w:tr w14:paraId="3B6D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C0553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监测单元</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E95C3B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
              </w:rPr>
            </w:pPr>
          </w:p>
        </w:tc>
      </w:tr>
      <w:tr w14:paraId="3215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F78C5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时间：  年   月   日</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75BA61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天气：</w:t>
            </w:r>
          </w:p>
        </w:tc>
      </w:tr>
      <w:tr w14:paraId="63C1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BDF07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监测内容</w:t>
            </w: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36C80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损毁土地面积（m</w:t>
            </w:r>
            <w:r>
              <w:rPr>
                <w:rFonts w:hint="default" w:ascii="Times New Roman" w:hAnsi="Times New Roman" w:eastAsia="宋体" w:cs="Times New Roman"/>
                <w:color w:val="auto"/>
                <w:kern w:val="2"/>
                <w:sz w:val="21"/>
                <w:szCs w:val="21"/>
                <w:vertAlign w:val="superscript"/>
                <w:lang w:val="en-US" w:eastAsia="zh-CN" w:bidi="ar"/>
              </w:rPr>
              <w:t>2</w:t>
            </w:r>
            <w:r>
              <w:rPr>
                <w:rFonts w:hint="default" w:ascii="Times New Roman" w:hAnsi="Times New Roman" w:eastAsia="宋体" w:cs="Times New Roman"/>
                <w:color w:val="auto"/>
                <w:kern w:val="2"/>
                <w:sz w:val="21"/>
                <w:szCs w:val="21"/>
                <w:lang w:val="en-US" w:eastAsia="zh-CN" w:bidi="ar"/>
              </w:rPr>
              <w:t>）</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F78000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348E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4F33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0866A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破坏土地利用类型</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254D87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035A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C02B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A3F66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损毁方式</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522D40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0CD1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0539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70FB8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损毁程度</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07B15B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4C6B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9809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6D096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治理难度</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670A45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1730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53A57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监测人员</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CAAF30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2003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48" w:type="dxa"/>
            <w:gridSpan w:val="4"/>
            <w:tcBorders>
              <w:top w:val="nil"/>
              <w:left w:val="single" w:color="auto" w:sz="4" w:space="0"/>
              <w:bottom w:val="nil"/>
              <w:right w:val="single" w:color="auto" w:sz="4" w:space="0"/>
            </w:tcBorders>
            <w:shd w:val="clear" w:color="auto" w:fill="auto"/>
            <w:vAlign w:val="center"/>
          </w:tcPr>
          <w:p w14:paraId="0891BC2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2"/>
                <w:lang w:val="en-US"/>
              </w:rPr>
            </w:pPr>
          </w:p>
          <w:p w14:paraId="6FF36455">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Cs w:val="21"/>
                <w:lang w:val="en-US"/>
              </w:rPr>
            </w:pPr>
          </w:p>
          <w:p w14:paraId="36E0DC31">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Cs w:val="21"/>
                <w:lang w:val="en-US"/>
              </w:rPr>
            </w:pPr>
          </w:p>
          <w:p w14:paraId="22773762">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Cs w:val="21"/>
                <w:lang w:val="en-US"/>
              </w:rPr>
            </w:pPr>
          </w:p>
          <w:p w14:paraId="117D5FC7">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Cs w:val="21"/>
                <w:lang w:val="en-US"/>
              </w:rPr>
            </w:pPr>
          </w:p>
          <w:p w14:paraId="6DADE47E">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Cs w:val="21"/>
                <w:lang w:val="en-US"/>
              </w:rPr>
            </w:pPr>
          </w:p>
          <w:p w14:paraId="50FB5622">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kern w:val="2"/>
                <w:szCs w:val="21"/>
                <w:lang w:val="en-US"/>
              </w:rPr>
            </w:pPr>
          </w:p>
        </w:tc>
      </w:tr>
      <w:tr w14:paraId="4F3B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1C2E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存在问题</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94D3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1C90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8645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处理意见</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EC0F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14D1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5259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处理结果</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FE3D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bl>
    <w:p w14:paraId="08BB0CDA">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color w:val="auto"/>
          <w:sz w:val="24"/>
          <w:szCs w:val="20"/>
        </w:rPr>
      </w:pPr>
    </w:p>
    <w:p w14:paraId="7619BE42">
      <w:pPr>
        <w:rPr>
          <w:color w:val="auto"/>
          <w:sz w:val="24"/>
          <w:szCs w:val="20"/>
        </w:rPr>
      </w:pPr>
      <w:r>
        <w:rPr>
          <w:color w:val="auto"/>
          <w:sz w:val="24"/>
          <w:szCs w:val="20"/>
        </w:rPr>
        <w:br w:type="page"/>
      </w:r>
    </w:p>
    <w:p w14:paraId="7BB0C11D">
      <w:pPr>
        <w:pStyle w:val="2"/>
        <w:keepNext/>
        <w:keepLines/>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color w:val="auto"/>
          <w:kern w:val="0"/>
          <w:sz w:val="32"/>
          <w:szCs w:val="32"/>
          <w:highlight w:val="none"/>
          <w:lang w:val="zh-CN"/>
        </w:rPr>
      </w:pPr>
      <w:bookmarkStart w:id="58" w:name="_Toc11279"/>
      <w:bookmarkStart w:id="59" w:name="_Toc9274"/>
      <w:r>
        <w:rPr>
          <w:rFonts w:hint="eastAsia" w:ascii="宋体" w:hAnsi="宋体" w:eastAsia="宋体" w:cs="宋体"/>
          <w:color w:val="auto"/>
          <w:lang w:val="en-US" w:eastAsia="zh-CN"/>
        </w:rPr>
        <w:t>五</w:t>
      </w:r>
      <w:r>
        <w:rPr>
          <w:rFonts w:hint="eastAsia" w:ascii="宋体" w:hAnsi="宋体" w:eastAsia="宋体" w:cs="宋体"/>
          <w:color w:val="auto"/>
          <w:lang w:eastAsia="zh-CN"/>
        </w:rPr>
        <w:t>、</w:t>
      </w:r>
      <w:r>
        <w:rPr>
          <w:rFonts w:hint="eastAsia" w:ascii="宋体" w:hAnsi="宋体" w:eastAsia="宋体" w:cs="宋体"/>
          <w:color w:val="auto"/>
        </w:rPr>
        <w:t>经费估算</w:t>
      </w:r>
      <w:bookmarkEnd w:id="58"/>
      <w:bookmarkEnd w:id="59"/>
    </w:p>
    <w:p w14:paraId="0D90A9F0">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ind w:firstLine="482" w:firstLineChars="200"/>
        <w:jc w:val="left"/>
        <w:textAlignment w:val="auto"/>
        <w:outlineLvl w:val="1"/>
        <w:rPr>
          <w:rFonts w:hint="default" w:ascii="Times New Roman" w:hAnsi="Times New Roman" w:eastAsia="宋体" w:cs="Times New Roman"/>
          <w:b/>
          <w:bCs/>
          <w:color w:val="auto"/>
          <w:sz w:val="24"/>
          <w:szCs w:val="24"/>
          <w:lang w:val="en-US" w:eastAsia="zh-CN"/>
        </w:rPr>
      </w:pPr>
      <w:bookmarkStart w:id="60" w:name="_Toc20530"/>
      <w:bookmarkStart w:id="61" w:name="_Toc32038"/>
      <w:r>
        <w:rPr>
          <w:rFonts w:hint="default" w:ascii="Times New Roman" w:hAnsi="Times New Roman" w:eastAsia="宋体" w:cs="Times New Roman"/>
          <w:b/>
          <w:bCs/>
          <w:color w:val="auto"/>
          <w:sz w:val="24"/>
          <w:szCs w:val="24"/>
          <w:lang w:val="en-US" w:eastAsia="zh-CN"/>
        </w:rPr>
        <w:t>（一）估算说明</w:t>
      </w:r>
      <w:bookmarkEnd w:id="60"/>
      <w:bookmarkEnd w:id="61"/>
    </w:p>
    <w:p w14:paraId="329A7B72">
      <w:pPr>
        <w:keepNext w:val="0"/>
        <w:keepLines w:val="0"/>
        <w:pageBreakBefore w:val="0"/>
        <w:tabs>
          <w:tab w:val="left" w:pos="720"/>
        </w:tabs>
        <w:kinsoku/>
        <w:wordWrap/>
        <w:overflowPunct/>
        <w:topLinePunct w:val="0"/>
        <w:autoSpaceDE w:val="0"/>
        <w:autoSpaceDN w:val="0"/>
        <w:bidi w:val="0"/>
        <w:adjustRightIn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预算编制依据</w:t>
      </w:r>
    </w:p>
    <w:p w14:paraId="73140ACC">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内蒙古自治区财政厅、国土资源厅《内蒙古自治区矿山地质环境治理工程预算定额标准（试行）》及相关配套文件；</w:t>
      </w:r>
    </w:p>
    <w:p w14:paraId="3A2176F1">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《内蒙古自治区矿山地质环境治理工程定额》（内财建[2013]600号）；</w:t>
      </w:r>
    </w:p>
    <w:p w14:paraId="51AE1129">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矿山地质环境保护与</w:t>
      </w:r>
      <w:r>
        <w:rPr>
          <w:rFonts w:hint="default" w:ascii="Times New Roman" w:hAnsi="Times New Roman" w:eastAsia="宋体" w:cs="Times New Roman"/>
          <w:color w:val="auto"/>
          <w:sz w:val="24"/>
          <w:szCs w:val="24"/>
          <w:highlight w:val="none"/>
          <w:lang w:val="en-US" w:eastAsia="zh-CN"/>
        </w:rPr>
        <w:t>土地复垦</w:t>
      </w:r>
      <w:r>
        <w:rPr>
          <w:rFonts w:hint="default" w:ascii="Times New Roman" w:hAnsi="Times New Roman" w:eastAsia="宋体" w:cs="Times New Roman"/>
          <w:color w:val="auto"/>
          <w:sz w:val="24"/>
          <w:szCs w:val="24"/>
          <w:highlight w:val="none"/>
        </w:rPr>
        <w:t>方案</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的实物工作量及相关图件；</w:t>
      </w:r>
    </w:p>
    <w:p w14:paraId="2B2E0CEA">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财政部、国土资源部《土地开发整理项目预算定额标准》（2011）；</w:t>
      </w:r>
    </w:p>
    <w:p w14:paraId="5C97782F">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赤峰市材料价格信息（202</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季度）及</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材料价格市场询价。</w:t>
      </w:r>
    </w:p>
    <w:p w14:paraId="07BDC9C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1"/>
        <w:rPr>
          <w:rFonts w:hint="default" w:ascii="Times New Roman" w:hAnsi="Times New Roman" w:eastAsia="宋体" w:cs="Times New Roman"/>
          <w:b/>
          <w:bCs/>
          <w:color w:val="auto"/>
          <w:sz w:val="28"/>
          <w:szCs w:val="28"/>
          <w:lang w:val="zh-CN" w:eastAsia="zh-CN"/>
        </w:rPr>
      </w:pPr>
      <w:bookmarkStart w:id="62" w:name="_Toc19188"/>
      <w:bookmarkStart w:id="63" w:name="_Toc18269"/>
      <w:r>
        <w:rPr>
          <w:rFonts w:hint="default" w:ascii="Times New Roman" w:hAnsi="Times New Roman" w:eastAsia="宋体" w:cs="Times New Roman"/>
          <w:b/>
          <w:bCs/>
          <w:color w:val="auto"/>
          <w:sz w:val="24"/>
          <w:szCs w:val="24"/>
          <w:lang w:val="zh-CN" w:eastAsia="zh-CN"/>
        </w:rPr>
        <w:t>（二）主要工程量</w:t>
      </w:r>
      <w:bookmarkEnd w:id="62"/>
      <w:bookmarkEnd w:id="63"/>
    </w:p>
    <w:p w14:paraId="320C032B">
      <w:pPr>
        <w:tabs>
          <w:tab w:val="left" w:pos="7235"/>
        </w:tabs>
        <w:wordWrap/>
        <w:spacing w:line="240" w:lineRule="auto"/>
        <w:ind w:right="-605" w:rightChars="-216" w:firstLine="0" w:firstLineChars="0"/>
        <w:jc w:val="center"/>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w:t>
      </w:r>
      <w:r>
        <w:rPr>
          <w:rFonts w:hint="eastAsia" w:ascii="黑体" w:hAnsi="黑体" w:eastAsia="黑体" w:cs="黑体"/>
          <w:b w:val="0"/>
          <w:bCs/>
          <w:color w:val="auto"/>
          <w:sz w:val="24"/>
          <w:szCs w:val="24"/>
          <w:highlight w:val="none"/>
          <w:lang w:val="en-US" w:eastAsia="zh-CN"/>
        </w:rPr>
        <w:t>1</w:t>
      </w:r>
      <w:r>
        <w:rPr>
          <w:rFonts w:hint="default" w:ascii="黑体" w:hAnsi="黑体" w:eastAsia="黑体" w:cs="黑体"/>
          <w:b w:val="0"/>
          <w:bCs/>
          <w:color w:val="auto"/>
          <w:sz w:val="24"/>
          <w:szCs w:val="24"/>
          <w:highlight w:val="none"/>
          <w:lang w:val="en-US" w:eastAsia="zh-CN"/>
        </w:rPr>
        <w:t xml:space="preserve"> </w:t>
      </w:r>
      <w:r>
        <w:rPr>
          <w:rFonts w:hint="default" w:ascii="黑体" w:hAnsi="黑体" w:eastAsia="黑体" w:cs="黑体"/>
          <w:b w:val="0"/>
          <w:bCs/>
          <w:color w:val="auto"/>
          <w:sz w:val="24"/>
          <w:szCs w:val="24"/>
          <w:highlight w:val="none"/>
        </w:rPr>
        <w:t xml:space="preserve"> 治理工程量汇总表</w:t>
      </w:r>
    </w:p>
    <w:tbl>
      <w:tblPr>
        <w:tblStyle w:val="19"/>
        <w:tblW w:w="8051" w:type="dxa"/>
        <w:jc w:val="center"/>
        <w:shd w:val="clear" w:color="auto" w:fill="auto"/>
        <w:tblLayout w:type="autofit"/>
        <w:tblCellMar>
          <w:top w:w="0" w:type="dxa"/>
          <w:left w:w="108" w:type="dxa"/>
          <w:bottom w:w="0" w:type="dxa"/>
          <w:right w:w="108" w:type="dxa"/>
        </w:tblCellMar>
      </w:tblPr>
      <w:tblGrid>
        <w:gridCol w:w="1548"/>
        <w:gridCol w:w="2809"/>
        <w:gridCol w:w="1785"/>
        <w:gridCol w:w="1909"/>
      </w:tblGrid>
      <w:tr w14:paraId="35C44477">
        <w:tblPrEx>
          <w:shd w:val="clear" w:color="auto" w:fill="auto"/>
          <w:tblCellMar>
            <w:top w:w="0" w:type="dxa"/>
            <w:left w:w="108" w:type="dxa"/>
            <w:bottom w:w="0" w:type="dxa"/>
            <w:right w:w="108" w:type="dxa"/>
          </w:tblCellMar>
        </w:tblPrEx>
        <w:trPr>
          <w:trHeight w:val="283"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2671">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21A8">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C150">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计量单位</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1411">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工程量</w:t>
            </w:r>
          </w:p>
        </w:tc>
      </w:tr>
      <w:tr w14:paraId="05323BA0">
        <w:tblPrEx>
          <w:tblCellMar>
            <w:top w:w="0" w:type="dxa"/>
            <w:left w:w="108" w:type="dxa"/>
            <w:bottom w:w="0" w:type="dxa"/>
            <w:right w:w="108" w:type="dxa"/>
          </w:tblCellMar>
        </w:tblPrEx>
        <w:trPr>
          <w:trHeight w:val="283"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8941">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一</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C5B9">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lang w:val="en-US"/>
              </w:rPr>
            </w:pPr>
            <w:r>
              <w:rPr>
                <w:rFonts w:hint="default" w:ascii="Times New Roman" w:hAnsi="Times New Roman" w:eastAsia="宋体" w:cs="Times New Roman"/>
                <w:b/>
                <w:bCs/>
                <w:i w:val="0"/>
                <w:iCs w:val="0"/>
                <w:color w:val="auto"/>
                <w:kern w:val="0"/>
                <w:sz w:val="21"/>
                <w:szCs w:val="21"/>
                <w:highlight w:val="none"/>
                <w:u w:val="none"/>
                <w:lang w:val="en-US" w:eastAsia="zh-CN" w:bidi="ar"/>
              </w:rPr>
              <w:t>监测管护工程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3D1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42A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r>
      <w:tr w14:paraId="47B02903">
        <w:tblPrEx>
          <w:tblCellMar>
            <w:top w:w="0" w:type="dxa"/>
            <w:left w:w="108" w:type="dxa"/>
            <w:bottom w:w="0" w:type="dxa"/>
            <w:right w:w="108" w:type="dxa"/>
          </w:tblCellMar>
        </w:tblPrEx>
        <w:trPr>
          <w:trHeight w:val="283"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5A9F">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184E">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地形地貌景观监测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28C6">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30F9">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12</w:t>
            </w:r>
          </w:p>
        </w:tc>
      </w:tr>
    </w:tbl>
    <w:p w14:paraId="5C3AEAB6">
      <w:pPr>
        <w:keepNext w:val="0"/>
        <w:keepLines w:val="0"/>
        <w:pageBreakBefore w:val="0"/>
        <w:widowControl/>
        <w:numPr>
          <w:ilvl w:val="0"/>
          <w:numId w:val="0"/>
        </w:numPr>
        <w:kinsoku/>
        <w:wordWrap/>
        <w:overflowPunct/>
        <w:topLinePunct w:val="0"/>
        <w:autoSpaceDE/>
        <w:autoSpaceDN/>
        <w:bidi w:val="0"/>
        <w:adjustRightInd w:val="0"/>
        <w:snapToGrid w:val="0"/>
        <w:spacing w:before="0" w:beforeLines="50" w:line="360" w:lineRule="auto"/>
        <w:ind w:firstLine="482" w:firstLineChars="200"/>
        <w:jc w:val="left"/>
        <w:textAlignment w:val="auto"/>
        <w:outlineLvl w:val="1"/>
        <w:rPr>
          <w:rFonts w:hint="default" w:ascii="Times New Roman" w:hAnsi="Times New Roman" w:eastAsia="宋体" w:cs="Times New Roman"/>
          <w:b/>
          <w:bCs/>
          <w:color w:val="auto"/>
          <w:sz w:val="28"/>
          <w:szCs w:val="28"/>
          <w:lang w:val="zh-CN" w:eastAsia="zh-CN"/>
        </w:rPr>
      </w:pPr>
      <w:bookmarkStart w:id="64" w:name="_Toc14103"/>
      <w:bookmarkStart w:id="65" w:name="_Toc31835"/>
      <w:r>
        <w:rPr>
          <w:rFonts w:hint="default" w:ascii="Times New Roman" w:hAnsi="Times New Roman" w:eastAsia="宋体" w:cs="Times New Roman"/>
          <w:b/>
          <w:bCs/>
          <w:color w:val="auto"/>
          <w:sz w:val="24"/>
          <w:szCs w:val="24"/>
          <w:lang w:val="zh-CN" w:eastAsia="zh-CN"/>
        </w:rPr>
        <w:t>（三）估算结果</w:t>
      </w:r>
      <w:bookmarkEnd w:id="64"/>
      <w:bookmarkEnd w:id="65"/>
    </w:p>
    <w:p w14:paraId="52CDAF4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kern w:val="0"/>
          <w:sz w:val="24"/>
          <w:szCs w:val="24"/>
          <w:lang w:val="en-US" w:eastAsia="zh-CN" w:bidi="ar"/>
        </w:rPr>
        <w:t>经估算，202</w:t>
      </w:r>
      <w:r>
        <w:rPr>
          <w:rFonts w:hint="eastAsia" w:ascii="Times New Roman" w:hAnsi="Times New Roman" w:eastAsia="宋体" w:cs="Times New Roman"/>
          <w:color w:val="auto"/>
          <w:kern w:val="0"/>
          <w:sz w:val="24"/>
          <w:szCs w:val="24"/>
          <w:lang w:val="en-US" w:eastAsia="zh-CN" w:bidi="ar"/>
        </w:rPr>
        <w:t>6</w:t>
      </w:r>
      <w:r>
        <w:rPr>
          <w:rFonts w:hint="default" w:ascii="Times New Roman" w:hAnsi="Times New Roman" w:eastAsia="宋体" w:cs="Times New Roman"/>
          <w:color w:val="auto"/>
          <w:kern w:val="0"/>
          <w:sz w:val="24"/>
          <w:szCs w:val="24"/>
          <w:lang w:val="en-US" w:eastAsia="zh-CN" w:bidi="ar"/>
        </w:rPr>
        <w:t>年度矿山地质环境治理费用为</w:t>
      </w:r>
      <w:r>
        <w:rPr>
          <w:rFonts w:hint="eastAsia" w:ascii="Times New Roman" w:hAnsi="Times New Roman" w:eastAsia="宋体" w:cs="Times New Roman"/>
          <w:color w:val="auto"/>
          <w:kern w:val="0"/>
          <w:sz w:val="24"/>
          <w:szCs w:val="24"/>
          <w:lang w:val="en-US" w:eastAsia="zh-CN" w:bidi="ar"/>
        </w:rPr>
        <w:t>0.6</w:t>
      </w:r>
      <w:r>
        <w:rPr>
          <w:rFonts w:hint="default" w:ascii="Times New Roman" w:hAnsi="Times New Roman" w:eastAsia="宋体" w:cs="Times New Roman"/>
          <w:color w:val="auto"/>
          <w:kern w:val="0"/>
          <w:sz w:val="24"/>
          <w:szCs w:val="24"/>
          <w:lang w:val="en-US" w:eastAsia="zh-CN" w:bidi="ar"/>
        </w:rPr>
        <w:t>万元。经费估算总额和各单项工程经费估算结果见表。</w:t>
      </w:r>
    </w:p>
    <w:p w14:paraId="61AAD531">
      <w:pPr>
        <w:keepNext w:val="0"/>
        <w:keepLines w:val="0"/>
        <w:pageBreakBefore w:val="0"/>
        <w:widowControl w:val="0"/>
        <w:kinsoku/>
        <w:wordWrap/>
        <w:overflowPunct/>
        <w:topLinePunct w:val="0"/>
        <w:autoSpaceDE/>
        <w:autoSpaceDN/>
        <w:bidi w:val="0"/>
        <w:adjustRightInd w:val="0"/>
        <w:snapToGrid w:val="0"/>
        <w:spacing w:before="164" w:beforeLines="50" w:after="0" w:line="240" w:lineRule="auto"/>
        <w:ind w:left="0" w:leftChars="0" w:firstLine="0" w:firstLineChars="0"/>
        <w:jc w:val="center"/>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表6</w:t>
      </w:r>
      <w:r>
        <w:rPr>
          <w:rFonts w:hint="default" w:ascii="黑体" w:hAnsi="黑体" w:eastAsia="黑体" w:cs="黑体"/>
          <w:b w:val="0"/>
          <w:bCs/>
          <w:color w:val="auto"/>
          <w:sz w:val="24"/>
          <w:szCs w:val="24"/>
          <w:highlight w:val="none"/>
          <w:lang w:val="en-US" w:eastAsia="zh-CN"/>
        </w:rPr>
        <w:t>-</w:t>
      </w:r>
      <w:r>
        <w:rPr>
          <w:rFonts w:hint="eastAsia" w:ascii="黑体" w:hAnsi="黑体" w:eastAsia="黑体" w:cs="黑体"/>
          <w:b w:val="0"/>
          <w:bCs/>
          <w:color w:val="auto"/>
          <w:sz w:val="24"/>
          <w:szCs w:val="24"/>
          <w:highlight w:val="none"/>
          <w:lang w:val="en-US" w:eastAsia="zh-CN"/>
        </w:rPr>
        <w:t>2</w:t>
      </w:r>
      <w:r>
        <w:rPr>
          <w:rFonts w:hint="default"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lang w:val="en-US" w:eastAsia="zh-CN"/>
        </w:rPr>
        <w:t>监测管护费预算表</w:t>
      </w:r>
    </w:p>
    <w:tbl>
      <w:tblPr>
        <w:tblStyle w:val="19"/>
        <w:tblW w:w="473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8"/>
        <w:gridCol w:w="978"/>
        <w:gridCol w:w="1619"/>
        <w:gridCol w:w="924"/>
        <w:gridCol w:w="1891"/>
        <w:gridCol w:w="1950"/>
      </w:tblGrid>
      <w:tr w14:paraId="1AA0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4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C73D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序号</w:t>
            </w:r>
          </w:p>
        </w:tc>
        <w:tc>
          <w:tcPr>
            <w:tcW w:w="60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AED1C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费用名称</w:t>
            </w:r>
          </w:p>
        </w:tc>
        <w:tc>
          <w:tcPr>
            <w:tcW w:w="1000"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4E9FE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频率（次/年）</w:t>
            </w:r>
          </w:p>
        </w:tc>
        <w:tc>
          <w:tcPr>
            <w:tcW w:w="571"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34FBAC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年限</w:t>
            </w:r>
          </w:p>
        </w:tc>
        <w:tc>
          <w:tcPr>
            <w:tcW w:w="1168"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C2AB9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单次费用（万元）</w:t>
            </w:r>
          </w:p>
        </w:tc>
        <w:tc>
          <w:tcPr>
            <w:tcW w:w="120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33FCB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预算金额（万元）</w:t>
            </w:r>
          </w:p>
        </w:tc>
      </w:tr>
      <w:tr w14:paraId="6046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134F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1</w:t>
            </w:r>
          </w:p>
        </w:tc>
        <w:tc>
          <w:tcPr>
            <w:tcW w:w="60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7B7C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监测费</w:t>
            </w:r>
          </w:p>
        </w:tc>
        <w:tc>
          <w:tcPr>
            <w:tcW w:w="100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8412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kern w:val="0"/>
                <w:sz w:val="21"/>
                <w:szCs w:val="21"/>
                <w:lang w:val="en-US" w:eastAsia="zh-CN" w:bidi="ar"/>
              </w:rPr>
              <w:t>12</w:t>
            </w:r>
          </w:p>
        </w:tc>
        <w:tc>
          <w:tcPr>
            <w:tcW w:w="57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7463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1</w:t>
            </w:r>
          </w:p>
        </w:tc>
        <w:tc>
          <w:tcPr>
            <w:tcW w:w="116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4FFF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w:t>
            </w:r>
          </w:p>
        </w:tc>
        <w:tc>
          <w:tcPr>
            <w:tcW w:w="120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E671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kern w:val="0"/>
                <w:sz w:val="21"/>
                <w:szCs w:val="21"/>
                <w:lang w:val="en-US" w:eastAsia="zh-CN" w:bidi="ar"/>
              </w:rPr>
              <w:t>0.6</w:t>
            </w:r>
          </w:p>
        </w:tc>
      </w:tr>
      <w:tr w14:paraId="7868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9428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合计</w:t>
            </w:r>
          </w:p>
        </w:tc>
        <w:tc>
          <w:tcPr>
            <w:tcW w:w="60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79CF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w:t>
            </w:r>
          </w:p>
        </w:tc>
        <w:tc>
          <w:tcPr>
            <w:tcW w:w="10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DE2E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w:t>
            </w:r>
          </w:p>
        </w:tc>
        <w:tc>
          <w:tcPr>
            <w:tcW w:w="57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09EF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w:t>
            </w:r>
          </w:p>
        </w:tc>
        <w:tc>
          <w:tcPr>
            <w:tcW w:w="116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C93D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w:t>
            </w:r>
          </w:p>
        </w:tc>
        <w:tc>
          <w:tcPr>
            <w:tcW w:w="120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D71F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kern w:val="0"/>
                <w:sz w:val="21"/>
                <w:szCs w:val="21"/>
                <w:lang w:val="en-US" w:eastAsia="zh-CN" w:bidi="ar"/>
              </w:rPr>
              <w:t>0.6</w:t>
            </w:r>
          </w:p>
        </w:tc>
      </w:tr>
    </w:tbl>
    <w:p w14:paraId="0316AD1E">
      <w:pPr>
        <w:ind w:left="0" w:leftChars="0" w:firstLine="0" w:firstLineChars="0"/>
        <w:rPr>
          <w:rFonts w:hint="default" w:eastAsia="宋体" w:cs="宋体" w:asciiTheme="majorAscii" w:hAnsiTheme="majorAscii"/>
          <w:color w:val="auto"/>
        </w:rPr>
      </w:pPr>
    </w:p>
    <w:sectPr>
      <w:footerReference r:id="rId8" w:type="default"/>
      <w:pgSz w:w="11911" w:h="16838"/>
      <w:pgMar w:top="1701" w:right="1701" w:bottom="1701" w:left="1701" w:header="851" w:footer="992"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9FECA">
    <w:pPr>
      <w:spacing w:line="14" w:lineRule="auto"/>
      <w:ind w:firstLine="400"/>
      <w:rPr>
        <w:kern w:val="0"/>
        <w:sz w:val="20"/>
        <w:szCs w:val="20"/>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6EE6">
    <w:pPr>
      <w:pStyle w:val="13"/>
      <w:ind w:firstLine="360"/>
      <w:rPr>
        <w:szCs w:val="20"/>
      </w:rPr>
    </w:pPr>
    <w:r>
      <w:rPr>
        <w:sz w:val="18"/>
      </w:rPr>
      <w:pict>
        <v:shape id="_x0000_s4102" o:spid="_x0000_s410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4D4B7FE">
                <w:pPr>
                  <w:pStyle w:val="13"/>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882FB">
    <w:pPr>
      <w:spacing w:line="14" w:lineRule="auto"/>
      <w:ind w:firstLine="360"/>
      <w:rPr>
        <w:sz w:val="18"/>
        <w:szCs w:val="18"/>
      </w:rPr>
    </w:pPr>
    <w:r>
      <w:rPr>
        <w:sz w:val="18"/>
      </w:rPr>
      <w:pict>
        <v:shape id="_x0000_s4103" o:spid="_x0000_s410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F0D0609">
                <w:pPr>
                  <w:pStyle w:val="13"/>
                </w:pPr>
                <w:r>
                  <w:fldChar w:fldCharType="begin"/>
                </w:r>
                <w:r>
                  <w:instrText xml:space="preserve"> PAGE  \* MERGEFORMAT </w:instrText>
                </w:r>
                <w:r>
                  <w:fldChar w:fldCharType="separate"/>
                </w:r>
                <w:r>
                  <w:t>3</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3F8BE">
    <w:pPr>
      <w:ind w:left="56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kNTcxNWE3MTdjNzE3Zjk1OTBhZGExNzBhNzk5NTEifQ=="/>
  </w:docVars>
  <w:rsids>
    <w:rsidRoot w:val="00255F8A"/>
    <w:rsid w:val="00000473"/>
    <w:rsid w:val="000026B2"/>
    <w:rsid w:val="00025354"/>
    <w:rsid w:val="000508C0"/>
    <w:rsid w:val="00052148"/>
    <w:rsid w:val="00057503"/>
    <w:rsid w:val="000752D3"/>
    <w:rsid w:val="00077EEA"/>
    <w:rsid w:val="00084F3A"/>
    <w:rsid w:val="000850D7"/>
    <w:rsid w:val="00096C5A"/>
    <w:rsid w:val="000A1C86"/>
    <w:rsid w:val="000A3348"/>
    <w:rsid w:val="000B68F9"/>
    <w:rsid w:val="000D354F"/>
    <w:rsid w:val="000E22A1"/>
    <w:rsid w:val="000F1D6E"/>
    <w:rsid w:val="00103C9D"/>
    <w:rsid w:val="00120E76"/>
    <w:rsid w:val="001262F4"/>
    <w:rsid w:val="00133DEF"/>
    <w:rsid w:val="0013438B"/>
    <w:rsid w:val="001458EC"/>
    <w:rsid w:val="00150497"/>
    <w:rsid w:val="00160A6D"/>
    <w:rsid w:val="00161D5E"/>
    <w:rsid w:val="0017318F"/>
    <w:rsid w:val="0018085E"/>
    <w:rsid w:val="00180E92"/>
    <w:rsid w:val="001914C7"/>
    <w:rsid w:val="00197F70"/>
    <w:rsid w:val="001A2D92"/>
    <w:rsid w:val="001A5811"/>
    <w:rsid w:val="001C43D9"/>
    <w:rsid w:val="001D2DA4"/>
    <w:rsid w:val="001D3C53"/>
    <w:rsid w:val="001D5CC2"/>
    <w:rsid w:val="001E1B63"/>
    <w:rsid w:val="001E2557"/>
    <w:rsid w:val="001E66DE"/>
    <w:rsid w:val="00200D50"/>
    <w:rsid w:val="002202C1"/>
    <w:rsid w:val="00222195"/>
    <w:rsid w:val="002269E7"/>
    <w:rsid w:val="002348D4"/>
    <w:rsid w:val="00235899"/>
    <w:rsid w:val="0024417C"/>
    <w:rsid w:val="0025180D"/>
    <w:rsid w:val="00255F8A"/>
    <w:rsid w:val="00262C2B"/>
    <w:rsid w:val="00265413"/>
    <w:rsid w:val="00266D8C"/>
    <w:rsid w:val="00273320"/>
    <w:rsid w:val="0027476C"/>
    <w:rsid w:val="00276BB7"/>
    <w:rsid w:val="0028327A"/>
    <w:rsid w:val="0029219B"/>
    <w:rsid w:val="00293743"/>
    <w:rsid w:val="002978A3"/>
    <w:rsid w:val="002A4924"/>
    <w:rsid w:val="002B2EDA"/>
    <w:rsid w:val="002B4592"/>
    <w:rsid w:val="002B62B3"/>
    <w:rsid w:val="002B6CFE"/>
    <w:rsid w:val="002C112E"/>
    <w:rsid w:val="002C4531"/>
    <w:rsid w:val="002D2B97"/>
    <w:rsid w:val="002E5BA5"/>
    <w:rsid w:val="002E6154"/>
    <w:rsid w:val="002E751D"/>
    <w:rsid w:val="00302A8B"/>
    <w:rsid w:val="003042F8"/>
    <w:rsid w:val="00311A9E"/>
    <w:rsid w:val="00317226"/>
    <w:rsid w:val="0032281C"/>
    <w:rsid w:val="00324EFB"/>
    <w:rsid w:val="00341EA0"/>
    <w:rsid w:val="00342457"/>
    <w:rsid w:val="00365423"/>
    <w:rsid w:val="003731C6"/>
    <w:rsid w:val="0038329C"/>
    <w:rsid w:val="003A5A5C"/>
    <w:rsid w:val="003B1D41"/>
    <w:rsid w:val="003B3785"/>
    <w:rsid w:val="003D06FF"/>
    <w:rsid w:val="003D3D9E"/>
    <w:rsid w:val="003D423E"/>
    <w:rsid w:val="003F1DAE"/>
    <w:rsid w:val="003F3B19"/>
    <w:rsid w:val="00400903"/>
    <w:rsid w:val="00412B32"/>
    <w:rsid w:val="0043298B"/>
    <w:rsid w:val="00436029"/>
    <w:rsid w:val="00445CFE"/>
    <w:rsid w:val="0044691A"/>
    <w:rsid w:val="00455185"/>
    <w:rsid w:val="004553D1"/>
    <w:rsid w:val="004661E8"/>
    <w:rsid w:val="00480951"/>
    <w:rsid w:val="00484653"/>
    <w:rsid w:val="004A21B7"/>
    <w:rsid w:val="004A2C0E"/>
    <w:rsid w:val="004A3C3E"/>
    <w:rsid w:val="004C0713"/>
    <w:rsid w:val="004C355F"/>
    <w:rsid w:val="004C42F4"/>
    <w:rsid w:val="004D4F05"/>
    <w:rsid w:val="004D7AC5"/>
    <w:rsid w:val="004E01DC"/>
    <w:rsid w:val="004F2C99"/>
    <w:rsid w:val="004F3BA0"/>
    <w:rsid w:val="0050245D"/>
    <w:rsid w:val="00502F44"/>
    <w:rsid w:val="00505EFD"/>
    <w:rsid w:val="0050642E"/>
    <w:rsid w:val="005343EC"/>
    <w:rsid w:val="005432A8"/>
    <w:rsid w:val="00544CF5"/>
    <w:rsid w:val="00545A65"/>
    <w:rsid w:val="005520A6"/>
    <w:rsid w:val="00555BE2"/>
    <w:rsid w:val="005616C2"/>
    <w:rsid w:val="005617EF"/>
    <w:rsid w:val="0056569E"/>
    <w:rsid w:val="005719D0"/>
    <w:rsid w:val="00586439"/>
    <w:rsid w:val="005A05C7"/>
    <w:rsid w:val="005A0931"/>
    <w:rsid w:val="005A49FD"/>
    <w:rsid w:val="005A7F0F"/>
    <w:rsid w:val="005B1E79"/>
    <w:rsid w:val="005B37A3"/>
    <w:rsid w:val="005B4678"/>
    <w:rsid w:val="005B726D"/>
    <w:rsid w:val="005D25EA"/>
    <w:rsid w:val="005F327D"/>
    <w:rsid w:val="00603058"/>
    <w:rsid w:val="006054FC"/>
    <w:rsid w:val="00606681"/>
    <w:rsid w:val="00606F40"/>
    <w:rsid w:val="00613E5C"/>
    <w:rsid w:val="006145DB"/>
    <w:rsid w:val="00622972"/>
    <w:rsid w:val="0063143F"/>
    <w:rsid w:val="006478C9"/>
    <w:rsid w:val="0065725B"/>
    <w:rsid w:val="00666221"/>
    <w:rsid w:val="00666CDE"/>
    <w:rsid w:val="006679F5"/>
    <w:rsid w:val="006A019A"/>
    <w:rsid w:val="006A153B"/>
    <w:rsid w:val="006B6507"/>
    <w:rsid w:val="006C002A"/>
    <w:rsid w:val="006C1B34"/>
    <w:rsid w:val="006C5FA2"/>
    <w:rsid w:val="006C792F"/>
    <w:rsid w:val="006E00CE"/>
    <w:rsid w:val="006E6D92"/>
    <w:rsid w:val="0070773B"/>
    <w:rsid w:val="00721359"/>
    <w:rsid w:val="00723F25"/>
    <w:rsid w:val="0073702D"/>
    <w:rsid w:val="007433F1"/>
    <w:rsid w:val="00743519"/>
    <w:rsid w:val="00755DF0"/>
    <w:rsid w:val="00757404"/>
    <w:rsid w:val="00760117"/>
    <w:rsid w:val="00770B11"/>
    <w:rsid w:val="00770DFD"/>
    <w:rsid w:val="00774FDF"/>
    <w:rsid w:val="00791F11"/>
    <w:rsid w:val="00792972"/>
    <w:rsid w:val="007A56D0"/>
    <w:rsid w:val="007C0A31"/>
    <w:rsid w:val="007C0F4F"/>
    <w:rsid w:val="007E3353"/>
    <w:rsid w:val="007E3889"/>
    <w:rsid w:val="007E3BF6"/>
    <w:rsid w:val="007E46B6"/>
    <w:rsid w:val="007E54A1"/>
    <w:rsid w:val="007F2497"/>
    <w:rsid w:val="0080033F"/>
    <w:rsid w:val="00802823"/>
    <w:rsid w:val="00804762"/>
    <w:rsid w:val="00810F24"/>
    <w:rsid w:val="00822629"/>
    <w:rsid w:val="00845885"/>
    <w:rsid w:val="00860B0B"/>
    <w:rsid w:val="00881A52"/>
    <w:rsid w:val="00891DE0"/>
    <w:rsid w:val="00892E36"/>
    <w:rsid w:val="008C2225"/>
    <w:rsid w:val="008C6CE6"/>
    <w:rsid w:val="008C7FBC"/>
    <w:rsid w:val="008E05F4"/>
    <w:rsid w:val="008E4643"/>
    <w:rsid w:val="008F34BE"/>
    <w:rsid w:val="00900741"/>
    <w:rsid w:val="00907366"/>
    <w:rsid w:val="009132B1"/>
    <w:rsid w:val="0092172F"/>
    <w:rsid w:val="009279FB"/>
    <w:rsid w:val="0093169D"/>
    <w:rsid w:val="009331E1"/>
    <w:rsid w:val="00936276"/>
    <w:rsid w:val="00946EC5"/>
    <w:rsid w:val="009514AC"/>
    <w:rsid w:val="00954B17"/>
    <w:rsid w:val="00954B88"/>
    <w:rsid w:val="009668C1"/>
    <w:rsid w:val="00967E0D"/>
    <w:rsid w:val="009908E5"/>
    <w:rsid w:val="00990BD4"/>
    <w:rsid w:val="009911A3"/>
    <w:rsid w:val="00996A6B"/>
    <w:rsid w:val="009A06E4"/>
    <w:rsid w:val="009A555A"/>
    <w:rsid w:val="009D5BF8"/>
    <w:rsid w:val="009E1058"/>
    <w:rsid w:val="009F1442"/>
    <w:rsid w:val="009F1728"/>
    <w:rsid w:val="00A10BF1"/>
    <w:rsid w:val="00A17B30"/>
    <w:rsid w:val="00A364B9"/>
    <w:rsid w:val="00A419E5"/>
    <w:rsid w:val="00A41D64"/>
    <w:rsid w:val="00A45E6A"/>
    <w:rsid w:val="00A64053"/>
    <w:rsid w:val="00A70544"/>
    <w:rsid w:val="00A903D6"/>
    <w:rsid w:val="00A91EB3"/>
    <w:rsid w:val="00AA5F72"/>
    <w:rsid w:val="00AC1972"/>
    <w:rsid w:val="00AC5ABB"/>
    <w:rsid w:val="00AD3CD9"/>
    <w:rsid w:val="00AD55DA"/>
    <w:rsid w:val="00AE007A"/>
    <w:rsid w:val="00B007C4"/>
    <w:rsid w:val="00B12530"/>
    <w:rsid w:val="00B1281F"/>
    <w:rsid w:val="00B4783C"/>
    <w:rsid w:val="00B507A3"/>
    <w:rsid w:val="00B52A7F"/>
    <w:rsid w:val="00B5409D"/>
    <w:rsid w:val="00B704A7"/>
    <w:rsid w:val="00B71FA5"/>
    <w:rsid w:val="00B74124"/>
    <w:rsid w:val="00B8410D"/>
    <w:rsid w:val="00B85251"/>
    <w:rsid w:val="00B86453"/>
    <w:rsid w:val="00B96C7F"/>
    <w:rsid w:val="00BA49A0"/>
    <w:rsid w:val="00BB220A"/>
    <w:rsid w:val="00BB2D2D"/>
    <w:rsid w:val="00BB54C1"/>
    <w:rsid w:val="00BB5919"/>
    <w:rsid w:val="00BC019F"/>
    <w:rsid w:val="00BC712C"/>
    <w:rsid w:val="00BD68D5"/>
    <w:rsid w:val="00BE01B9"/>
    <w:rsid w:val="00BE1817"/>
    <w:rsid w:val="00BF7E29"/>
    <w:rsid w:val="00C178DE"/>
    <w:rsid w:val="00C17FC6"/>
    <w:rsid w:val="00C410A3"/>
    <w:rsid w:val="00C44300"/>
    <w:rsid w:val="00C451B6"/>
    <w:rsid w:val="00C73675"/>
    <w:rsid w:val="00C763F0"/>
    <w:rsid w:val="00C7645A"/>
    <w:rsid w:val="00C843B1"/>
    <w:rsid w:val="00C84500"/>
    <w:rsid w:val="00C8522E"/>
    <w:rsid w:val="00C91B2F"/>
    <w:rsid w:val="00C91C98"/>
    <w:rsid w:val="00C932F0"/>
    <w:rsid w:val="00C93D26"/>
    <w:rsid w:val="00C95FA8"/>
    <w:rsid w:val="00C9793C"/>
    <w:rsid w:val="00CA361E"/>
    <w:rsid w:val="00CA4E51"/>
    <w:rsid w:val="00CA698C"/>
    <w:rsid w:val="00CB15F9"/>
    <w:rsid w:val="00CB5852"/>
    <w:rsid w:val="00CD1D9C"/>
    <w:rsid w:val="00CD2B69"/>
    <w:rsid w:val="00CE6EC3"/>
    <w:rsid w:val="00CF1B69"/>
    <w:rsid w:val="00D03415"/>
    <w:rsid w:val="00D0651A"/>
    <w:rsid w:val="00D100B3"/>
    <w:rsid w:val="00D15384"/>
    <w:rsid w:val="00D2588E"/>
    <w:rsid w:val="00D318FC"/>
    <w:rsid w:val="00D4467E"/>
    <w:rsid w:val="00D5680B"/>
    <w:rsid w:val="00D6235F"/>
    <w:rsid w:val="00D65B09"/>
    <w:rsid w:val="00D67A65"/>
    <w:rsid w:val="00D8413E"/>
    <w:rsid w:val="00D84865"/>
    <w:rsid w:val="00D85C9C"/>
    <w:rsid w:val="00D8667F"/>
    <w:rsid w:val="00DA358C"/>
    <w:rsid w:val="00DA3EC6"/>
    <w:rsid w:val="00DC0E57"/>
    <w:rsid w:val="00DC4450"/>
    <w:rsid w:val="00DD71C9"/>
    <w:rsid w:val="00DF0DC3"/>
    <w:rsid w:val="00DF5764"/>
    <w:rsid w:val="00E04BFF"/>
    <w:rsid w:val="00E52E95"/>
    <w:rsid w:val="00E54F24"/>
    <w:rsid w:val="00E648F9"/>
    <w:rsid w:val="00E77DC1"/>
    <w:rsid w:val="00E801D9"/>
    <w:rsid w:val="00E85952"/>
    <w:rsid w:val="00E866DF"/>
    <w:rsid w:val="00E86C2A"/>
    <w:rsid w:val="00E91014"/>
    <w:rsid w:val="00E926E1"/>
    <w:rsid w:val="00E928BE"/>
    <w:rsid w:val="00E978A1"/>
    <w:rsid w:val="00EA0D9A"/>
    <w:rsid w:val="00EA0EA8"/>
    <w:rsid w:val="00EA1442"/>
    <w:rsid w:val="00EA7284"/>
    <w:rsid w:val="00EB3963"/>
    <w:rsid w:val="00EC6870"/>
    <w:rsid w:val="00ED4B8A"/>
    <w:rsid w:val="00ED6A6B"/>
    <w:rsid w:val="00EE47CA"/>
    <w:rsid w:val="00EE5B16"/>
    <w:rsid w:val="00EF53EF"/>
    <w:rsid w:val="00EF77C7"/>
    <w:rsid w:val="00F0294F"/>
    <w:rsid w:val="00F071D6"/>
    <w:rsid w:val="00F20445"/>
    <w:rsid w:val="00F253D0"/>
    <w:rsid w:val="00F44B67"/>
    <w:rsid w:val="00F65A9C"/>
    <w:rsid w:val="00F80C51"/>
    <w:rsid w:val="00F84660"/>
    <w:rsid w:val="00F92AAB"/>
    <w:rsid w:val="00F932C2"/>
    <w:rsid w:val="00FA12A3"/>
    <w:rsid w:val="00FB3DBE"/>
    <w:rsid w:val="00FB7F57"/>
    <w:rsid w:val="00FC15EA"/>
    <w:rsid w:val="00FC3678"/>
    <w:rsid w:val="00FC649F"/>
    <w:rsid w:val="00FD06E1"/>
    <w:rsid w:val="00FE1E60"/>
    <w:rsid w:val="00FE73D4"/>
    <w:rsid w:val="00FF0A04"/>
    <w:rsid w:val="00FF311A"/>
    <w:rsid w:val="01117DE3"/>
    <w:rsid w:val="01675164"/>
    <w:rsid w:val="018856AF"/>
    <w:rsid w:val="01AC36E8"/>
    <w:rsid w:val="024801C0"/>
    <w:rsid w:val="02893AF6"/>
    <w:rsid w:val="03E823A7"/>
    <w:rsid w:val="03F82FC0"/>
    <w:rsid w:val="04407E5F"/>
    <w:rsid w:val="04854128"/>
    <w:rsid w:val="04CC5FF6"/>
    <w:rsid w:val="04DF4324"/>
    <w:rsid w:val="05250319"/>
    <w:rsid w:val="06654211"/>
    <w:rsid w:val="066E0702"/>
    <w:rsid w:val="0677237A"/>
    <w:rsid w:val="069E24BC"/>
    <w:rsid w:val="06CE3A8C"/>
    <w:rsid w:val="073562D9"/>
    <w:rsid w:val="0750469B"/>
    <w:rsid w:val="08266451"/>
    <w:rsid w:val="084D46CC"/>
    <w:rsid w:val="0877308E"/>
    <w:rsid w:val="08C96CD9"/>
    <w:rsid w:val="08F01DB8"/>
    <w:rsid w:val="092E0E2E"/>
    <w:rsid w:val="0A54646B"/>
    <w:rsid w:val="0AC56839"/>
    <w:rsid w:val="0AD428CC"/>
    <w:rsid w:val="0B495EAF"/>
    <w:rsid w:val="0B811703"/>
    <w:rsid w:val="0B882E7B"/>
    <w:rsid w:val="0B973962"/>
    <w:rsid w:val="0BF86199"/>
    <w:rsid w:val="0C6641A9"/>
    <w:rsid w:val="0C6D734A"/>
    <w:rsid w:val="0C8E2259"/>
    <w:rsid w:val="0CE045F1"/>
    <w:rsid w:val="0CEA20D1"/>
    <w:rsid w:val="0D672E19"/>
    <w:rsid w:val="0D6B4F4D"/>
    <w:rsid w:val="0D8307AB"/>
    <w:rsid w:val="0DE154A7"/>
    <w:rsid w:val="0DF254DE"/>
    <w:rsid w:val="0EAC15BF"/>
    <w:rsid w:val="0EB775D4"/>
    <w:rsid w:val="0EEA0FA8"/>
    <w:rsid w:val="0F1D38DB"/>
    <w:rsid w:val="0F9848B7"/>
    <w:rsid w:val="0FBC2F8E"/>
    <w:rsid w:val="0FC24482"/>
    <w:rsid w:val="10B60B86"/>
    <w:rsid w:val="10D72CC4"/>
    <w:rsid w:val="110C25C7"/>
    <w:rsid w:val="115B5F20"/>
    <w:rsid w:val="118D7C47"/>
    <w:rsid w:val="1191304C"/>
    <w:rsid w:val="11DF39B5"/>
    <w:rsid w:val="11F76B13"/>
    <w:rsid w:val="12293508"/>
    <w:rsid w:val="126C3FBD"/>
    <w:rsid w:val="129070AA"/>
    <w:rsid w:val="129F215D"/>
    <w:rsid w:val="12EB45D7"/>
    <w:rsid w:val="137361BF"/>
    <w:rsid w:val="13763F01"/>
    <w:rsid w:val="137C503F"/>
    <w:rsid w:val="13D331F7"/>
    <w:rsid w:val="13E74EC0"/>
    <w:rsid w:val="140E4CEE"/>
    <w:rsid w:val="1435591F"/>
    <w:rsid w:val="143C356D"/>
    <w:rsid w:val="14691370"/>
    <w:rsid w:val="15062201"/>
    <w:rsid w:val="15126DA7"/>
    <w:rsid w:val="15126DB6"/>
    <w:rsid w:val="15BA130C"/>
    <w:rsid w:val="16C5249F"/>
    <w:rsid w:val="16F01CA5"/>
    <w:rsid w:val="17800EAB"/>
    <w:rsid w:val="178932DE"/>
    <w:rsid w:val="17FE3F19"/>
    <w:rsid w:val="180E2F19"/>
    <w:rsid w:val="182922BA"/>
    <w:rsid w:val="18453E00"/>
    <w:rsid w:val="18517261"/>
    <w:rsid w:val="186F483E"/>
    <w:rsid w:val="18764758"/>
    <w:rsid w:val="18B871D1"/>
    <w:rsid w:val="18FD0667"/>
    <w:rsid w:val="192219A3"/>
    <w:rsid w:val="1994414C"/>
    <w:rsid w:val="19D90D46"/>
    <w:rsid w:val="19F3641D"/>
    <w:rsid w:val="1A0C3F90"/>
    <w:rsid w:val="1A297C3D"/>
    <w:rsid w:val="1A364763"/>
    <w:rsid w:val="1A957758"/>
    <w:rsid w:val="1A9844D6"/>
    <w:rsid w:val="1AA84759"/>
    <w:rsid w:val="1AD95B0F"/>
    <w:rsid w:val="1ADD500A"/>
    <w:rsid w:val="1AE96D67"/>
    <w:rsid w:val="1B052D94"/>
    <w:rsid w:val="1B6B0842"/>
    <w:rsid w:val="1B810744"/>
    <w:rsid w:val="1BB20EAE"/>
    <w:rsid w:val="1BD5405C"/>
    <w:rsid w:val="1BEA58B6"/>
    <w:rsid w:val="1C247633"/>
    <w:rsid w:val="1C281B11"/>
    <w:rsid w:val="1C3C3E6B"/>
    <w:rsid w:val="1C837981"/>
    <w:rsid w:val="1CA41051"/>
    <w:rsid w:val="1CB31342"/>
    <w:rsid w:val="1CD3094E"/>
    <w:rsid w:val="1D0C61E6"/>
    <w:rsid w:val="1D561E40"/>
    <w:rsid w:val="1D814ED0"/>
    <w:rsid w:val="1DE55F0B"/>
    <w:rsid w:val="1EB4768C"/>
    <w:rsid w:val="1EED4B02"/>
    <w:rsid w:val="1F2871AF"/>
    <w:rsid w:val="1F4E6316"/>
    <w:rsid w:val="1F521796"/>
    <w:rsid w:val="1F6401B2"/>
    <w:rsid w:val="1F7F0002"/>
    <w:rsid w:val="209661C2"/>
    <w:rsid w:val="216B35AD"/>
    <w:rsid w:val="218912A4"/>
    <w:rsid w:val="219F00F4"/>
    <w:rsid w:val="21A5402E"/>
    <w:rsid w:val="21A809C8"/>
    <w:rsid w:val="21EF2261"/>
    <w:rsid w:val="22026275"/>
    <w:rsid w:val="222B5EB7"/>
    <w:rsid w:val="22BA5DDD"/>
    <w:rsid w:val="22D45E02"/>
    <w:rsid w:val="22D508B5"/>
    <w:rsid w:val="237025B9"/>
    <w:rsid w:val="23C30DB2"/>
    <w:rsid w:val="23CD74A3"/>
    <w:rsid w:val="2412732E"/>
    <w:rsid w:val="245E6F42"/>
    <w:rsid w:val="24A93B72"/>
    <w:rsid w:val="24B359EF"/>
    <w:rsid w:val="24DB5714"/>
    <w:rsid w:val="24DE5462"/>
    <w:rsid w:val="251E470A"/>
    <w:rsid w:val="25201F1F"/>
    <w:rsid w:val="25407ECB"/>
    <w:rsid w:val="255864E7"/>
    <w:rsid w:val="25A35663"/>
    <w:rsid w:val="261E1CA7"/>
    <w:rsid w:val="26D4470E"/>
    <w:rsid w:val="2700346A"/>
    <w:rsid w:val="270302AF"/>
    <w:rsid w:val="271D5F07"/>
    <w:rsid w:val="27521039"/>
    <w:rsid w:val="277B343D"/>
    <w:rsid w:val="27807524"/>
    <w:rsid w:val="279C53C5"/>
    <w:rsid w:val="27FF2B3E"/>
    <w:rsid w:val="28025925"/>
    <w:rsid w:val="289D3C60"/>
    <w:rsid w:val="297D524A"/>
    <w:rsid w:val="29E42EBE"/>
    <w:rsid w:val="2AAE58D7"/>
    <w:rsid w:val="2B05199B"/>
    <w:rsid w:val="2B0D1256"/>
    <w:rsid w:val="2B286C3A"/>
    <w:rsid w:val="2B2E1A38"/>
    <w:rsid w:val="2B797C93"/>
    <w:rsid w:val="2B7E5B63"/>
    <w:rsid w:val="2BC0395C"/>
    <w:rsid w:val="2BD00DC5"/>
    <w:rsid w:val="2BF1080A"/>
    <w:rsid w:val="2BF43E8E"/>
    <w:rsid w:val="2C447E50"/>
    <w:rsid w:val="2C6554E6"/>
    <w:rsid w:val="2CDE70AC"/>
    <w:rsid w:val="2D2D1661"/>
    <w:rsid w:val="2D485BB7"/>
    <w:rsid w:val="2D597D7C"/>
    <w:rsid w:val="2D7A1527"/>
    <w:rsid w:val="2DEC1215"/>
    <w:rsid w:val="2E5F5B76"/>
    <w:rsid w:val="2E62355E"/>
    <w:rsid w:val="2EDC2BA7"/>
    <w:rsid w:val="2EDD1D7F"/>
    <w:rsid w:val="2EEE1F37"/>
    <w:rsid w:val="2F1A0339"/>
    <w:rsid w:val="2FA93268"/>
    <w:rsid w:val="2FD007AA"/>
    <w:rsid w:val="30480A9A"/>
    <w:rsid w:val="304D4118"/>
    <w:rsid w:val="3054557A"/>
    <w:rsid w:val="305877C3"/>
    <w:rsid w:val="307651FA"/>
    <w:rsid w:val="30AF2973"/>
    <w:rsid w:val="30E4342C"/>
    <w:rsid w:val="314F750B"/>
    <w:rsid w:val="3176279D"/>
    <w:rsid w:val="317B4814"/>
    <w:rsid w:val="317C237A"/>
    <w:rsid w:val="319C46DB"/>
    <w:rsid w:val="31A759C5"/>
    <w:rsid w:val="32230959"/>
    <w:rsid w:val="323E6291"/>
    <w:rsid w:val="325E1CCD"/>
    <w:rsid w:val="32730528"/>
    <w:rsid w:val="32827D75"/>
    <w:rsid w:val="32B24DF2"/>
    <w:rsid w:val="32BA750F"/>
    <w:rsid w:val="32D8529F"/>
    <w:rsid w:val="32FC1A1C"/>
    <w:rsid w:val="338C6F1F"/>
    <w:rsid w:val="33B51561"/>
    <w:rsid w:val="33B66212"/>
    <w:rsid w:val="33B8674B"/>
    <w:rsid w:val="341C1D96"/>
    <w:rsid w:val="34CC0255"/>
    <w:rsid w:val="34F75FA4"/>
    <w:rsid w:val="357C4CDD"/>
    <w:rsid w:val="35A41DB0"/>
    <w:rsid w:val="35DC779C"/>
    <w:rsid w:val="363C04BB"/>
    <w:rsid w:val="365C4F5B"/>
    <w:rsid w:val="367D1DCA"/>
    <w:rsid w:val="36CD3012"/>
    <w:rsid w:val="36FC6348"/>
    <w:rsid w:val="36FF0F21"/>
    <w:rsid w:val="37B16117"/>
    <w:rsid w:val="37D83F93"/>
    <w:rsid w:val="37F0752F"/>
    <w:rsid w:val="38225CE7"/>
    <w:rsid w:val="3834062E"/>
    <w:rsid w:val="38427BF1"/>
    <w:rsid w:val="385D29B5"/>
    <w:rsid w:val="38B229A9"/>
    <w:rsid w:val="3981182F"/>
    <w:rsid w:val="3A1A5AAB"/>
    <w:rsid w:val="3A2E135F"/>
    <w:rsid w:val="3A6A7A6C"/>
    <w:rsid w:val="3A7461F5"/>
    <w:rsid w:val="3A8117DE"/>
    <w:rsid w:val="3AB761C2"/>
    <w:rsid w:val="3ADF2F2E"/>
    <w:rsid w:val="3AFD79F6"/>
    <w:rsid w:val="3BB0289A"/>
    <w:rsid w:val="3BB9139A"/>
    <w:rsid w:val="3C2C0C78"/>
    <w:rsid w:val="3C2E55CC"/>
    <w:rsid w:val="3C5D2567"/>
    <w:rsid w:val="3C642299"/>
    <w:rsid w:val="3CAC611A"/>
    <w:rsid w:val="3CD15FAC"/>
    <w:rsid w:val="3CDF7D37"/>
    <w:rsid w:val="3CE64753"/>
    <w:rsid w:val="3CF73250"/>
    <w:rsid w:val="3D4D02A5"/>
    <w:rsid w:val="3D715C7C"/>
    <w:rsid w:val="3D8726E3"/>
    <w:rsid w:val="3D882228"/>
    <w:rsid w:val="3DB86D41"/>
    <w:rsid w:val="3E1551EE"/>
    <w:rsid w:val="3E6B1629"/>
    <w:rsid w:val="3EC51715"/>
    <w:rsid w:val="3EF3616E"/>
    <w:rsid w:val="3FAA1676"/>
    <w:rsid w:val="3FE66E72"/>
    <w:rsid w:val="401D4686"/>
    <w:rsid w:val="40363C2A"/>
    <w:rsid w:val="40591E1B"/>
    <w:rsid w:val="40B076EC"/>
    <w:rsid w:val="40D5360A"/>
    <w:rsid w:val="41121FD1"/>
    <w:rsid w:val="41133930"/>
    <w:rsid w:val="41770CEE"/>
    <w:rsid w:val="418E2292"/>
    <w:rsid w:val="41A03FF8"/>
    <w:rsid w:val="41BF069E"/>
    <w:rsid w:val="41CD102C"/>
    <w:rsid w:val="42224C7A"/>
    <w:rsid w:val="429106A4"/>
    <w:rsid w:val="429B3CB4"/>
    <w:rsid w:val="429C6A2D"/>
    <w:rsid w:val="42A10FE4"/>
    <w:rsid w:val="431671D2"/>
    <w:rsid w:val="43197DD6"/>
    <w:rsid w:val="435506DF"/>
    <w:rsid w:val="43821B6C"/>
    <w:rsid w:val="43B6057D"/>
    <w:rsid w:val="43B822CD"/>
    <w:rsid w:val="43E6398E"/>
    <w:rsid w:val="44011AD0"/>
    <w:rsid w:val="4406622F"/>
    <w:rsid w:val="44185ABF"/>
    <w:rsid w:val="44661ADD"/>
    <w:rsid w:val="44A43E51"/>
    <w:rsid w:val="44DB534A"/>
    <w:rsid w:val="45024B75"/>
    <w:rsid w:val="454B1CDA"/>
    <w:rsid w:val="45922415"/>
    <w:rsid w:val="45964673"/>
    <w:rsid w:val="45A1209F"/>
    <w:rsid w:val="464D7620"/>
    <w:rsid w:val="46520A53"/>
    <w:rsid w:val="465233FA"/>
    <w:rsid w:val="46687C32"/>
    <w:rsid w:val="467B6B5D"/>
    <w:rsid w:val="46F52F25"/>
    <w:rsid w:val="47932FBA"/>
    <w:rsid w:val="47D46525"/>
    <w:rsid w:val="481F08FB"/>
    <w:rsid w:val="483C514C"/>
    <w:rsid w:val="48446D0B"/>
    <w:rsid w:val="48565122"/>
    <w:rsid w:val="48930E21"/>
    <w:rsid w:val="48B44E13"/>
    <w:rsid w:val="48D352BD"/>
    <w:rsid w:val="48EF02F5"/>
    <w:rsid w:val="49023E9F"/>
    <w:rsid w:val="49314471"/>
    <w:rsid w:val="49EF7646"/>
    <w:rsid w:val="4A196CF5"/>
    <w:rsid w:val="4A1B2565"/>
    <w:rsid w:val="4A37773B"/>
    <w:rsid w:val="4A6A56B3"/>
    <w:rsid w:val="4A7144FF"/>
    <w:rsid w:val="4A722025"/>
    <w:rsid w:val="4AA219F2"/>
    <w:rsid w:val="4AC3275E"/>
    <w:rsid w:val="4AE52912"/>
    <w:rsid w:val="4B2E3120"/>
    <w:rsid w:val="4B383A94"/>
    <w:rsid w:val="4B5E4FE9"/>
    <w:rsid w:val="4B904602"/>
    <w:rsid w:val="4B9A36B8"/>
    <w:rsid w:val="4BAB3A41"/>
    <w:rsid w:val="4BB4499F"/>
    <w:rsid w:val="4BBA3C84"/>
    <w:rsid w:val="4C0D64AA"/>
    <w:rsid w:val="4C373527"/>
    <w:rsid w:val="4C5256D4"/>
    <w:rsid w:val="4C8649B6"/>
    <w:rsid w:val="4CC07E8A"/>
    <w:rsid w:val="4D38213E"/>
    <w:rsid w:val="4D5635FF"/>
    <w:rsid w:val="4D9653A3"/>
    <w:rsid w:val="4D967CE3"/>
    <w:rsid w:val="4DCB03CA"/>
    <w:rsid w:val="4DEC13D0"/>
    <w:rsid w:val="4EF81B83"/>
    <w:rsid w:val="4EF93043"/>
    <w:rsid w:val="4F43540E"/>
    <w:rsid w:val="4F6B2179"/>
    <w:rsid w:val="502913D8"/>
    <w:rsid w:val="5041646A"/>
    <w:rsid w:val="504E287C"/>
    <w:rsid w:val="506A5C79"/>
    <w:rsid w:val="50CD0723"/>
    <w:rsid w:val="510A745C"/>
    <w:rsid w:val="514A0C7E"/>
    <w:rsid w:val="515145D5"/>
    <w:rsid w:val="51640350"/>
    <w:rsid w:val="51BD3647"/>
    <w:rsid w:val="51CB15C5"/>
    <w:rsid w:val="51EB354F"/>
    <w:rsid w:val="520B4A1A"/>
    <w:rsid w:val="52584614"/>
    <w:rsid w:val="527821A3"/>
    <w:rsid w:val="52D171F7"/>
    <w:rsid w:val="52DA28B7"/>
    <w:rsid w:val="53220AF2"/>
    <w:rsid w:val="53403699"/>
    <w:rsid w:val="53BD1797"/>
    <w:rsid w:val="53C35369"/>
    <w:rsid w:val="546F6F43"/>
    <w:rsid w:val="547846DC"/>
    <w:rsid w:val="54BA1D48"/>
    <w:rsid w:val="54C31DFB"/>
    <w:rsid w:val="55115053"/>
    <w:rsid w:val="554E35AC"/>
    <w:rsid w:val="55612A31"/>
    <w:rsid w:val="558B2C34"/>
    <w:rsid w:val="559F359F"/>
    <w:rsid w:val="55BD684B"/>
    <w:rsid w:val="56680EAC"/>
    <w:rsid w:val="566E0943"/>
    <w:rsid w:val="56A10B89"/>
    <w:rsid w:val="56A44FEC"/>
    <w:rsid w:val="56AA5540"/>
    <w:rsid w:val="56D164D0"/>
    <w:rsid w:val="56DD4E5D"/>
    <w:rsid w:val="56F42178"/>
    <w:rsid w:val="57524247"/>
    <w:rsid w:val="577D3D23"/>
    <w:rsid w:val="57855250"/>
    <w:rsid w:val="579E26AC"/>
    <w:rsid w:val="57AE6E81"/>
    <w:rsid w:val="57C555DC"/>
    <w:rsid w:val="583316D3"/>
    <w:rsid w:val="584162D4"/>
    <w:rsid w:val="585807F9"/>
    <w:rsid w:val="586B2D9F"/>
    <w:rsid w:val="58801DB1"/>
    <w:rsid w:val="58936368"/>
    <w:rsid w:val="58C61F1A"/>
    <w:rsid w:val="58E00096"/>
    <w:rsid w:val="59522D19"/>
    <w:rsid w:val="597F1138"/>
    <w:rsid w:val="59C67A1E"/>
    <w:rsid w:val="5A1B6236"/>
    <w:rsid w:val="5A274BDA"/>
    <w:rsid w:val="5A64077E"/>
    <w:rsid w:val="5A7547E2"/>
    <w:rsid w:val="5AA92BB4"/>
    <w:rsid w:val="5AD36A5C"/>
    <w:rsid w:val="5B2636CB"/>
    <w:rsid w:val="5B2D4472"/>
    <w:rsid w:val="5B387769"/>
    <w:rsid w:val="5B857E0A"/>
    <w:rsid w:val="5BCC5A39"/>
    <w:rsid w:val="5BEF2B5A"/>
    <w:rsid w:val="5C0D0047"/>
    <w:rsid w:val="5C7802BE"/>
    <w:rsid w:val="5D527BAB"/>
    <w:rsid w:val="5D5D14B9"/>
    <w:rsid w:val="5DE172C7"/>
    <w:rsid w:val="5DED1C97"/>
    <w:rsid w:val="5DF12ACB"/>
    <w:rsid w:val="5DF12F12"/>
    <w:rsid w:val="5DF37A84"/>
    <w:rsid w:val="5EFB06C5"/>
    <w:rsid w:val="5F2F2EB8"/>
    <w:rsid w:val="5F366578"/>
    <w:rsid w:val="5F6E4036"/>
    <w:rsid w:val="5F875CA7"/>
    <w:rsid w:val="605C4A84"/>
    <w:rsid w:val="60694549"/>
    <w:rsid w:val="60743E19"/>
    <w:rsid w:val="60FB3C67"/>
    <w:rsid w:val="61270328"/>
    <w:rsid w:val="61651C7F"/>
    <w:rsid w:val="617D127C"/>
    <w:rsid w:val="619E2536"/>
    <w:rsid w:val="624C7A0B"/>
    <w:rsid w:val="62A22465"/>
    <w:rsid w:val="62C23B42"/>
    <w:rsid w:val="62C30084"/>
    <w:rsid w:val="62C32A32"/>
    <w:rsid w:val="62C750AB"/>
    <w:rsid w:val="62FA2AA0"/>
    <w:rsid w:val="631116B9"/>
    <w:rsid w:val="632E502B"/>
    <w:rsid w:val="633B1B9E"/>
    <w:rsid w:val="633D11B0"/>
    <w:rsid w:val="6370202A"/>
    <w:rsid w:val="641A4169"/>
    <w:rsid w:val="644338F5"/>
    <w:rsid w:val="64E5296E"/>
    <w:rsid w:val="65044B7F"/>
    <w:rsid w:val="653E01BF"/>
    <w:rsid w:val="657F1D6E"/>
    <w:rsid w:val="65A47629"/>
    <w:rsid w:val="65AE7F5E"/>
    <w:rsid w:val="65FD7BCE"/>
    <w:rsid w:val="661A40D8"/>
    <w:rsid w:val="669A3902"/>
    <w:rsid w:val="66E05D45"/>
    <w:rsid w:val="672042A6"/>
    <w:rsid w:val="672B39B1"/>
    <w:rsid w:val="674828D4"/>
    <w:rsid w:val="676979D1"/>
    <w:rsid w:val="677130D4"/>
    <w:rsid w:val="67D06D8C"/>
    <w:rsid w:val="681454A9"/>
    <w:rsid w:val="68A509C6"/>
    <w:rsid w:val="68F35F86"/>
    <w:rsid w:val="69691C2F"/>
    <w:rsid w:val="69C83C0C"/>
    <w:rsid w:val="6A2F30CF"/>
    <w:rsid w:val="6AE55DD4"/>
    <w:rsid w:val="6B2133DC"/>
    <w:rsid w:val="6B382C6B"/>
    <w:rsid w:val="6B5E41D4"/>
    <w:rsid w:val="6B9368A0"/>
    <w:rsid w:val="6BBD7F06"/>
    <w:rsid w:val="6BE648F5"/>
    <w:rsid w:val="6C2471CC"/>
    <w:rsid w:val="6C65136B"/>
    <w:rsid w:val="6C920CDA"/>
    <w:rsid w:val="6CAE4CE7"/>
    <w:rsid w:val="6D2F0776"/>
    <w:rsid w:val="6D3279D3"/>
    <w:rsid w:val="6D55322E"/>
    <w:rsid w:val="6D7A00E2"/>
    <w:rsid w:val="6D7E5C43"/>
    <w:rsid w:val="6E465581"/>
    <w:rsid w:val="6E9B619D"/>
    <w:rsid w:val="6F1D5B34"/>
    <w:rsid w:val="6F8B6A13"/>
    <w:rsid w:val="6FD76B5E"/>
    <w:rsid w:val="706C1C36"/>
    <w:rsid w:val="707A4E33"/>
    <w:rsid w:val="70B5027A"/>
    <w:rsid w:val="70B5418A"/>
    <w:rsid w:val="70BB618F"/>
    <w:rsid w:val="70D9539B"/>
    <w:rsid w:val="70F35587"/>
    <w:rsid w:val="70FB773A"/>
    <w:rsid w:val="716360A0"/>
    <w:rsid w:val="71770F3C"/>
    <w:rsid w:val="7185058C"/>
    <w:rsid w:val="719D4550"/>
    <w:rsid w:val="71AA216A"/>
    <w:rsid w:val="71D56979"/>
    <w:rsid w:val="72443591"/>
    <w:rsid w:val="72695938"/>
    <w:rsid w:val="72D53BEC"/>
    <w:rsid w:val="72D54BBD"/>
    <w:rsid w:val="72FE4417"/>
    <w:rsid w:val="730676D9"/>
    <w:rsid w:val="73214465"/>
    <w:rsid w:val="7379604F"/>
    <w:rsid w:val="737C3771"/>
    <w:rsid w:val="73833A78"/>
    <w:rsid w:val="73AD7F7B"/>
    <w:rsid w:val="73F6747D"/>
    <w:rsid w:val="74300B82"/>
    <w:rsid w:val="74503106"/>
    <w:rsid w:val="745B1903"/>
    <w:rsid w:val="7488746D"/>
    <w:rsid w:val="74C432FA"/>
    <w:rsid w:val="74CC0400"/>
    <w:rsid w:val="74D66044"/>
    <w:rsid w:val="754B6BCB"/>
    <w:rsid w:val="758B6A39"/>
    <w:rsid w:val="75FC0175"/>
    <w:rsid w:val="761F32BC"/>
    <w:rsid w:val="76EB29A8"/>
    <w:rsid w:val="770C0B94"/>
    <w:rsid w:val="77235CBB"/>
    <w:rsid w:val="773E6472"/>
    <w:rsid w:val="779F7204"/>
    <w:rsid w:val="77A20ABF"/>
    <w:rsid w:val="77E16A51"/>
    <w:rsid w:val="787E1A12"/>
    <w:rsid w:val="78922A2D"/>
    <w:rsid w:val="78A371CA"/>
    <w:rsid w:val="78A70F68"/>
    <w:rsid w:val="78B0681C"/>
    <w:rsid w:val="78B91B7C"/>
    <w:rsid w:val="78C0202A"/>
    <w:rsid w:val="78CB4300"/>
    <w:rsid w:val="78E6261E"/>
    <w:rsid w:val="78EE426D"/>
    <w:rsid w:val="79256331"/>
    <w:rsid w:val="793F776F"/>
    <w:rsid w:val="79524118"/>
    <w:rsid w:val="79764D6B"/>
    <w:rsid w:val="79B55E6A"/>
    <w:rsid w:val="79E76F7B"/>
    <w:rsid w:val="7A094040"/>
    <w:rsid w:val="7A4A5867"/>
    <w:rsid w:val="7A5544F3"/>
    <w:rsid w:val="7A68361F"/>
    <w:rsid w:val="7B0606B8"/>
    <w:rsid w:val="7B483349"/>
    <w:rsid w:val="7B4D6F1E"/>
    <w:rsid w:val="7C0D6250"/>
    <w:rsid w:val="7C4B2899"/>
    <w:rsid w:val="7C5E3BED"/>
    <w:rsid w:val="7C686998"/>
    <w:rsid w:val="7CCF6CE0"/>
    <w:rsid w:val="7D1966A7"/>
    <w:rsid w:val="7D1C6BA3"/>
    <w:rsid w:val="7D2C7C8E"/>
    <w:rsid w:val="7D7B133D"/>
    <w:rsid w:val="7DA62506"/>
    <w:rsid w:val="7DC10D1E"/>
    <w:rsid w:val="7DCF349F"/>
    <w:rsid w:val="7E3B2B61"/>
    <w:rsid w:val="7E492AC2"/>
    <w:rsid w:val="7E606187"/>
    <w:rsid w:val="7E663686"/>
    <w:rsid w:val="7E881930"/>
    <w:rsid w:val="7EC51539"/>
    <w:rsid w:val="7F1A5BFE"/>
    <w:rsid w:val="7F464805"/>
    <w:rsid w:val="7F710607"/>
    <w:rsid w:val="7F8756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wordWrap w:val="0"/>
      <w:spacing w:line="360" w:lineRule="auto"/>
      <w:ind w:firstLine="883" w:firstLineChars="200"/>
    </w:pPr>
    <w:rPr>
      <w:rFonts w:ascii="仿宋" w:hAnsi="仿宋" w:eastAsia="仿宋" w:cs="仿宋"/>
      <w:kern w:val="2"/>
      <w:sz w:val="28"/>
      <w:szCs w:val="28"/>
      <w:lang w:val="en-US" w:eastAsia="zh-CN" w:bidi="ar-SA"/>
    </w:rPr>
  </w:style>
  <w:style w:type="paragraph" w:styleId="2">
    <w:name w:val="heading 1"/>
    <w:basedOn w:val="1"/>
    <w:next w:val="1"/>
    <w:link w:val="24"/>
    <w:autoRedefine/>
    <w:qFormat/>
    <w:uiPriority w:val="0"/>
    <w:pPr>
      <w:keepNext/>
      <w:keepLines/>
      <w:ind w:firstLine="0" w:firstLineChars="0"/>
      <w:jc w:val="center"/>
      <w:outlineLvl w:val="0"/>
    </w:pPr>
    <w:rPr>
      <w:rFonts w:ascii="Calibri" w:hAnsi="Calibri" w:cs="Times New Roman"/>
      <w:b/>
      <w:bCs/>
      <w:kern w:val="44"/>
      <w:sz w:val="36"/>
      <w:szCs w:val="36"/>
    </w:rPr>
  </w:style>
  <w:style w:type="paragraph" w:styleId="3">
    <w:name w:val="heading 2"/>
    <w:basedOn w:val="1"/>
    <w:next w:val="1"/>
    <w:link w:val="25"/>
    <w:autoRedefine/>
    <w:qFormat/>
    <w:uiPriority w:val="0"/>
    <w:pPr>
      <w:keepNext/>
      <w:keepLines/>
      <w:ind w:firstLine="0" w:firstLineChars="0"/>
      <w:jc w:val="center"/>
      <w:outlineLvl w:val="1"/>
    </w:pPr>
    <w:rPr>
      <w:rFonts w:cs="Times New Roman"/>
      <w:b/>
      <w:bCs/>
      <w:kern w:val="0"/>
      <w:sz w:val="32"/>
      <w:szCs w:val="32"/>
    </w:rPr>
  </w:style>
  <w:style w:type="paragraph" w:styleId="4">
    <w:name w:val="heading 3"/>
    <w:basedOn w:val="1"/>
    <w:next w:val="1"/>
    <w:autoRedefine/>
    <w:qFormat/>
    <w:uiPriority w:val="9"/>
    <w:pPr>
      <w:keepNext/>
      <w:keepLines/>
      <w:outlineLvl w:val="2"/>
    </w:pPr>
    <w:rPr>
      <w:b/>
      <w:bCs/>
    </w:rPr>
  </w:style>
  <w:style w:type="paragraph" w:styleId="5">
    <w:name w:val="heading 4"/>
    <w:basedOn w:val="1"/>
    <w:next w:val="1"/>
    <w:link w:val="27"/>
    <w:autoRedefine/>
    <w:qFormat/>
    <w:uiPriority w:val="9"/>
    <w:pPr>
      <w:keepNext/>
      <w:keepLines/>
      <w:ind w:firstLine="0" w:firstLineChars="0"/>
      <w:jc w:val="center"/>
      <w:outlineLvl w:val="3"/>
    </w:pPr>
    <w:rPr>
      <w:b/>
    </w:rPr>
  </w:style>
  <w:style w:type="paragraph" w:styleId="6">
    <w:name w:val="heading 5"/>
    <w:basedOn w:val="1"/>
    <w:next w:val="1"/>
    <w:autoRedefine/>
    <w:unhideWhenUsed/>
    <w:qFormat/>
    <w:uiPriority w:val="9"/>
    <w:pPr>
      <w:keepNext/>
      <w:keepLines/>
      <w:spacing w:line="372" w:lineRule="auto"/>
      <w:outlineLvl w:val="4"/>
    </w:pPr>
    <w:rPr>
      <w:b/>
    </w:rPr>
  </w:style>
  <w:style w:type="paragraph" w:styleId="7">
    <w:name w:val="heading 6"/>
    <w:basedOn w:val="1"/>
    <w:next w:val="1"/>
    <w:autoRedefine/>
    <w:unhideWhenUsed/>
    <w:qFormat/>
    <w:uiPriority w:val="9"/>
    <w:pPr>
      <w:keepNext/>
      <w:keepLines/>
      <w:spacing w:line="317" w:lineRule="auto"/>
      <w:outlineLvl w:val="5"/>
    </w:pPr>
    <w:rPr>
      <w:rFonts w:ascii="Arial" w:hAnsi="Arial" w:eastAsia="黑体"/>
      <w:b/>
      <w:sz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8">
    <w:name w:val="annotation text"/>
    <w:basedOn w:val="1"/>
    <w:autoRedefine/>
    <w:semiHidden/>
    <w:unhideWhenUsed/>
    <w:qFormat/>
    <w:uiPriority w:val="99"/>
  </w:style>
  <w:style w:type="paragraph" w:styleId="9">
    <w:name w:val="Body Text"/>
    <w:basedOn w:val="1"/>
    <w:next w:val="1"/>
    <w:autoRedefine/>
    <w:qFormat/>
    <w:uiPriority w:val="1"/>
    <w:pPr>
      <w:spacing w:before="154"/>
      <w:ind w:left="102"/>
    </w:pPr>
    <w:rPr>
      <w:rFonts w:ascii="宋体" w:hAnsi="宋体"/>
      <w:sz w:val="24"/>
      <w:szCs w:val="24"/>
    </w:rPr>
  </w:style>
  <w:style w:type="paragraph" w:styleId="10">
    <w:name w:val="toc 3"/>
    <w:basedOn w:val="1"/>
    <w:next w:val="1"/>
    <w:autoRedefine/>
    <w:unhideWhenUsed/>
    <w:qFormat/>
    <w:uiPriority w:val="39"/>
    <w:pPr>
      <w:ind w:left="840" w:leftChars="400"/>
    </w:pPr>
  </w:style>
  <w:style w:type="paragraph" w:styleId="11">
    <w:name w:val="Body Text Indent 2"/>
    <w:basedOn w:val="1"/>
    <w:autoRedefine/>
    <w:qFormat/>
    <w:uiPriority w:val="0"/>
    <w:pPr>
      <w:spacing w:after="120" w:line="480" w:lineRule="auto"/>
      <w:ind w:left="420" w:leftChars="200"/>
    </w:pPr>
  </w:style>
  <w:style w:type="paragraph" w:styleId="12">
    <w:name w:val="Balloon Text"/>
    <w:basedOn w:val="1"/>
    <w:link w:val="28"/>
    <w:autoRedefine/>
    <w:unhideWhenUsed/>
    <w:qFormat/>
    <w:uiPriority w:val="99"/>
    <w:rPr>
      <w:sz w:val="18"/>
      <w:szCs w:val="18"/>
    </w:rPr>
  </w:style>
  <w:style w:type="paragraph" w:styleId="13">
    <w:name w:val="footer"/>
    <w:basedOn w:val="1"/>
    <w:link w:val="29"/>
    <w:autoRedefine/>
    <w:unhideWhenUsed/>
    <w:qFormat/>
    <w:uiPriority w:val="99"/>
    <w:pPr>
      <w:tabs>
        <w:tab w:val="center" w:pos="4153"/>
        <w:tab w:val="right" w:pos="8306"/>
      </w:tabs>
      <w:snapToGrid w:val="0"/>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ind w:left="420" w:leftChars="200"/>
    </w:pPr>
  </w:style>
  <w:style w:type="paragraph" w:styleId="17">
    <w:name w:val="Body Text 2"/>
    <w:basedOn w:val="1"/>
    <w:autoRedefine/>
    <w:qFormat/>
    <w:uiPriority w:val="0"/>
    <w:pPr>
      <w:jc w:val="center"/>
    </w:pPr>
    <w:rPr>
      <w:rFonts w:ascii="宋体"/>
    </w:rPr>
  </w:style>
  <w:style w:type="paragraph" w:styleId="18">
    <w:name w:val="Normal (Web)"/>
    <w:basedOn w:val="1"/>
    <w:autoRedefine/>
    <w:qFormat/>
    <w:uiPriority w:val="0"/>
    <w:rPr>
      <w:sz w:val="24"/>
    </w:rPr>
  </w:style>
  <w:style w:type="table" w:styleId="20">
    <w:name w:val="Table Grid"/>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paragraph" w:customStyle="1" w:styleId="23">
    <w:name w:val="Default"/>
    <w:autoRedefine/>
    <w:qFormat/>
    <w:uiPriority w:val="0"/>
    <w:pPr>
      <w:widowControl w:val="0"/>
      <w:autoSpaceDE w:val="0"/>
      <w:autoSpaceDN w:val="0"/>
      <w:adjustRightInd w:val="0"/>
      <w:jc w:val="center"/>
    </w:pPr>
    <w:rPr>
      <w:rFonts w:ascii="宋体" w:hAnsi="Times New Roman" w:eastAsia="宋体" w:cs="宋体"/>
      <w:color w:val="000000"/>
      <w:sz w:val="24"/>
      <w:szCs w:val="24"/>
      <w:lang w:val="en-US" w:eastAsia="zh-CN" w:bidi="ar-SA"/>
    </w:rPr>
  </w:style>
  <w:style w:type="character" w:customStyle="1" w:styleId="24">
    <w:name w:val="标题 1 Char"/>
    <w:link w:val="2"/>
    <w:autoRedefine/>
    <w:qFormat/>
    <w:uiPriority w:val="0"/>
    <w:rPr>
      <w:rFonts w:ascii="Calibri" w:hAnsi="Calibri" w:eastAsia="仿宋"/>
      <w:b/>
      <w:bCs/>
      <w:kern w:val="44"/>
      <w:sz w:val="36"/>
      <w:szCs w:val="36"/>
    </w:rPr>
  </w:style>
  <w:style w:type="character" w:customStyle="1" w:styleId="25">
    <w:name w:val="标题 2 Char"/>
    <w:link w:val="3"/>
    <w:autoRedefine/>
    <w:qFormat/>
    <w:uiPriority w:val="0"/>
    <w:rPr>
      <w:rFonts w:ascii="仿宋" w:hAnsi="仿宋" w:eastAsia="仿宋"/>
      <w:b/>
      <w:bCs/>
      <w:sz w:val="32"/>
      <w:szCs w:val="32"/>
    </w:rPr>
  </w:style>
  <w:style w:type="paragraph" w:customStyle="1" w:styleId="26">
    <w:name w:val="表格"/>
    <w:basedOn w:val="1"/>
    <w:next w:val="1"/>
    <w:autoRedefine/>
    <w:qFormat/>
    <w:uiPriority w:val="0"/>
    <w:pPr>
      <w:spacing w:line="240" w:lineRule="auto"/>
      <w:ind w:firstLine="0" w:firstLineChars="0"/>
      <w:jc w:val="center"/>
    </w:pPr>
    <w:rPr>
      <w:rFonts w:hint="eastAsia"/>
      <w:kern w:val="0"/>
      <w:sz w:val="24"/>
      <w:szCs w:val="24"/>
    </w:rPr>
  </w:style>
  <w:style w:type="character" w:customStyle="1" w:styleId="27">
    <w:name w:val="标题 4 Char"/>
    <w:basedOn w:val="21"/>
    <w:link w:val="5"/>
    <w:autoRedefine/>
    <w:semiHidden/>
    <w:qFormat/>
    <w:uiPriority w:val="9"/>
    <w:rPr>
      <w:rFonts w:ascii="仿宋" w:hAnsi="仿宋" w:eastAsia="仿宋" w:cs="仿宋"/>
      <w:b/>
      <w:kern w:val="2"/>
      <w:sz w:val="28"/>
      <w:szCs w:val="28"/>
    </w:rPr>
  </w:style>
  <w:style w:type="character" w:customStyle="1" w:styleId="28">
    <w:name w:val="批注框文本 Char"/>
    <w:basedOn w:val="21"/>
    <w:link w:val="12"/>
    <w:autoRedefine/>
    <w:semiHidden/>
    <w:qFormat/>
    <w:uiPriority w:val="99"/>
    <w:rPr>
      <w:rFonts w:ascii="Calibri" w:hAnsi="Calibri" w:eastAsia="宋体" w:cs="Times New Roman"/>
      <w:kern w:val="2"/>
      <w:sz w:val="18"/>
      <w:szCs w:val="18"/>
    </w:rPr>
  </w:style>
  <w:style w:type="character" w:customStyle="1" w:styleId="29">
    <w:name w:val="页脚 Char"/>
    <w:basedOn w:val="21"/>
    <w:link w:val="13"/>
    <w:autoRedefine/>
    <w:qFormat/>
    <w:uiPriority w:val="99"/>
    <w:rPr>
      <w:rFonts w:ascii="Calibri" w:hAnsi="Calibri" w:eastAsia="宋体" w:cs="Times New Roman"/>
      <w:sz w:val="18"/>
      <w:szCs w:val="18"/>
    </w:rPr>
  </w:style>
  <w:style w:type="character" w:customStyle="1" w:styleId="30">
    <w:name w:val="页眉 Char"/>
    <w:basedOn w:val="21"/>
    <w:link w:val="14"/>
    <w:autoRedefine/>
    <w:qFormat/>
    <w:uiPriority w:val="99"/>
    <w:rPr>
      <w:rFonts w:ascii="Calibri" w:hAnsi="Calibri" w:eastAsia="宋体" w:cs="Times New Roman"/>
      <w:sz w:val="18"/>
      <w:szCs w:val="18"/>
    </w:rPr>
  </w:style>
  <w:style w:type="character" w:customStyle="1" w:styleId="31">
    <w:name w:val="font21"/>
    <w:basedOn w:val="21"/>
    <w:autoRedefine/>
    <w:qFormat/>
    <w:uiPriority w:val="0"/>
    <w:rPr>
      <w:rFonts w:hint="eastAsia" w:ascii="仿宋" w:hAnsi="仿宋" w:eastAsia="仿宋" w:cs="仿宋"/>
      <w:color w:val="0206AE"/>
      <w:sz w:val="11"/>
      <w:szCs w:val="11"/>
      <w:u w:val="none"/>
    </w:rPr>
  </w:style>
  <w:style w:type="character" w:customStyle="1" w:styleId="32">
    <w:name w:val="font31"/>
    <w:basedOn w:val="21"/>
    <w:autoRedefine/>
    <w:qFormat/>
    <w:uiPriority w:val="0"/>
    <w:rPr>
      <w:rFonts w:ascii="Arial" w:hAnsi="Arial" w:cs="Arial"/>
      <w:b/>
      <w:color w:val="0206AE"/>
      <w:sz w:val="21"/>
      <w:szCs w:val="21"/>
      <w:u w:val="none"/>
    </w:rPr>
  </w:style>
  <w:style w:type="character" w:customStyle="1" w:styleId="33">
    <w:name w:val="font41"/>
    <w:basedOn w:val="21"/>
    <w:autoRedefine/>
    <w:qFormat/>
    <w:uiPriority w:val="0"/>
    <w:rPr>
      <w:rFonts w:hint="eastAsia" w:ascii="仿宋" w:hAnsi="仿宋" w:eastAsia="仿宋" w:cs="仿宋"/>
      <w:color w:val="0206AE"/>
      <w:sz w:val="21"/>
      <w:szCs w:val="21"/>
      <w:u w:val="none"/>
    </w:rPr>
  </w:style>
  <w:style w:type="character" w:customStyle="1" w:styleId="34">
    <w:name w:val="font11"/>
    <w:basedOn w:val="21"/>
    <w:autoRedefine/>
    <w:qFormat/>
    <w:uiPriority w:val="0"/>
    <w:rPr>
      <w:rFonts w:hint="default" w:ascii="Arial" w:hAnsi="Arial" w:cs="Arial"/>
      <w:color w:val="0206AE"/>
      <w:sz w:val="21"/>
      <w:szCs w:val="21"/>
      <w:u w:val="none"/>
    </w:rPr>
  </w:style>
  <w:style w:type="character" w:customStyle="1" w:styleId="35">
    <w:name w:val="font51"/>
    <w:basedOn w:val="21"/>
    <w:autoRedefine/>
    <w:qFormat/>
    <w:uiPriority w:val="0"/>
    <w:rPr>
      <w:rFonts w:hint="eastAsia" w:ascii="仿宋" w:hAnsi="仿宋" w:eastAsia="仿宋" w:cs="仿宋"/>
      <w:b/>
      <w:color w:val="0206AE"/>
      <w:sz w:val="21"/>
      <w:szCs w:val="21"/>
      <w:u w:val="none"/>
    </w:rPr>
  </w:style>
  <w:style w:type="paragraph" w:customStyle="1" w:styleId="36">
    <w:name w:val="_正文格式"/>
    <w:basedOn w:val="1"/>
    <w:autoRedefine/>
    <w:qFormat/>
    <w:uiPriority w:val="0"/>
    <w:pPr>
      <w:spacing w:line="560" w:lineRule="exact"/>
      <w:ind w:firstLine="200"/>
    </w:pPr>
    <w:rPr>
      <w:rFonts w:eastAsia="仿宋_GB2312"/>
    </w:rPr>
  </w:style>
  <w:style w:type="paragraph" w:customStyle="1" w:styleId="37">
    <w:name w:val="WPSOffice手动目录 3"/>
    <w:autoRedefine/>
    <w:qFormat/>
    <w:uiPriority w:val="0"/>
    <w:pPr>
      <w:ind w:left="400" w:leftChars="400"/>
    </w:pPr>
    <w:rPr>
      <w:rFonts w:ascii="Times New Roman" w:hAnsi="Times New Roman" w:eastAsia="Calibri" w:cs="Times New Roman"/>
      <w:lang w:val="en-US" w:eastAsia="zh-CN" w:bidi="ar-SA"/>
    </w:rPr>
  </w:style>
  <w:style w:type="paragraph" w:customStyle="1" w:styleId="38">
    <w:name w:val="WPSOffice手动目录 1"/>
    <w:autoRedefine/>
    <w:qFormat/>
    <w:uiPriority w:val="0"/>
    <w:rPr>
      <w:rFonts w:ascii="Times New Roman" w:hAnsi="Times New Roman" w:eastAsia="Calibri" w:cs="Times New Roman"/>
      <w:lang w:val="en-US" w:eastAsia="zh-CN" w:bidi="ar-SA"/>
    </w:rPr>
  </w:style>
  <w:style w:type="paragraph" w:customStyle="1" w:styleId="39">
    <w:name w:val="Table Paragraph"/>
    <w:basedOn w:val="1"/>
    <w:autoRedefine/>
    <w:qFormat/>
    <w:uiPriority w:val="1"/>
  </w:style>
  <w:style w:type="paragraph" w:customStyle="1" w:styleId="40">
    <w:name w:val="WPSOffice手动目录 2"/>
    <w:autoRedefine/>
    <w:qFormat/>
    <w:uiPriority w:val="0"/>
    <w:pPr>
      <w:ind w:left="200" w:leftChars="200"/>
    </w:pPr>
    <w:rPr>
      <w:rFonts w:ascii="Times New Roman" w:hAnsi="Times New Roman" w:eastAsia="Calibri" w:cs="Times New Roman"/>
      <w:lang w:val="en-US" w:eastAsia="zh-CN" w:bidi="ar-SA"/>
    </w:rPr>
  </w:style>
  <w:style w:type="table" w:customStyle="1" w:styleId="41">
    <w:name w:val="Table Normal1"/>
    <w:autoRedefine/>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42">
    <w:name w:val="Table Normal"/>
    <w:autoRedefine/>
    <w:unhideWhenUsed/>
    <w:qFormat/>
    <w:uiPriority w:val="2"/>
    <w:tblPr>
      <w:tblCellMar>
        <w:top w:w="0" w:type="dxa"/>
        <w:left w:w="0" w:type="dxa"/>
        <w:bottom w:w="0" w:type="dxa"/>
        <w:right w:w="0" w:type="dxa"/>
      </w:tblCellMar>
    </w:tblPr>
  </w:style>
  <w:style w:type="character" w:customStyle="1" w:styleId="43">
    <w:name w:val="font01"/>
    <w:basedOn w:val="21"/>
    <w:autoRedefine/>
    <w:qFormat/>
    <w:uiPriority w:val="0"/>
    <w:rPr>
      <w:rFonts w:hint="eastAsia" w:ascii="仿宋" w:hAnsi="仿宋" w:eastAsia="仿宋" w:cs="仿宋"/>
      <w:b/>
      <w:bCs/>
      <w:color w:val="000000"/>
      <w:sz w:val="21"/>
      <w:szCs w:val="21"/>
      <w:u w:val="none"/>
      <w:vertAlign w:val="superscript"/>
    </w:rPr>
  </w:style>
  <w:style w:type="character" w:customStyle="1" w:styleId="44">
    <w:name w:val="font291"/>
    <w:basedOn w:val="21"/>
    <w:autoRedefine/>
    <w:qFormat/>
    <w:uiPriority w:val="0"/>
    <w:rPr>
      <w:rFonts w:ascii="黑体" w:hAnsi="宋体" w:eastAsia="黑体" w:cs="黑体"/>
      <w:b/>
      <w:bCs/>
      <w:color w:val="FF00FF"/>
      <w:sz w:val="24"/>
      <w:szCs w:val="24"/>
      <w:u w:val="none"/>
    </w:rPr>
  </w:style>
  <w:style w:type="character" w:customStyle="1" w:styleId="45">
    <w:name w:val="font301"/>
    <w:basedOn w:val="21"/>
    <w:autoRedefine/>
    <w:qFormat/>
    <w:uiPriority w:val="0"/>
    <w:rPr>
      <w:rFonts w:hint="eastAsia" w:ascii="宋体" w:hAnsi="宋体" w:eastAsia="宋体" w:cs="宋体"/>
      <w:color w:val="000000"/>
      <w:sz w:val="21"/>
      <w:szCs w:val="21"/>
      <w:u w:val="none"/>
    </w:rPr>
  </w:style>
  <w:style w:type="character" w:customStyle="1" w:styleId="46">
    <w:name w:val="font91"/>
    <w:basedOn w:val="21"/>
    <w:autoRedefine/>
    <w:qFormat/>
    <w:uiPriority w:val="0"/>
    <w:rPr>
      <w:rFonts w:hint="eastAsia" w:ascii="宋体" w:hAnsi="宋体" w:eastAsia="宋体" w:cs="宋体"/>
      <w:color w:val="000000"/>
      <w:sz w:val="20"/>
      <w:szCs w:val="20"/>
      <w:u w:val="none"/>
    </w:rPr>
  </w:style>
  <w:style w:type="character" w:customStyle="1" w:styleId="47">
    <w:name w:val="font251"/>
    <w:basedOn w:val="21"/>
    <w:autoRedefine/>
    <w:qFormat/>
    <w:uiPriority w:val="0"/>
    <w:rPr>
      <w:rFonts w:hint="eastAsia" w:ascii="宋体" w:hAnsi="宋体" w:eastAsia="宋体" w:cs="宋体"/>
      <w:color w:val="000000"/>
      <w:sz w:val="22"/>
      <w:szCs w:val="22"/>
      <w:u w:val="none"/>
    </w:rPr>
  </w:style>
  <w:style w:type="character" w:customStyle="1" w:styleId="48">
    <w:name w:val="font311"/>
    <w:basedOn w:val="21"/>
    <w:autoRedefine/>
    <w:qFormat/>
    <w:uiPriority w:val="0"/>
    <w:rPr>
      <w:rFonts w:hint="eastAsia" w:ascii="宋体" w:hAnsi="宋体" w:eastAsia="宋体" w:cs="宋体"/>
      <w:b/>
      <w:bCs/>
      <w:color w:val="333399"/>
      <w:sz w:val="22"/>
      <w:szCs w:val="22"/>
      <w:u w:val="none"/>
    </w:rPr>
  </w:style>
  <w:style w:type="character" w:customStyle="1" w:styleId="49">
    <w:name w:val="font181"/>
    <w:basedOn w:val="21"/>
    <w:autoRedefine/>
    <w:qFormat/>
    <w:uiPriority w:val="0"/>
    <w:rPr>
      <w:rFonts w:hint="default" w:ascii="Times New Roman" w:hAnsi="Times New Roman" w:cs="Times New Roman"/>
      <w:color w:val="000000"/>
      <w:sz w:val="22"/>
      <w:szCs w:val="22"/>
      <w:u w:val="none"/>
      <w:vertAlign w:val="superscript"/>
    </w:rPr>
  </w:style>
  <w:style w:type="character" w:customStyle="1" w:styleId="50">
    <w:name w:val="font151"/>
    <w:basedOn w:val="21"/>
    <w:autoRedefine/>
    <w:qFormat/>
    <w:uiPriority w:val="0"/>
    <w:rPr>
      <w:rFonts w:hint="default" w:ascii="Times New Roman" w:hAnsi="Times New Roman" w:cs="Times New Roman"/>
      <w:color w:val="000000"/>
      <w:sz w:val="22"/>
      <w:szCs w:val="22"/>
      <w:u w:val="none"/>
    </w:rPr>
  </w:style>
  <w:style w:type="character" w:customStyle="1" w:styleId="51">
    <w:name w:val="font101"/>
    <w:basedOn w:val="21"/>
    <w:autoRedefine/>
    <w:qFormat/>
    <w:uiPriority w:val="0"/>
    <w:rPr>
      <w:rFonts w:hint="eastAsia" w:ascii="宋体" w:hAnsi="宋体" w:eastAsia="宋体" w:cs="宋体"/>
      <w:color w:val="000000"/>
      <w:sz w:val="22"/>
      <w:szCs w:val="22"/>
      <w:u w:val="none"/>
    </w:rPr>
  </w:style>
  <w:style w:type="character" w:customStyle="1" w:styleId="52">
    <w:name w:val="font141"/>
    <w:basedOn w:val="21"/>
    <w:autoRedefine/>
    <w:qFormat/>
    <w:uiPriority w:val="0"/>
    <w:rPr>
      <w:rFonts w:hint="eastAsia" w:ascii="宋体" w:hAnsi="宋体" w:eastAsia="宋体" w:cs="宋体"/>
      <w:color w:val="000000"/>
      <w:sz w:val="22"/>
      <w:szCs w:val="22"/>
      <w:u w:val="none"/>
    </w:rPr>
  </w:style>
  <w:style w:type="character" w:customStyle="1" w:styleId="53">
    <w:name w:val="font81"/>
    <w:basedOn w:val="21"/>
    <w:autoRedefine/>
    <w:qFormat/>
    <w:uiPriority w:val="0"/>
    <w:rPr>
      <w:rFonts w:hint="default" w:ascii="Times New Roman" w:hAnsi="Times New Roman" w:cs="Times New Roman"/>
      <w:color w:val="000000"/>
      <w:sz w:val="22"/>
      <w:szCs w:val="22"/>
      <w:u w:val="none"/>
      <w:vertAlign w:val="superscript"/>
    </w:rPr>
  </w:style>
  <w:style w:type="character" w:customStyle="1" w:styleId="54">
    <w:name w:val="font61"/>
    <w:basedOn w:val="21"/>
    <w:autoRedefine/>
    <w:qFormat/>
    <w:uiPriority w:val="0"/>
    <w:rPr>
      <w:rFonts w:hint="default" w:ascii="Times New Roman" w:hAnsi="Times New Roman" w:cs="Times New Roman"/>
      <w:b/>
      <w:bCs/>
      <w:color w:val="000000"/>
      <w:sz w:val="21"/>
      <w:szCs w:val="21"/>
      <w:u w:val="none"/>
    </w:rPr>
  </w:style>
  <w:style w:type="character" w:customStyle="1" w:styleId="55">
    <w:name w:val="font71"/>
    <w:basedOn w:val="21"/>
    <w:autoRedefine/>
    <w:qFormat/>
    <w:uiPriority w:val="0"/>
    <w:rPr>
      <w:rFonts w:hint="eastAsia" w:ascii="宋体" w:hAnsi="宋体" w:eastAsia="宋体" w:cs="宋体"/>
      <w:b/>
      <w:bCs/>
      <w:color w:val="000000"/>
      <w:sz w:val="21"/>
      <w:szCs w:val="21"/>
      <w:u w:val="none"/>
    </w:rPr>
  </w:style>
  <w:style w:type="paragraph" w:customStyle="1" w:styleId="56">
    <w:name w:val="报告正文"/>
    <w:basedOn w:val="17"/>
    <w:next w:val="11"/>
    <w:autoRedefine/>
    <w:qFormat/>
    <w:uiPriority w:val="0"/>
    <w:pPr>
      <w:adjustRightInd w:val="0"/>
      <w:snapToGrid w:val="0"/>
      <w:spacing w:line="360" w:lineRule="auto"/>
      <w:ind w:firstLine="482" w:firstLineChars="200"/>
      <w:jc w:val="both"/>
    </w:pPr>
    <w:rPr>
      <w:rFonts w:hAnsi="宋体"/>
      <w:color w:val="000000"/>
      <w:sz w:val="24"/>
      <w:szCs w:val="28"/>
    </w:rPr>
  </w:style>
  <w:style w:type="paragraph" w:customStyle="1" w:styleId="57">
    <w:name w:val="1正文"/>
    <w:basedOn w:val="58"/>
    <w:autoRedefine/>
    <w:qFormat/>
    <w:uiPriority w:val="0"/>
    <w:pPr>
      <w:snapToGrid w:val="0"/>
      <w:spacing w:line="360" w:lineRule="auto"/>
      <w:ind w:firstLine="480"/>
    </w:pPr>
    <w:rPr>
      <w:rFonts w:asciiTheme="minorEastAsia" w:hAnsiTheme="minorEastAsia" w:eastAsiaTheme="minorEastAsia" w:cstheme="minorBidi"/>
      <w:kern w:val="2"/>
      <w:sz w:val="24"/>
      <w:szCs w:val="24"/>
    </w:rPr>
  </w:style>
  <w:style w:type="paragraph" w:customStyle="1" w:styleId="58">
    <w:name w:val="正文格式"/>
    <w:basedOn w:val="1"/>
    <w:autoRedefine/>
    <w:qFormat/>
    <w:uiPriority w:val="0"/>
    <w:pPr>
      <w:widowControl w:val="0"/>
      <w:spacing w:line="560" w:lineRule="exact"/>
      <w:jc w:val="both"/>
    </w:pPr>
    <w:rPr>
      <w:sz w:val="28"/>
      <w:szCs w:val="20"/>
    </w:rPr>
  </w:style>
  <w:style w:type="paragraph" w:customStyle="1" w:styleId="59">
    <w:name w:val="ParaAttribute6"/>
    <w:autoRedefine/>
    <w:qFormat/>
    <w:uiPriority w:val="0"/>
    <w:pPr>
      <w:widowControl w:val="0"/>
      <w:wordWrap w:val="0"/>
      <w:spacing w:line="240" w:lineRule="exact"/>
      <w:ind w:left="0"/>
      <w:jc w:val="left"/>
    </w:pPr>
    <w:rPr>
      <w:rFonts w:ascii="Times New Roman" w:hAnsi="Times New Roman" w:eastAsia="宋体" w:cs="Times New Roman"/>
    </w:rPr>
  </w:style>
  <w:style w:type="paragraph" w:customStyle="1" w:styleId="60">
    <w:name w:val="Table Text"/>
    <w:basedOn w:val="1"/>
    <w:autoRedefine/>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2" textRotate="1"/>
    <customShpInfo spid="_x0000_s410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5682</Words>
  <Characters>6655</Characters>
  <Lines>251</Lines>
  <Paragraphs>70</Paragraphs>
  <TotalTime>6</TotalTime>
  <ScaleCrop>false</ScaleCrop>
  <LinksUpToDate>false</LinksUpToDate>
  <CharactersWithSpaces>6726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2022-05-18T01:57:00Z</dcterms:created>
  <dc:creator>TDKY</dc:creator>
  <cp:lastModifiedBy>在路上。</cp:lastModifiedBy>
  <cp:lastPrinted>2022-05-18T01:56:00Z</cp:lastPrinted>
  <dcterms:modified xsi:type="dcterms:W3CDTF">2026-04-01T07:04:24Z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B853CCD4FAEE4BC4AAB5733EBEC08C3B</vt:lpwstr>
  </property>
  <property fmtid="{D5CDD505-2E9C-101B-9397-08002B2CF9AE}" pid="4" name="KSOTemplateDocerSaveRecord">
    <vt:lpwstr>eyJoZGlkIjoiZGUyYWM5YTE4ZmFhNzRkYjUyNjczNWMwYjRhMDQyYmEiLCJ1c2VySWQiOiIzMTc5NDEwNjgifQ==</vt:lpwstr>
  </property>
</Properties>
</file>