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0D" w:rsidRPr="0061200D" w:rsidRDefault="0061200D" w:rsidP="0061200D">
      <w:pPr>
        <w:widowControl/>
        <w:jc w:val="center"/>
        <w:rPr>
          <w:rFonts w:asciiTheme="majorEastAsia" w:eastAsiaTheme="majorEastAsia" w:hAnsiTheme="majorEastAsia" w:cs="宋体"/>
          <w:color w:val="000000"/>
          <w:kern w:val="0"/>
          <w:sz w:val="24"/>
          <w:szCs w:val="24"/>
        </w:rPr>
      </w:pPr>
      <w:r w:rsidRPr="0061200D">
        <w:rPr>
          <w:rFonts w:asciiTheme="majorEastAsia" w:eastAsiaTheme="majorEastAsia" w:hAnsiTheme="majorEastAsia" w:cs="宋体" w:hint="eastAsia"/>
          <w:b/>
          <w:bCs/>
          <w:color w:val="000000"/>
          <w:kern w:val="0"/>
          <w:sz w:val="24"/>
          <w:szCs w:val="24"/>
        </w:rPr>
        <w:t>内蒙古自治区自然资源厅关于转发《自然资源部关于深化矿产资源管理改革若干事项的意见》的通知</w:t>
      </w:r>
    </w:p>
    <w:p w:rsidR="0061200D" w:rsidRPr="0061200D" w:rsidRDefault="0061200D" w:rsidP="0061200D">
      <w:pPr>
        <w:widowControl/>
        <w:spacing w:line="480" w:lineRule="atLeast"/>
        <w:jc w:val="center"/>
        <w:rPr>
          <w:rFonts w:asciiTheme="majorEastAsia" w:eastAsiaTheme="majorEastAsia" w:hAnsiTheme="majorEastAsia"/>
          <w:color w:val="333333"/>
          <w:sz w:val="24"/>
          <w:szCs w:val="24"/>
          <w:shd w:val="clear" w:color="auto" w:fill="FFFFFF"/>
        </w:rPr>
      </w:pPr>
      <w:r w:rsidRPr="0061200D">
        <w:rPr>
          <w:rFonts w:asciiTheme="majorEastAsia" w:eastAsiaTheme="majorEastAsia" w:hAnsiTheme="majorEastAsia" w:hint="eastAsia"/>
          <w:color w:val="333333"/>
          <w:sz w:val="24"/>
          <w:szCs w:val="24"/>
          <w:shd w:val="clear" w:color="auto" w:fill="FFFFFF"/>
        </w:rPr>
        <w:t>内自然资字〔2023〕584号</w:t>
      </w:r>
    </w:p>
    <w:p w:rsidR="0061200D" w:rsidRDefault="0061200D" w:rsidP="0061200D">
      <w:pPr>
        <w:widowControl/>
        <w:spacing w:line="480" w:lineRule="atLeast"/>
        <w:rPr>
          <w:rFonts w:ascii="宋体" w:eastAsia="宋体" w:hAnsi="宋体" w:cs="宋体"/>
          <w:color w:val="000000"/>
          <w:kern w:val="0"/>
          <w:sz w:val="29"/>
          <w:szCs w:val="29"/>
        </w:rPr>
      </w:pPr>
    </w:p>
    <w:p w:rsidR="0061200D" w:rsidRPr="0061200D" w:rsidRDefault="0061200D" w:rsidP="0061200D">
      <w:pPr>
        <w:widowControl/>
        <w:spacing w:line="480" w:lineRule="atLeast"/>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各盟市自然资源局，厅属有关单位:</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现将《自然资源部关于深化矿产资源管理改革若干事项的意见》（自然资规〔2023〕6号）转发给你们，并提出如下要求，请一并贯彻执行。</w:t>
      </w:r>
    </w:p>
    <w:p w:rsidR="0061200D" w:rsidRPr="0061200D" w:rsidRDefault="0061200D" w:rsidP="0061200D">
      <w:pPr>
        <w:widowControl/>
        <w:spacing w:line="480" w:lineRule="atLeast"/>
        <w:ind w:firstLine="480"/>
        <w:rPr>
          <w:rFonts w:asciiTheme="minorEastAsia" w:hAnsiTheme="minorEastAsia" w:cs="宋体"/>
          <w:b/>
          <w:color w:val="000000"/>
          <w:kern w:val="0"/>
          <w:szCs w:val="21"/>
        </w:rPr>
      </w:pPr>
      <w:r w:rsidRPr="0061200D">
        <w:rPr>
          <w:rFonts w:asciiTheme="minorEastAsia" w:hAnsiTheme="minorEastAsia" w:cs="宋体" w:hint="eastAsia"/>
          <w:b/>
          <w:color w:val="000000"/>
          <w:kern w:val="0"/>
          <w:szCs w:val="21"/>
        </w:rPr>
        <w:t>一、严格落实矿业权出让登记权限</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依据《内蒙古自治区矿产资源总体规划（2021-2025）》，自然资源厅负责自然资源部出让登记权限以外的战略性矿产的矿业权出让登记，盟市自然资源局负责自然资源部和自然资源厅登记权限以外其他矿产的矿业权出让登记（见附件2）。盟市自然资源主管部门依据本地区实际，可决定是否下放普通建筑用砂石土类矿产的矿业权出让登记权限。</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变更勘查开采主矿种（含增列）后，按照变更（含增列）变化后的主矿种出让登记权限管理。</w:t>
      </w:r>
    </w:p>
    <w:p w:rsidR="0061200D" w:rsidRPr="0061200D" w:rsidRDefault="0061200D" w:rsidP="0061200D">
      <w:pPr>
        <w:widowControl/>
        <w:spacing w:line="480" w:lineRule="atLeast"/>
        <w:ind w:firstLine="480"/>
        <w:rPr>
          <w:rFonts w:asciiTheme="minorEastAsia" w:hAnsiTheme="minorEastAsia" w:cs="宋体"/>
          <w:b/>
          <w:color w:val="000000"/>
          <w:kern w:val="0"/>
          <w:szCs w:val="21"/>
        </w:rPr>
      </w:pPr>
      <w:r w:rsidRPr="0061200D">
        <w:rPr>
          <w:rFonts w:asciiTheme="minorEastAsia" w:hAnsiTheme="minorEastAsia" w:cs="宋体" w:hint="eastAsia"/>
          <w:b/>
          <w:color w:val="000000"/>
          <w:kern w:val="0"/>
          <w:szCs w:val="21"/>
        </w:rPr>
        <w:t>二、严格控制协议出让范围</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全面推进矿业权市场化竞争出让，严格按照国家矿业权出让收益起始价标准确定矿业权出让起始价，科学设定竞买保证金、担保函金额，严禁违规设置竞买人条件及矿业权打包、打捆出让。</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严格控制协议出让范围，基于矿山安全生产和矿业权设置合理性等要求，需要利用原有生产系统进一步勘查开采矿产资源（普通建筑用砂石土类矿产除外）的已设采矿权平面垂直投影深部或上部、周边（属同一矿体且矿体向外延伸情形）、零星分散资源，以及属同一主体（同一矿业权人或持股100%全资母子公司）相邻矿业权之间距离300米左右的夹缝区域，不宜单独设置矿业权的，可以协议方式出让矿业权。</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符合上述协议出让要求的，须由矿业权人向盟市自然资源部门提出申请，由盟市自然资源部门对是否符合协议出让情形进行严格审查把关，公示期满后由盟市自然资源部门与受让人签订出让合同，符合登记条件后，办理矿业权变更登记，协议出让成交价和出让收益按相关规定执行。严禁协议出让“以小博大”，以协议出让代替市场化出让。</w:t>
      </w:r>
    </w:p>
    <w:p w:rsidR="0061200D" w:rsidRPr="0061200D" w:rsidRDefault="0061200D" w:rsidP="0061200D">
      <w:pPr>
        <w:widowControl/>
        <w:spacing w:line="480" w:lineRule="atLeast"/>
        <w:ind w:firstLine="480"/>
        <w:rPr>
          <w:rFonts w:asciiTheme="minorEastAsia" w:hAnsiTheme="minorEastAsia" w:cs="宋体"/>
          <w:b/>
          <w:color w:val="000000"/>
          <w:kern w:val="0"/>
          <w:szCs w:val="21"/>
        </w:rPr>
      </w:pPr>
      <w:r w:rsidRPr="0061200D">
        <w:rPr>
          <w:rFonts w:asciiTheme="minorEastAsia" w:hAnsiTheme="minorEastAsia" w:cs="宋体" w:hint="eastAsia"/>
          <w:b/>
          <w:color w:val="000000"/>
          <w:kern w:val="0"/>
          <w:szCs w:val="21"/>
        </w:rPr>
        <w:t>三、建立矿业权市场化出让项目库，实行砂石土类矿产“净矿”出让</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lastRenderedPageBreak/>
        <w:t>厅统筹矿业权市场化出让项目库建设工作，自治区地质调查研究院、测绘地理信息中心具体组织实施。自治区地质调查院、测绘地理信息中心根据已有的基础地质调查和矿产勘查成果，结合矿产资源总体规划，林地、草原分区管控政策，各类生态保护红线、自然保护地、饮用水水源地保护区、湿地公园、城镇开发边界等禁止限制勘查开采区域，提交区块出让建议，列入出让区块项目库；各盟市局面向社会征集出让区块建议，由厅组织自治区地质调查研究院核查准入条件后入库；对位于各类生态保护区域内，暂不宜进行市场出让的区块，由厅组织自治区地质调查研究院核定具备开发潜力后，纳入项目库进行储备。</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全面推行普通建筑用砂石土类矿产“净矿”出让。原则上从2024年1月1日起，实行普通建筑用砂石土类矿产“净矿”出让，各盟市要确保入库项目达到出让条件，优先出让入库的资源区块。</w:t>
      </w:r>
    </w:p>
    <w:p w:rsidR="0061200D" w:rsidRPr="0061200D" w:rsidRDefault="0061200D" w:rsidP="0061200D">
      <w:pPr>
        <w:widowControl/>
        <w:spacing w:line="480" w:lineRule="atLeast"/>
        <w:ind w:firstLine="480"/>
        <w:rPr>
          <w:rFonts w:asciiTheme="minorEastAsia" w:hAnsiTheme="minorEastAsia" w:cs="宋体"/>
          <w:b/>
          <w:color w:val="000000"/>
          <w:kern w:val="0"/>
          <w:szCs w:val="21"/>
        </w:rPr>
      </w:pPr>
      <w:r w:rsidRPr="0061200D">
        <w:rPr>
          <w:rFonts w:asciiTheme="minorEastAsia" w:hAnsiTheme="minorEastAsia" w:cs="宋体" w:hint="eastAsia"/>
          <w:b/>
          <w:color w:val="000000"/>
          <w:kern w:val="0"/>
          <w:szCs w:val="21"/>
        </w:rPr>
        <w:t>四、规范财政出资地质勘查工作</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为保障我区国家重要能源和战略资源基地建设，进一步加大财政出资勘查战略性矿产项目，财政全额出资的勘查项目不再办理探矿权登记，凭项目任务书开展地质勘查工作，形成的矿产地纳入矿业权出让项目库管理。</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从事油气勘查开采应符合安全、环保等资质要求和规定，并具有相应的油气勘查开采技术能力，实行油气探采合一制度。财政出资油气勘查项目若发现可供开采油气资源的，试采出的成果由承担项目勘查单位协调财政出资的同级政府进行统一管理，完成试采作业后决定继续勘查开采的，应当市场化招拍挂新设矿业权，在中华人民共和国境内注册净资产不低于3亿元人民币的内外资公司，均有资格参与竞得油气矿业权。</w:t>
      </w:r>
    </w:p>
    <w:p w:rsidR="0061200D" w:rsidRPr="0061200D" w:rsidRDefault="0061200D" w:rsidP="0061200D">
      <w:pPr>
        <w:widowControl/>
        <w:spacing w:line="480" w:lineRule="atLeast"/>
        <w:ind w:firstLine="480"/>
        <w:rPr>
          <w:rFonts w:asciiTheme="minorEastAsia" w:hAnsiTheme="minorEastAsia" w:cs="宋体"/>
          <w:color w:val="000000"/>
          <w:kern w:val="0"/>
          <w:szCs w:val="21"/>
        </w:rPr>
      </w:pPr>
      <w:r w:rsidRPr="0061200D">
        <w:rPr>
          <w:rFonts w:asciiTheme="minorEastAsia" w:hAnsiTheme="minorEastAsia" w:cs="宋体" w:hint="eastAsia"/>
          <w:color w:val="000000"/>
          <w:kern w:val="0"/>
          <w:szCs w:val="21"/>
        </w:rPr>
        <w:t>与本通知规定不一致的，以本通知为准。</w:t>
      </w:r>
    </w:p>
    <w:p w:rsidR="00EA10BD" w:rsidRPr="00EA10BD" w:rsidRDefault="00EA10BD" w:rsidP="00EA10BD">
      <w:pPr>
        <w:widowControl/>
        <w:spacing w:line="480" w:lineRule="atLeast"/>
        <w:ind w:firstLine="480"/>
        <w:rPr>
          <w:rFonts w:asciiTheme="minorEastAsia" w:hAnsiTheme="minorEastAsia" w:cs="宋体"/>
          <w:color w:val="000000"/>
          <w:kern w:val="0"/>
          <w:szCs w:val="21"/>
        </w:rPr>
      </w:pPr>
      <w:r w:rsidRPr="00EA10BD">
        <w:rPr>
          <w:rFonts w:asciiTheme="minorEastAsia" w:hAnsiTheme="minorEastAsia" w:cs="宋体" w:hint="eastAsia"/>
          <w:color w:val="000000"/>
          <w:kern w:val="0"/>
          <w:szCs w:val="21"/>
        </w:rPr>
        <w:t>附件：1.《自然资源部关于深化矿产资源管理改革若干事项的意见》（自然资规〔2023〕6号）</w:t>
      </w:r>
    </w:p>
    <w:p w:rsidR="00EA10BD" w:rsidRPr="00EA10BD" w:rsidRDefault="00EA10BD" w:rsidP="00A403CB">
      <w:pPr>
        <w:widowControl/>
        <w:spacing w:line="480" w:lineRule="atLeast"/>
        <w:ind w:firstLineChars="478" w:firstLine="1004"/>
        <w:rPr>
          <w:rFonts w:asciiTheme="minorEastAsia" w:hAnsiTheme="minorEastAsia" w:cs="宋体"/>
          <w:color w:val="000000"/>
          <w:kern w:val="0"/>
          <w:szCs w:val="21"/>
        </w:rPr>
      </w:pPr>
      <w:r w:rsidRPr="00EA10BD">
        <w:rPr>
          <w:rFonts w:asciiTheme="minorEastAsia" w:hAnsiTheme="minorEastAsia" w:cs="宋体" w:hint="eastAsia"/>
          <w:color w:val="000000"/>
          <w:kern w:val="0"/>
          <w:szCs w:val="21"/>
        </w:rPr>
        <w:t>2.矿产资源出让登记权限一览表</w:t>
      </w:r>
      <w:r w:rsidRPr="00EA10BD">
        <w:rPr>
          <w:rFonts w:asciiTheme="minorEastAsia" w:hAnsiTheme="minorEastAsia" w:cs="宋体" w:hint="eastAsia"/>
          <w:color w:val="000000"/>
          <w:kern w:val="0"/>
          <w:szCs w:val="21"/>
        </w:rPr>
        <w:t> </w:t>
      </w:r>
      <w:r w:rsidRPr="00EA10BD">
        <w:rPr>
          <w:rFonts w:asciiTheme="minorEastAsia" w:hAnsiTheme="minorEastAsia" w:cs="宋体" w:hint="eastAsia"/>
          <w:color w:val="000000"/>
          <w:kern w:val="0"/>
          <w:szCs w:val="21"/>
        </w:rPr>
        <w:t> </w:t>
      </w:r>
      <w:r w:rsidRPr="00EA10BD">
        <w:rPr>
          <w:rFonts w:asciiTheme="minorEastAsia" w:hAnsiTheme="minorEastAsia" w:cs="宋体" w:hint="eastAsia"/>
          <w:color w:val="000000"/>
          <w:kern w:val="0"/>
          <w:szCs w:val="21"/>
        </w:rPr>
        <w:t> </w:t>
      </w:r>
      <w:r w:rsidRPr="00EA10BD">
        <w:rPr>
          <w:rFonts w:asciiTheme="minorEastAsia" w:hAnsiTheme="minorEastAsia" w:cs="宋体" w:hint="eastAsia"/>
          <w:color w:val="000000"/>
          <w:kern w:val="0"/>
          <w:szCs w:val="21"/>
        </w:rPr>
        <w:t> </w:t>
      </w:r>
      <w:r w:rsidRPr="00EA10BD">
        <w:rPr>
          <w:rFonts w:asciiTheme="minorEastAsia" w:hAnsiTheme="minorEastAsia" w:cs="宋体" w:hint="eastAsia"/>
          <w:color w:val="000000"/>
          <w:kern w:val="0"/>
          <w:szCs w:val="21"/>
        </w:rPr>
        <w:t> </w:t>
      </w:r>
      <w:r w:rsidRPr="00EA10BD">
        <w:rPr>
          <w:rFonts w:asciiTheme="minorEastAsia" w:hAnsiTheme="minorEastAsia" w:cs="宋体" w:hint="eastAsia"/>
          <w:color w:val="000000"/>
          <w:kern w:val="0"/>
          <w:szCs w:val="21"/>
        </w:rPr>
        <w:t> </w:t>
      </w:r>
    </w:p>
    <w:p w:rsidR="00EA10BD" w:rsidRDefault="00EA10BD">
      <w:pPr>
        <w:widowControl/>
        <w:jc w:val="left"/>
        <w:rPr>
          <w:rFonts w:asciiTheme="minorEastAsia" w:hAnsiTheme="minorEastAsia" w:cs="宋体"/>
          <w:color w:val="000000"/>
          <w:kern w:val="0"/>
          <w:szCs w:val="21"/>
        </w:rPr>
      </w:pPr>
      <w:r>
        <w:rPr>
          <w:rFonts w:asciiTheme="minorEastAsia" w:hAnsiTheme="minorEastAsia" w:cs="宋体"/>
          <w:color w:val="000000"/>
          <w:kern w:val="0"/>
          <w:szCs w:val="21"/>
        </w:rPr>
        <w:br w:type="page"/>
      </w:r>
    </w:p>
    <w:p w:rsidR="00EA4884" w:rsidRDefault="00EA10BD">
      <w:pPr>
        <w:rPr>
          <w:rFonts w:asciiTheme="minorEastAsia" w:hAnsiTheme="minorEastAsia" w:cs="宋体"/>
          <w:color w:val="000000"/>
          <w:kern w:val="0"/>
          <w:szCs w:val="21"/>
        </w:rPr>
      </w:pPr>
      <w:r>
        <w:rPr>
          <w:rFonts w:asciiTheme="minorEastAsia" w:hAnsiTheme="minorEastAsia" w:cs="宋体"/>
          <w:color w:val="000000"/>
          <w:kern w:val="0"/>
          <w:szCs w:val="21"/>
        </w:rPr>
        <w:lastRenderedPageBreak/>
        <w:t>附件</w:t>
      </w:r>
      <w:r>
        <w:rPr>
          <w:rFonts w:asciiTheme="minorEastAsia" w:hAnsiTheme="minorEastAsia" w:cs="宋体" w:hint="eastAsia"/>
          <w:color w:val="000000"/>
          <w:kern w:val="0"/>
          <w:szCs w:val="21"/>
        </w:rPr>
        <w:t>1</w:t>
      </w:r>
    </w:p>
    <w:p w:rsidR="00EA10BD" w:rsidRDefault="00EA10BD" w:rsidP="00EA10BD">
      <w:pPr>
        <w:jc w:val="center"/>
      </w:pPr>
      <w:r w:rsidRPr="00A04FBC">
        <w:rPr>
          <w:rFonts w:hint="eastAsia"/>
        </w:rPr>
        <w:t>自然资源部关于深化矿产资源管理改革若干事项的意见</w:t>
      </w:r>
    </w:p>
    <w:p w:rsidR="00EA10BD" w:rsidRDefault="00EA10BD" w:rsidP="00EA10BD">
      <w:pPr>
        <w:jc w:val="center"/>
      </w:pPr>
      <w:r w:rsidRPr="00A04FBC">
        <w:rPr>
          <w:rFonts w:hint="eastAsia"/>
        </w:rPr>
        <w:t>自然资规〔</w:t>
      </w:r>
      <w:r w:rsidRPr="00A04FBC">
        <w:rPr>
          <w:rFonts w:hint="eastAsia"/>
        </w:rPr>
        <w:t>2023</w:t>
      </w:r>
      <w:r w:rsidRPr="00A04FBC">
        <w:rPr>
          <w:rFonts w:hint="eastAsia"/>
        </w:rPr>
        <w:t>〕</w:t>
      </w:r>
      <w:r w:rsidRPr="00A04FBC">
        <w:rPr>
          <w:rFonts w:hint="eastAsia"/>
        </w:rPr>
        <w:t>6</w:t>
      </w:r>
      <w:r w:rsidRPr="00A04FBC">
        <w:rPr>
          <w:rFonts w:hint="eastAsia"/>
        </w:rPr>
        <w:t>号</w:t>
      </w:r>
    </w:p>
    <w:p w:rsidR="00EA10BD" w:rsidRDefault="00EA10BD" w:rsidP="00EA10BD"/>
    <w:p w:rsidR="00EA10BD" w:rsidRPr="00A04FBC" w:rsidRDefault="00EA10BD" w:rsidP="00EA10BD">
      <w:r w:rsidRPr="00A04FBC">
        <w:rPr>
          <w:rFonts w:hint="eastAsia"/>
        </w:rPr>
        <w:t>各省、自治区、直辖市自然资源主管部门，新疆生产建设兵团自然资源局：</w:t>
      </w:r>
    </w:p>
    <w:p w:rsidR="00EA10BD" w:rsidRPr="00A04FBC" w:rsidRDefault="00EA10BD" w:rsidP="00EA10BD">
      <w:r w:rsidRPr="00A04FBC">
        <w:rPr>
          <w:rFonts w:hint="eastAsia"/>
        </w:rPr>
        <w:t xml:space="preserve">　　为贯彻落实党中央、国务院关于矿业权出让制度改革、石油天然气体制改革、加强重要能源矿产资源国内勘探开发和增储上产等决策部署，充分发挥市场在资源配置中的决定性作用，更好发挥政府作用，深化“放管服”改革，严守资源安全底线、优化国土空间格局、促进绿色低碳发展、维护资源资产权益，现就深化矿产资源管理改革提出如下意见。</w:t>
      </w:r>
    </w:p>
    <w:p w:rsidR="00EA10BD" w:rsidRPr="00A04FBC" w:rsidRDefault="00EA10BD" w:rsidP="00EA10BD">
      <w:r w:rsidRPr="00A04FBC">
        <w:rPr>
          <w:rFonts w:hint="eastAsia"/>
        </w:rPr>
        <w:t xml:space="preserve">　　</w:t>
      </w:r>
      <w:r w:rsidRPr="00A04FBC">
        <w:rPr>
          <w:rFonts w:hint="eastAsia"/>
          <w:b/>
          <w:bCs/>
        </w:rPr>
        <w:t>一、全面推进矿业权竞争性出让</w:t>
      </w:r>
    </w:p>
    <w:p w:rsidR="00EA10BD" w:rsidRPr="00A04FBC" w:rsidRDefault="00EA10BD" w:rsidP="00EA10BD">
      <w:r w:rsidRPr="00A04FBC">
        <w:rPr>
          <w:rFonts w:hint="eastAsia"/>
        </w:rPr>
        <w:t xml:space="preserve">　　除协议出让等特殊情形外，矿业权一律按照《矿业权出让交易规则》（自然资规〔</w:t>
      </w:r>
      <w:r w:rsidRPr="00A04FBC">
        <w:rPr>
          <w:rFonts w:hint="eastAsia"/>
        </w:rPr>
        <w:t>2023</w:t>
      </w:r>
      <w:r w:rsidRPr="00A04FBC">
        <w:rPr>
          <w:rFonts w:hint="eastAsia"/>
        </w:rPr>
        <w:t>〕</w:t>
      </w:r>
      <w:r w:rsidRPr="00A04FBC">
        <w:rPr>
          <w:rFonts w:hint="eastAsia"/>
        </w:rPr>
        <w:t>1</w:t>
      </w:r>
      <w:r w:rsidRPr="00A04FBC">
        <w:rPr>
          <w:rFonts w:hint="eastAsia"/>
        </w:rPr>
        <w:t>号）以招标、拍卖、挂牌方式公开竞争出让。在矿业权交易中推广使用保函或保证金，探索建立相关规则，确保矿业权交易顺利进行。</w:t>
      </w:r>
    </w:p>
    <w:p w:rsidR="00EA10BD" w:rsidRPr="00A04FBC" w:rsidRDefault="00EA10BD" w:rsidP="00EA10BD">
      <w:r w:rsidRPr="00A04FBC">
        <w:rPr>
          <w:rFonts w:hint="eastAsia"/>
        </w:rPr>
        <w:t xml:space="preserve">　　竞争出让油气（包括石油、烃类天然气、页岩气、煤层气、天然气水合物）探矿权，按自然资源部、财政部制定的矿业权出让收益起始价标准的指导意见确定起始价。</w:t>
      </w:r>
    </w:p>
    <w:p w:rsidR="00EA10BD" w:rsidRPr="00A04FBC" w:rsidRDefault="00EA10BD" w:rsidP="00EA10BD">
      <w:r w:rsidRPr="00A04FBC">
        <w:rPr>
          <w:rFonts w:hint="eastAsia"/>
        </w:rPr>
        <w:t xml:space="preserve">　　</w:t>
      </w:r>
      <w:r w:rsidRPr="00A04FBC">
        <w:rPr>
          <w:rFonts w:hint="eastAsia"/>
          <w:b/>
          <w:bCs/>
        </w:rPr>
        <w:t>二、严格控制矿业权协议出让</w:t>
      </w:r>
    </w:p>
    <w:p w:rsidR="00EA10BD" w:rsidRPr="00A04FBC" w:rsidRDefault="00EA10BD" w:rsidP="00EA10BD">
      <w:r w:rsidRPr="00A04FBC">
        <w:rPr>
          <w:rFonts w:hint="eastAsia"/>
        </w:rPr>
        <w:t xml:space="preserve">　　稀土、放射性矿产勘查开采项目或国务院批准的重点建设项目，自然资源主管部门可以协议方式向特定主体出让矿业权。自然资源部协议出让矿业权应当征求省级政府意见，地方自然资源主管部门协议出让矿业权须报请同级地方政府同意。</w:t>
      </w:r>
    </w:p>
    <w:p w:rsidR="00EA10BD" w:rsidRPr="00A04FBC" w:rsidRDefault="00EA10BD" w:rsidP="00EA10BD">
      <w:r w:rsidRPr="00A04FBC">
        <w:rPr>
          <w:rFonts w:hint="eastAsia"/>
        </w:rPr>
        <w:t xml:space="preserve">　　基于矿山安全生产和矿业权设置合理性等要求，需要利用原有生产系统进一步勘查开采矿产资源（普通建筑用砂石土类矿产除外）的，已设采矿权深部或上部、周边、零星分散资源，以及属同一主体相邻矿业权之间距离</w:t>
      </w:r>
      <w:r w:rsidRPr="00A04FBC">
        <w:rPr>
          <w:rFonts w:hint="eastAsia"/>
        </w:rPr>
        <w:t>300</w:t>
      </w:r>
      <w:r w:rsidRPr="00A04FBC">
        <w:rPr>
          <w:rFonts w:hint="eastAsia"/>
        </w:rPr>
        <w:t>米左右的夹缝区域，可以协议方式出让探矿权或采矿权。</w:t>
      </w:r>
    </w:p>
    <w:p w:rsidR="00EA10BD" w:rsidRPr="00A04FBC" w:rsidRDefault="00EA10BD" w:rsidP="00EA10BD">
      <w:r w:rsidRPr="00A04FBC">
        <w:rPr>
          <w:rFonts w:hint="eastAsia"/>
        </w:rPr>
        <w:t xml:space="preserve">　　</w:t>
      </w:r>
      <w:r w:rsidRPr="00A04FBC">
        <w:rPr>
          <w:rFonts w:hint="eastAsia"/>
          <w:b/>
          <w:bCs/>
        </w:rPr>
        <w:t>三、积极推进“净矿”出让</w:t>
      </w:r>
    </w:p>
    <w:p w:rsidR="00EA10BD" w:rsidRPr="00A04FBC" w:rsidRDefault="00EA10BD" w:rsidP="00EA10BD">
      <w:r w:rsidRPr="00A04FBC">
        <w:rPr>
          <w:rFonts w:hint="eastAsia"/>
        </w:rPr>
        <w:t xml:space="preserve">　　实行砂石土采矿权“净矿”出让，积极推进其他矿种的“净矿”出让。加强矿业权出让前期准备工作，优化矿业权出让流程，提高服务效率。依据矿产资源规划、地质工作成果和市场需求，建立矿业权出让项目库，会同相关部门，依法依规避让生态保护红线等禁止限制勘查开采区域，合理确定出让范围，并做好与用地用海用林用草等审批事项和管理政策的衔接，以便矿业权出让后，矿业权人能够依法依规办理用地用海用林用草审批手续，正常开展勘查开采工作。</w:t>
      </w:r>
    </w:p>
    <w:p w:rsidR="00EA10BD" w:rsidRPr="00A04FBC" w:rsidRDefault="00EA10BD" w:rsidP="00EA10BD">
      <w:r w:rsidRPr="00A04FBC">
        <w:rPr>
          <w:rFonts w:hint="eastAsia"/>
        </w:rPr>
        <w:t xml:space="preserve">　　因不可抗力原因导致无法开展勘查开采工作的，自然资源主管部门可以依法变更或者解除合同、撤回矿业权，并按有关规定退还已征收的矿业权出让收益。</w:t>
      </w:r>
    </w:p>
    <w:p w:rsidR="00EA10BD" w:rsidRPr="00A04FBC" w:rsidRDefault="00EA10BD" w:rsidP="00EA10BD">
      <w:r w:rsidRPr="00A04FBC">
        <w:rPr>
          <w:rFonts w:hint="eastAsia"/>
        </w:rPr>
        <w:t xml:space="preserve">　　</w:t>
      </w:r>
      <w:r w:rsidRPr="00A04FBC">
        <w:rPr>
          <w:rFonts w:hint="eastAsia"/>
          <w:b/>
          <w:bCs/>
        </w:rPr>
        <w:t>四、实行同一矿种探矿权采矿权出让登记同级管理</w:t>
      </w:r>
    </w:p>
    <w:p w:rsidR="00EA10BD" w:rsidRPr="00A04FBC" w:rsidRDefault="00EA10BD" w:rsidP="00EA10BD">
      <w:r w:rsidRPr="00A04FBC">
        <w:rPr>
          <w:rFonts w:hint="eastAsia"/>
        </w:rPr>
        <w:t xml:space="preserve">　　自然资源部负责石油、烃类天然气、页岩气、天然气水合物、放射性矿产、钨、稀土、锡、锑、钼、钴、锂、钾盐、晶质石墨的矿业权出让登记；省级自然资源主管部门负责其他战略性矿产的矿业权出让登记，并落实矿产资源规划管控措施。省级及以下自然资源主管部门负责其余矿种的矿业权出让登记。</w:t>
      </w:r>
    </w:p>
    <w:p w:rsidR="00EA10BD" w:rsidRPr="00A04FBC" w:rsidRDefault="00EA10BD" w:rsidP="00EA10BD">
      <w:r w:rsidRPr="00A04FBC">
        <w:rPr>
          <w:rFonts w:hint="eastAsia"/>
        </w:rPr>
        <w:t xml:space="preserve">　　矿业权出让收益评估由省级自然资源主管部门统一组织开展。</w:t>
      </w:r>
    </w:p>
    <w:p w:rsidR="00EA10BD" w:rsidRPr="00A04FBC" w:rsidRDefault="00EA10BD" w:rsidP="00EA10BD">
      <w:r w:rsidRPr="00A04FBC">
        <w:rPr>
          <w:rFonts w:hint="eastAsia"/>
        </w:rPr>
        <w:t xml:space="preserve">　　</w:t>
      </w:r>
      <w:r w:rsidRPr="00A04FBC">
        <w:rPr>
          <w:rFonts w:hint="eastAsia"/>
          <w:b/>
          <w:bCs/>
        </w:rPr>
        <w:t>五、开放油气勘查开采市场</w:t>
      </w:r>
    </w:p>
    <w:p w:rsidR="00EA10BD" w:rsidRPr="00A04FBC" w:rsidRDefault="00EA10BD" w:rsidP="00EA10BD">
      <w:r w:rsidRPr="00A04FBC">
        <w:rPr>
          <w:rFonts w:hint="eastAsia"/>
        </w:rPr>
        <w:t xml:space="preserve">　　在中华人民共和国境内注册，净资产不低于</w:t>
      </w:r>
      <w:r w:rsidRPr="00A04FBC">
        <w:rPr>
          <w:rFonts w:hint="eastAsia"/>
        </w:rPr>
        <w:t>3</w:t>
      </w:r>
      <w:r w:rsidRPr="00A04FBC">
        <w:rPr>
          <w:rFonts w:hint="eastAsia"/>
        </w:rPr>
        <w:t>亿元人民币的内外资公司，均有资格按规定取得油气矿业权。从事油气勘查开采应当符合安全、环保等资质要求和规定，并具有相应的油气勘查开采技术能力。</w:t>
      </w:r>
    </w:p>
    <w:p w:rsidR="00EA10BD" w:rsidRPr="00A04FBC" w:rsidRDefault="00EA10BD" w:rsidP="00EA10BD">
      <w:r w:rsidRPr="00A04FBC">
        <w:rPr>
          <w:rFonts w:hint="eastAsia"/>
        </w:rPr>
        <w:t xml:space="preserve">　　</w:t>
      </w:r>
      <w:r w:rsidRPr="00A04FBC">
        <w:rPr>
          <w:rFonts w:hint="eastAsia"/>
          <w:b/>
          <w:bCs/>
        </w:rPr>
        <w:t>六、实行油气探采合一制度</w:t>
      </w:r>
    </w:p>
    <w:p w:rsidR="00EA10BD" w:rsidRPr="00A04FBC" w:rsidRDefault="00EA10BD" w:rsidP="00EA10BD">
      <w:r w:rsidRPr="00A04FBC">
        <w:rPr>
          <w:rFonts w:hint="eastAsia"/>
        </w:rPr>
        <w:t xml:space="preserve">　　油气矿业权人发现可供开采的油气资源，完成试油（气）作业后决定继续开采的，在</w:t>
      </w:r>
      <w:r w:rsidRPr="00A04FBC">
        <w:rPr>
          <w:rFonts w:hint="eastAsia"/>
        </w:rPr>
        <w:lastRenderedPageBreak/>
        <w:t>30</w:t>
      </w:r>
      <w:r w:rsidRPr="00A04FBC">
        <w:rPr>
          <w:rFonts w:hint="eastAsia"/>
        </w:rPr>
        <w:t>日内向有登记权限的自然资源主管部门提交探采合一计划表（附件）后可以进行开采。在勘查开采过程中探明地质储量的区域，应当及时编制矿产资源储量报告，进行评审备案。报告探采合一计划</w:t>
      </w:r>
      <w:r w:rsidRPr="00A04FBC">
        <w:rPr>
          <w:rFonts w:hint="eastAsia"/>
        </w:rPr>
        <w:t>5</w:t>
      </w:r>
      <w:r w:rsidRPr="00A04FBC">
        <w:rPr>
          <w:rFonts w:hint="eastAsia"/>
        </w:rPr>
        <w:t>年内，矿业权人应当签订采矿权出让合同，依法办理采矿权登记。</w:t>
      </w:r>
    </w:p>
    <w:p w:rsidR="00EA10BD" w:rsidRPr="00A04FBC" w:rsidRDefault="00EA10BD" w:rsidP="00EA10BD">
      <w:r w:rsidRPr="00A04FBC">
        <w:rPr>
          <w:rFonts w:hint="eastAsia"/>
        </w:rPr>
        <w:t xml:space="preserve">　　报告探采合一计划超过</w:t>
      </w:r>
      <w:r w:rsidRPr="00A04FBC">
        <w:rPr>
          <w:rFonts w:hint="eastAsia"/>
        </w:rPr>
        <w:t>5</w:t>
      </w:r>
      <w:r w:rsidRPr="00A04FBC">
        <w:rPr>
          <w:rFonts w:hint="eastAsia"/>
        </w:rPr>
        <w:t>年，未转采矿权仍继续开采的，按违法采矿处理。矿业权人完成试油（气）作业后决定不再继续开采的，以及</w:t>
      </w:r>
      <w:r w:rsidRPr="00A04FBC">
        <w:rPr>
          <w:rFonts w:hint="eastAsia"/>
        </w:rPr>
        <w:t>5</w:t>
      </w:r>
      <w:r w:rsidRPr="00A04FBC">
        <w:rPr>
          <w:rFonts w:hint="eastAsia"/>
        </w:rPr>
        <w:t>年内开采完毕或无法转采并停止开采的，不再办理采矿权登记。</w:t>
      </w:r>
    </w:p>
    <w:p w:rsidR="00EA10BD" w:rsidRPr="00A04FBC" w:rsidRDefault="00EA10BD" w:rsidP="00EA10BD">
      <w:r w:rsidRPr="00A04FBC">
        <w:rPr>
          <w:rFonts w:hint="eastAsia"/>
        </w:rPr>
        <w:t xml:space="preserve">　　</w:t>
      </w:r>
      <w:r w:rsidRPr="00A04FBC">
        <w:rPr>
          <w:rFonts w:hint="eastAsia"/>
          <w:b/>
          <w:bCs/>
        </w:rPr>
        <w:t>七、调整探矿权期限</w:t>
      </w:r>
    </w:p>
    <w:p w:rsidR="00EA10BD" w:rsidRPr="00A04FBC" w:rsidRDefault="00EA10BD" w:rsidP="00EA10BD">
      <w:r w:rsidRPr="00A04FBC">
        <w:rPr>
          <w:rFonts w:hint="eastAsia"/>
        </w:rPr>
        <w:t xml:space="preserve">　　探矿权新立、延续及保留登记期限均为</w:t>
      </w:r>
      <w:r w:rsidRPr="00A04FBC">
        <w:rPr>
          <w:rFonts w:hint="eastAsia"/>
        </w:rPr>
        <w:t>5</w:t>
      </w:r>
      <w:r w:rsidRPr="00A04FBC">
        <w:rPr>
          <w:rFonts w:hint="eastAsia"/>
        </w:rPr>
        <w:t>年。申请探矿权延续登记时应当扣减勘查许可证载明面积的</w:t>
      </w:r>
      <w:r w:rsidRPr="00A04FBC">
        <w:rPr>
          <w:rFonts w:hint="eastAsia"/>
        </w:rPr>
        <w:t>20%</w:t>
      </w:r>
      <w:r w:rsidRPr="00A04FBC">
        <w:rPr>
          <w:rFonts w:hint="eastAsia"/>
        </w:rPr>
        <w:t>，非油气已提交资源量的范围</w:t>
      </w:r>
      <w:r w:rsidRPr="00A04FBC">
        <w:rPr>
          <w:rFonts w:hint="eastAsia"/>
        </w:rPr>
        <w:t>/</w:t>
      </w:r>
      <w:r w:rsidRPr="00A04FBC">
        <w:rPr>
          <w:rFonts w:hint="eastAsia"/>
        </w:rPr>
        <w:t>油气已提交探明地质储量的范围不计入扣减基数，已设采矿权深部或上部勘查不扣减面积。油气探矿权可以扣减同一盆地的该探矿权人其他区块同等面积，但新出让的油气探矿权</w:t>
      </w:r>
      <w:r w:rsidRPr="00A04FBC">
        <w:rPr>
          <w:rFonts w:hint="eastAsia"/>
        </w:rPr>
        <w:t>5</w:t>
      </w:r>
      <w:r w:rsidRPr="00A04FBC">
        <w:rPr>
          <w:rFonts w:hint="eastAsia"/>
        </w:rPr>
        <w:t>年内不得用于抵扣该探矿权人其他区块应扣减面积。</w:t>
      </w:r>
    </w:p>
    <w:p w:rsidR="00EA10BD" w:rsidRPr="00A04FBC" w:rsidRDefault="00EA10BD" w:rsidP="00EA10BD">
      <w:r w:rsidRPr="00A04FBC">
        <w:rPr>
          <w:rFonts w:hint="eastAsia"/>
        </w:rPr>
        <w:t xml:space="preserve">　　探矿权出让合同已有约定的，按合同执行。</w:t>
      </w:r>
    </w:p>
    <w:p w:rsidR="00EA10BD" w:rsidRPr="00A04FBC" w:rsidRDefault="00EA10BD" w:rsidP="00EA10BD">
      <w:r w:rsidRPr="00A04FBC">
        <w:rPr>
          <w:rFonts w:hint="eastAsia"/>
        </w:rPr>
        <w:t xml:space="preserve">　　</w:t>
      </w:r>
      <w:r w:rsidRPr="00A04FBC">
        <w:rPr>
          <w:rFonts w:hint="eastAsia"/>
          <w:b/>
          <w:bCs/>
        </w:rPr>
        <w:t>八、执行新的矿产资源储量分类</w:t>
      </w:r>
    </w:p>
    <w:p w:rsidR="00EA10BD" w:rsidRPr="00A04FBC" w:rsidRDefault="00EA10BD" w:rsidP="00EA10BD">
      <w:r w:rsidRPr="00A04FBC">
        <w:rPr>
          <w:rFonts w:hint="eastAsia"/>
        </w:rPr>
        <w:t xml:space="preserve">　　矿产资源管理和规划、政策制定，矿产资源勘查、开采，资源储量估算、评价，矿产资源统计和发布，及相关技术标准制定，应当执行《固体矿产资源储量分类》（</w:t>
      </w:r>
      <w:r w:rsidRPr="00A04FBC">
        <w:rPr>
          <w:rFonts w:hint="eastAsia"/>
        </w:rPr>
        <w:t>GB/T 17766-2020</w:t>
      </w:r>
      <w:r w:rsidRPr="00A04FBC">
        <w:rPr>
          <w:rFonts w:hint="eastAsia"/>
        </w:rPr>
        <w:t>）、《油气矿产资源储量分类》（</w:t>
      </w:r>
      <w:r w:rsidRPr="00A04FBC">
        <w:rPr>
          <w:rFonts w:hint="eastAsia"/>
        </w:rPr>
        <w:t>GB/T 19492-2020</w:t>
      </w:r>
      <w:r w:rsidRPr="00A04FBC">
        <w:rPr>
          <w:rFonts w:hint="eastAsia"/>
        </w:rPr>
        <w:t>）和地热、矿泉水等现行国家颁布的标准规范。</w:t>
      </w:r>
    </w:p>
    <w:p w:rsidR="00EA10BD" w:rsidRPr="00A04FBC" w:rsidRDefault="00EA10BD" w:rsidP="00EA10BD">
      <w:r w:rsidRPr="00A04FBC">
        <w:rPr>
          <w:rFonts w:hint="eastAsia"/>
        </w:rPr>
        <w:t xml:space="preserve">　　</w:t>
      </w:r>
      <w:r w:rsidRPr="00A04FBC">
        <w:rPr>
          <w:rFonts w:hint="eastAsia"/>
          <w:b/>
          <w:bCs/>
        </w:rPr>
        <w:t>九、强化矿产资源储量评审备案</w:t>
      </w:r>
    </w:p>
    <w:p w:rsidR="00EA10BD" w:rsidRPr="00A04FBC" w:rsidRDefault="00EA10BD" w:rsidP="00EA10BD">
      <w:r w:rsidRPr="00A04FBC">
        <w:rPr>
          <w:rFonts w:hint="eastAsia"/>
        </w:rPr>
        <w:t xml:space="preserve">　　自然资源主管部门落实矿产资源国家所有的法律要求，依申请对矿业权人或项目建设单位申报的矿产资源储量进行评审备案，出具评审备案文件。自然资源主管部门可以委托矿产资源储量评审机构根据评审备案范围和权限组织开展评审备案工作，相关费用按国家有关规定执行。</w:t>
      </w:r>
    </w:p>
    <w:p w:rsidR="00EA10BD" w:rsidRPr="00A04FBC" w:rsidRDefault="00EA10BD" w:rsidP="00EA10BD">
      <w:r w:rsidRPr="00A04FBC">
        <w:rPr>
          <w:rFonts w:hint="eastAsia"/>
        </w:rPr>
        <w:t xml:space="preserve">　　</w:t>
      </w:r>
      <w:r w:rsidRPr="00A04FBC">
        <w:rPr>
          <w:rFonts w:hint="eastAsia"/>
          <w:b/>
          <w:bCs/>
        </w:rPr>
        <w:t>十、明确评审备案范围和权限</w:t>
      </w:r>
    </w:p>
    <w:p w:rsidR="00EA10BD" w:rsidRPr="00A04FBC" w:rsidRDefault="00EA10BD" w:rsidP="00EA10BD">
      <w:r w:rsidRPr="00A04FBC">
        <w:rPr>
          <w:rFonts w:hint="eastAsia"/>
        </w:rPr>
        <w:t xml:space="preserve">　　探矿权转采矿权，采矿权变更矿种，采矿权变更（扩大或缩小）范围涉及矿产资源储量变化，油气矿产在探采矿期间探明地质储量、其他矿产在采矿期间累计查明矿产资源量发生重大变化的（变化量超过</w:t>
      </w:r>
      <w:r w:rsidRPr="00A04FBC">
        <w:rPr>
          <w:rFonts w:hint="eastAsia"/>
        </w:rPr>
        <w:t>30%</w:t>
      </w:r>
      <w:r w:rsidRPr="00A04FBC">
        <w:rPr>
          <w:rFonts w:hint="eastAsia"/>
        </w:rPr>
        <w:t>或达到中型规模以上的），以及建设项目压覆重要矿产，应当编制符合相关标准规范的矿产资源储量报告，申请评审备案。不对探矿权保留、变更矿种，探矿权和采矿权延续、转让、出让，矿山闭坑，以及上市融资等事由进行评审备案。</w:t>
      </w:r>
    </w:p>
    <w:p w:rsidR="00EA10BD" w:rsidRPr="00A04FBC" w:rsidRDefault="00EA10BD" w:rsidP="00EA10BD">
      <w:r w:rsidRPr="00A04FBC">
        <w:rPr>
          <w:rFonts w:hint="eastAsia"/>
        </w:rPr>
        <w:t xml:space="preserve">　　自然资源部负责本级已颁发勘查许可证或采矿许可证的矿产资源储量评审备案工作，其他由省级自然资源主管部门负责。涉及建设项目压覆重要矿产的，由省级自然资源主管部门负责评审备案，石油、烃类天然气、页岩气、天然气水合物和放射性矿产资源除外。持续推进矿产资源储量市场服务体系建设，满足企业生产经营、矿业行业发展和市场需要。</w:t>
      </w:r>
    </w:p>
    <w:p w:rsidR="00EA10BD" w:rsidRPr="00A04FBC" w:rsidRDefault="00EA10BD" w:rsidP="00EA10BD">
      <w:r w:rsidRPr="00A04FBC">
        <w:rPr>
          <w:rFonts w:hint="eastAsia"/>
        </w:rPr>
        <w:t xml:space="preserve">　　</w:t>
      </w:r>
      <w:r w:rsidRPr="00A04FBC">
        <w:rPr>
          <w:rFonts w:hint="eastAsia"/>
          <w:b/>
          <w:bCs/>
        </w:rPr>
        <w:t>十一、规范财政出资地质勘查工作</w:t>
      </w:r>
    </w:p>
    <w:p w:rsidR="00EA10BD" w:rsidRPr="00A04FBC" w:rsidRDefault="00EA10BD" w:rsidP="00EA10BD">
      <w:r w:rsidRPr="00A04FBC">
        <w:rPr>
          <w:rFonts w:hint="eastAsia"/>
        </w:rPr>
        <w:t xml:space="preserve">　　中央或地方财政出资勘查项目，不设置探矿权，凭项目任务书开展地质勘查工作。</w:t>
      </w:r>
      <w:r w:rsidRPr="00A04FBC">
        <w:rPr>
          <w:rFonts w:hint="eastAsia"/>
        </w:rPr>
        <w:t>2019</w:t>
      </w:r>
      <w:r w:rsidRPr="00A04FBC">
        <w:rPr>
          <w:rFonts w:hint="eastAsia"/>
        </w:rPr>
        <w:t>年</w:t>
      </w:r>
      <w:r w:rsidRPr="00A04FBC">
        <w:rPr>
          <w:rFonts w:hint="eastAsia"/>
        </w:rPr>
        <w:t>12</w:t>
      </w:r>
      <w:r w:rsidRPr="00A04FBC">
        <w:rPr>
          <w:rFonts w:hint="eastAsia"/>
        </w:rPr>
        <w:t>月</w:t>
      </w:r>
      <w:r w:rsidRPr="00A04FBC">
        <w:rPr>
          <w:rFonts w:hint="eastAsia"/>
        </w:rPr>
        <w:t>31</w:t>
      </w:r>
      <w:r w:rsidRPr="00A04FBC">
        <w:rPr>
          <w:rFonts w:hint="eastAsia"/>
        </w:rPr>
        <w:t>日以前已设探矿权的，自然资源主管部门可以继续办理探矿权延续，完成规定的勘查工作后注销探矿权，由自然资源主管部门出让或储备。</w:t>
      </w:r>
    </w:p>
    <w:p w:rsidR="00EA10BD" w:rsidRPr="00A04FBC" w:rsidRDefault="00EA10BD" w:rsidP="00EA10BD">
      <w:r w:rsidRPr="00A04FBC">
        <w:rPr>
          <w:rFonts w:hint="eastAsia"/>
        </w:rPr>
        <w:t xml:space="preserve">　　财政出资勘查项目新增资源量应由项目主管单位委托评审机构审查，出具审查意见。其他勘查项目新增资源量由矿业权人委托相关机构审查。</w:t>
      </w:r>
    </w:p>
    <w:p w:rsidR="00EA10BD" w:rsidRPr="00A04FBC" w:rsidRDefault="00EA10BD" w:rsidP="00EA10BD">
      <w:r w:rsidRPr="00A04FBC">
        <w:rPr>
          <w:rFonts w:hint="eastAsia"/>
        </w:rPr>
        <w:t xml:space="preserve">　　本意见自印发之日起实施，有效期五年。《自然资源部关于推进矿产资源管理改革若干事项的意见（试行）》（自然资规〔</w:t>
      </w:r>
      <w:r w:rsidRPr="00A04FBC">
        <w:rPr>
          <w:rFonts w:hint="eastAsia"/>
        </w:rPr>
        <w:t>2019</w:t>
      </w:r>
      <w:r w:rsidRPr="00A04FBC">
        <w:rPr>
          <w:rFonts w:hint="eastAsia"/>
        </w:rPr>
        <w:t>〕</w:t>
      </w:r>
      <w:r w:rsidRPr="00A04FBC">
        <w:rPr>
          <w:rFonts w:hint="eastAsia"/>
        </w:rPr>
        <w:t>7</w:t>
      </w:r>
      <w:r w:rsidRPr="00A04FBC">
        <w:rPr>
          <w:rFonts w:hint="eastAsia"/>
        </w:rPr>
        <w:t>号）同时废止。本意见实施前已印发的其他文件与本意见规定不一致的，按照本意见执行。</w:t>
      </w:r>
    </w:p>
    <w:p w:rsidR="00EA10BD" w:rsidRPr="00A04FBC" w:rsidRDefault="00EA10BD" w:rsidP="00EA10BD">
      <w:r w:rsidRPr="00A04FBC">
        <w:rPr>
          <w:rFonts w:hint="eastAsia"/>
        </w:rPr>
        <w:t> </w:t>
      </w:r>
    </w:p>
    <w:p w:rsidR="00EA10BD" w:rsidRPr="00EA10BD" w:rsidRDefault="00EA10BD">
      <w:pPr>
        <w:rPr>
          <w:rFonts w:asciiTheme="minorEastAsia" w:hAnsiTheme="minorEastAsia" w:cs="宋体"/>
          <w:color w:val="000000"/>
          <w:kern w:val="0"/>
          <w:szCs w:val="21"/>
        </w:rPr>
      </w:pPr>
    </w:p>
    <w:p w:rsidR="00EA10BD" w:rsidRDefault="00EA10BD">
      <w:pPr>
        <w:widowControl/>
        <w:jc w:val="left"/>
      </w:pPr>
      <w:r>
        <w:br w:type="page"/>
      </w:r>
    </w:p>
    <w:p w:rsidR="0061200D" w:rsidRDefault="00EA10BD">
      <w:r>
        <w:lastRenderedPageBreak/>
        <w:t>附件</w:t>
      </w:r>
      <w:r>
        <w:rPr>
          <w:rFonts w:hint="eastAsia"/>
        </w:rPr>
        <w:t>2</w:t>
      </w:r>
    </w:p>
    <w:p w:rsidR="00EA10BD" w:rsidRDefault="00EA10BD">
      <w:r>
        <w:rPr>
          <w:noProof/>
        </w:rPr>
        <w:drawing>
          <wp:inline distT="0" distB="0" distL="0" distR="0">
            <wp:extent cx="5192395" cy="5991225"/>
            <wp:effectExtent l="19050" t="0" r="8255" b="0"/>
            <wp:docPr id="2"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a:srcRect l="13365" t="18895" r="9119" b="17481"/>
                    <a:stretch>
                      <a:fillRect/>
                    </a:stretch>
                  </pic:blipFill>
                  <pic:spPr>
                    <a:xfrm>
                      <a:off x="0" y="0"/>
                      <a:ext cx="5192395" cy="5991225"/>
                    </a:xfrm>
                    <a:prstGeom prst="rect">
                      <a:avLst/>
                    </a:prstGeom>
                  </pic:spPr>
                </pic:pic>
              </a:graphicData>
            </a:graphic>
          </wp:inline>
        </w:drawing>
      </w:r>
    </w:p>
    <w:sectPr w:rsidR="00EA10BD" w:rsidSect="00EA48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2B7" w:rsidRDefault="00C762B7" w:rsidP="00EA10BD">
      <w:r>
        <w:separator/>
      </w:r>
    </w:p>
  </w:endnote>
  <w:endnote w:type="continuationSeparator" w:id="1">
    <w:p w:rsidR="00C762B7" w:rsidRDefault="00C762B7" w:rsidP="00EA10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2B7" w:rsidRDefault="00C762B7" w:rsidP="00EA10BD">
      <w:r>
        <w:separator/>
      </w:r>
    </w:p>
  </w:footnote>
  <w:footnote w:type="continuationSeparator" w:id="1">
    <w:p w:rsidR="00C762B7" w:rsidRDefault="00C762B7" w:rsidP="00EA10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00D"/>
    <w:rsid w:val="0057512D"/>
    <w:rsid w:val="0061200D"/>
    <w:rsid w:val="0063059E"/>
    <w:rsid w:val="00A403CB"/>
    <w:rsid w:val="00C70539"/>
    <w:rsid w:val="00C762B7"/>
    <w:rsid w:val="00EA10BD"/>
    <w:rsid w:val="00EA4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8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200D"/>
    <w:rPr>
      <w:color w:val="0000FF"/>
      <w:u w:val="single"/>
    </w:rPr>
  </w:style>
  <w:style w:type="paragraph" w:styleId="a4">
    <w:name w:val="Normal (Web)"/>
    <w:basedOn w:val="a"/>
    <w:uiPriority w:val="99"/>
    <w:semiHidden/>
    <w:unhideWhenUsed/>
    <w:rsid w:val="0061200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EA10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A10BD"/>
    <w:rPr>
      <w:sz w:val="18"/>
      <w:szCs w:val="18"/>
    </w:rPr>
  </w:style>
  <w:style w:type="paragraph" w:styleId="a6">
    <w:name w:val="footer"/>
    <w:basedOn w:val="a"/>
    <w:link w:val="Char0"/>
    <w:uiPriority w:val="99"/>
    <w:semiHidden/>
    <w:unhideWhenUsed/>
    <w:rsid w:val="00EA10B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A10BD"/>
    <w:rPr>
      <w:sz w:val="18"/>
      <w:szCs w:val="18"/>
    </w:rPr>
  </w:style>
  <w:style w:type="paragraph" w:styleId="a7">
    <w:name w:val="Balloon Text"/>
    <w:basedOn w:val="a"/>
    <w:link w:val="Char1"/>
    <w:uiPriority w:val="99"/>
    <w:semiHidden/>
    <w:unhideWhenUsed/>
    <w:rsid w:val="00EA10BD"/>
    <w:rPr>
      <w:sz w:val="18"/>
      <w:szCs w:val="18"/>
    </w:rPr>
  </w:style>
  <w:style w:type="character" w:customStyle="1" w:styleId="Char1">
    <w:name w:val="批注框文本 Char"/>
    <w:basedOn w:val="a0"/>
    <w:link w:val="a7"/>
    <w:uiPriority w:val="99"/>
    <w:semiHidden/>
    <w:rsid w:val="00EA10BD"/>
    <w:rPr>
      <w:sz w:val="18"/>
      <w:szCs w:val="18"/>
    </w:rPr>
  </w:style>
</w:styles>
</file>

<file path=word/webSettings.xml><?xml version="1.0" encoding="utf-8"?>
<w:webSettings xmlns:r="http://schemas.openxmlformats.org/officeDocument/2006/relationships" xmlns:w="http://schemas.openxmlformats.org/wordprocessingml/2006/main">
  <w:divs>
    <w:div w:id="868642290">
      <w:bodyDiv w:val="1"/>
      <w:marLeft w:val="0"/>
      <w:marRight w:val="0"/>
      <w:marTop w:val="0"/>
      <w:marBottom w:val="0"/>
      <w:divBdr>
        <w:top w:val="none" w:sz="0" w:space="0" w:color="auto"/>
        <w:left w:val="none" w:sz="0" w:space="0" w:color="auto"/>
        <w:bottom w:val="none" w:sz="0" w:space="0" w:color="auto"/>
        <w:right w:val="none" w:sz="0" w:space="0" w:color="auto"/>
      </w:divBdr>
    </w:div>
    <w:div w:id="1738698804">
      <w:bodyDiv w:val="1"/>
      <w:marLeft w:val="0"/>
      <w:marRight w:val="0"/>
      <w:marTop w:val="0"/>
      <w:marBottom w:val="0"/>
      <w:divBdr>
        <w:top w:val="none" w:sz="0" w:space="0" w:color="auto"/>
        <w:left w:val="none" w:sz="0" w:space="0" w:color="auto"/>
        <w:bottom w:val="none" w:sz="0" w:space="0" w:color="auto"/>
        <w:right w:val="none" w:sz="0" w:space="0" w:color="auto"/>
      </w:divBdr>
      <w:divsChild>
        <w:div w:id="1442066252">
          <w:marLeft w:val="0"/>
          <w:marRight w:val="0"/>
          <w:marTop w:val="300"/>
          <w:marBottom w:val="0"/>
          <w:divBdr>
            <w:top w:val="none" w:sz="0" w:space="0" w:color="auto"/>
            <w:left w:val="none" w:sz="0" w:space="0" w:color="auto"/>
            <w:bottom w:val="dotted" w:sz="12" w:space="0" w:color="E6E6E6"/>
            <w:right w:val="none" w:sz="0" w:space="0" w:color="auto"/>
          </w:divBdr>
          <w:divsChild>
            <w:div w:id="395903109">
              <w:marLeft w:val="0"/>
              <w:marRight w:val="0"/>
              <w:marTop w:val="0"/>
              <w:marBottom w:val="0"/>
              <w:divBdr>
                <w:top w:val="none" w:sz="0" w:space="0" w:color="auto"/>
                <w:left w:val="none" w:sz="0" w:space="0" w:color="auto"/>
                <w:bottom w:val="none" w:sz="0" w:space="0" w:color="auto"/>
                <w:right w:val="none" w:sz="0" w:space="0" w:color="auto"/>
              </w:divBdr>
            </w:div>
            <w:div w:id="1984696537">
              <w:marLeft w:val="225"/>
              <w:marRight w:val="150"/>
              <w:marTop w:val="0"/>
              <w:marBottom w:val="0"/>
              <w:divBdr>
                <w:top w:val="none" w:sz="0" w:space="0" w:color="auto"/>
                <w:left w:val="none" w:sz="0" w:space="0" w:color="auto"/>
                <w:bottom w:val="none" w:sz="0" w:space="0" w:color="auto"/>
                <w:right w:val="none" w:sz="0" w:space="0" w:color="auto"/>
              </w:divBdr>
            </w:div>
          </w:divsChild>
        </w:div>
        <w:div w:id="430779581">
          <w:marLeft w:val="0"/>
          <w:marRight w:val="0"/>
          <w:marTop w:val="255"/>
          <w:marBottom w:val="0"/>
          <w:divBdr>
            <w:top w:val="none" w:sz="0" w:space="0" w:color="auto"/>
            <w:left w:val="none" w:sz="0" w:space="0" w:color="auto"/>
            <w:bottom w:val="none" w:sz="0" w:space="0" w:color="auto"/>
            <w:right w:val="none" w:sz="0" w:space="0" w:color="auto"/>
          </w:divBdr>
          <w:divsChild>
            <w:div w:id="20980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640</Words>
  <Characters>3650</Characters>
  <Application>Microsoft Office Word</Application>
  <DocSecurity>0</DocSecurity>
  <Lines>30</Lines>
  <Paragraphs>8</Paragraphs>
  <ScaleCrop>false</ScaleCrop>
  <Company>P R C</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2024-01-05T09:17:00Z</dcterms:created>
  <dcterms:modified xsi:type="dcterms:W3CDTF">2024-01-05T09:27:00Z</dcterms:modified>
</cp:coreProperties>
</file>