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449FC2">
      <w:pPr>
        <w:spacing w:line="360" w:lineRule="auto"/>
        <w:jc w:val="center"/>
        <w:rPr>
          <w:b/>
          <w:sz w:val="24"/>
        </w:rPr>
      </w:pPr>
      <w:bookmarkStart w:id="0" w:name="_Hlk241574175"/>
      <w:bookmarkEnd w:id="0"/>
      <w:bookmarkStart w:id="1" w:name="_Hlk218865960"/>
      <w:bookmarkStart w:id="2" w:name="_Toc139873757"/>
      <w:bookmarkStart w:id="3" w:name="_Toc168993449"/>
      <w:bookmarkStart w:id="4" w:name="_Toc139505326"/>
      <w:bookmarkStart w:id="174" w:name="_GoBack"/>
      <w:bookmarkEnd w:id="174"/>
    </w:p>
    <w:p w14:paraId="38B1B41D">
      <w:pPr>
        <w:spacing w:line="360" w:lineRule="auto"/>
        <w:jc w:val="center"/>
        <w:rPr>
          <w:b/>
          <w:sz w:val="24"/>
        </w:rPr>
      </w:pPr>
    </w:p>
    <w:p w14:paraId="14577FD3">
      <w:pPr>
        <w:spacing w:line="360" w:lineRule="auto"/>
        <w:jc w:val="center"/>
        <w:rPr>
          <w:b/>
          <w:sz w:val="24"/>
        </w:rPr>
      </w:pPr>
    </w:p>
    <w:p w14:paraId="7BCF7978">
      <w:pPr>
        <w:spacing w:line="360" w:lineRule="auto"/>
        <w:jc w:val="center"/>
        <w:rPr>
          <w:kern w:val="0"/>
          <w:sz w:val="24"/>
          <w:szCs w:val="22"/>
        </w:rPr>
      </w:pPr>
    </w:p>
    <w:p w14:paraId="6173FD28">
      <w:pPr>
        <w:spacing w:line="360" w:lineRule="auto"/>
        <w:jc w:val="center"/>
        <w:rPr>
          <w:b/>
          <w:spacing w:val="-10"/>
          <w:sz w:val="48"/>
          <w:szCs w:val="48"/>
        </w:rPr>
      </w:pPr>
      <w:bookmarkStart w:id="5" w:name="OLE_LINK4"/>
      <w:bookmarkStart w:id="6" w:name="OLE_LINK77"/>
      <w:bookmarkStart w:id="7" w:name="OLE_LINK47"/>
      <w:bookmarkStart w:id="8" w:name="OLE_LINK75"/>
      <w:r>
        <w:rPr>
          <w:b/>
          <w:spacing w:val="-10"/>
          <w:sz w:val="48"/>
          <w:szCs w:val="48"/>
        </w:rPr>
        <w:t>赤峰国富玄武岩矿</w:t>
      </w:r>
    </w:p>
    <w:bookmarkEnd w:id="5"/>
    <w:p w14:paraId="39C3DE71">
      <w:pPr>
        <w:spacing w:line="360" w:lineRule="auto"/>
        <w:jc w:val="center"/>
        <w:rPr>
          <w:rFonts w:eastAsia="黑体"/>
          <w:bCs/>
          <w:sz w:val="52"/>
          <w:szCs w:val="52"/>
        </w:rPr>
      </w:pPr>
      <w:bookmarkStart w:id="9" w:name="OLE_LINK18"/>
      <w:bookmarkStart w:id="10" w:name="OLE_LINK15"/>
      <w:r>
        <w:rPr>
          <w:rFonts w:eastAsia="黑体"/>
          <w:bCs/>
          <w:sz w:val="52"/>
          <w:szCs w:val="52"/>
        </w:rPr>
        <w:t>矿区生态修复方案</w:t>
      </w:r>
      <w:bookmarkEnd w:id="6"/>
      <w:bookmarkEnd w:id="7"/>
      <w:bookmarkEnd w:id="8"/>
      <w:bookmarkEnd w:id="9"/>
      <w:bookmarkEnd w:id="10"/>
    </w:p>
    <w:p w14:paraId="2A397902">
      <w:pPr>
        <w:spacing w:line="360" w:lineRule="auto"/>
        <w:jc w:val="center"/>
        <w:rPr>
          <w:b/>
          <w:sz w:val="24"/>
        </w:rPr>
      </w:pPr>
    </w:p>
    <w:p w14:paraId="79E4010A">
      <w:pPr>
        <w:spacing w:line="360" w:lineRule="auto"/>
        <w:jc w:val="center"/>
        <w:rPr>
          <w:b/>
          <w:sz w:val="24"/>
        </w:rPr>
      </w:pPr>
    </w:p>
    <w:p w14:paraId="3B08C921">
      <w:pPr>
        <w:spacing w:line="360" w:lineRule="auto"/>
        <w:jc w:val="center"/>
        <w:rPr>
          <w:b/>
          <w:sz w:val="24"/>
        </w:rPr>
      </w:pPr>
    </w:p>
    <w:p w14:paraId="5B18D16D">
      <w:pPr>
        <w:spacing w:line="360" w:lineRule="auto"/>
        <w:jc w:val="center"/>
        <w:rPr>
          <w:b/>
          <w:sz w:val="24"/>
        </w:rPr>
      </w:pPr>
    </w:p>
    <w:p w14:paraId="622725A7">
      <w:pPr>
        <w:spacing w:line="360" w:lineRule="auto"/>
        <w:jc w:val="center"/>
        <w:rPr>
          <w:b/>
          <w:sz w:val="24"/>
        </w:rPr>
      </w:pPr>
    </w:p>
    <w:p w14:paraId="12DC5675">
      <w:pPr>
        <w:spacing w:line="360" w:lineRule="auto"/>
        <w:jc w:val="center"/>
        <w:rPr>
          <w:b/>
          <w:sz w:val="24"/>
        </w:rPr>
      </w:pPr>
    </w:p>
    <w:p w14:paraId="29ED715D">
      <w:pPr>
        <w:spacing w:line="360" w:lineRule="auto"/>
        <w:jc w:val="center"/>
        <w:rPr>
          <w:b/>
          <w:sz w:val="24"/>
        </w:rPr>
      </w:pPr>
    </w:p>
    <w:p w14:paraId="1522D2BB">
      <w:pPr>
        <w:spacing w:line="360" w:lineRule="auto"/>
        <w:jc w:val="center"/>
        <w:rPr>
          <w:b/>
          <w:sz w:val="24"/>
        </w:rPr>
      </w:pPr>
    </w:p>
    <w:p w14:paraId="73FB1085">
      <w:pPr>
        <w:spacing w:line="360" w:lineRule="auto"/>
        <w:jc w:val="center"/>
        <w:rPr>
          <w:b/>
          <w:sz w:val="24"/>
        </w:rPr>
      </w:pPr>
    </w:p>
    <w:p w14:paraId="01B5AE30">
      <w:pPr>
        <w:spacing w:line="360" w:lineRule="auto"/>
        <w:jc w:val="center"/>
        <w:rPr>
          <w:b/>
          <w:sz w:val="24"/>
        </w:rPr>
      </w:pPr>
    </w:p>
    <w:p w14:paraId="31E82242">
      <w:pPr>
        <w:spacing w:line="360" w:lineRule="auto"/>
        <w:jc w:val="center"/>
        <w:rPr>
          <w:b/>
          <w:sz w:val="24"/>
        </w:rPr>
      </w:pPr>
    </w:p>
    <w:p w14:paraId="31770802">
      <w:pPr>
        <w:spacing w:line="360" w:lineRule="auto"/>
        <w:jc w:val="center"/>
        <w:rPr>
          <w:b/>
          <w:sz w:val="24"/>
        </w:rPr>
      </w:pPr>
    </w:p>
    <w:p w14:paraId="3E7B10E4">
      <w:pPr>
        <w:spacing w:line="360" w:lineRule="auto"/>
        <w:jc w:val="center"/>
        <w:rPr>
          <w:b/>
          <w:sz w:val="24"/>
        </w:rPr>
      </w:pPr>
    </w:p>
    <w:p w14:paraId="1243BE57">
      <w:pPr>
        <w:spacing w:line="360" w:lineRule="auto"/>
        <w:jc w:val="center"/>
        <w:rPr>
          <w:b/>
          <w:sz w:val="24"/>
        </w:rPr>
      </w:pPr>
    </w:p>
    <w:p w14:paraId="4BE9DC55">
      <w:pPr>
        <w:spacing w:line="360" w:lineRule="auto"/>
        <w:jc w:val="center"/>
        <w:rPr>
          <w:b/>
          <w:sz w:val="24"/>
        </w:rPr>
      </w:pPr>
    </w:p>
    <w:p w14:paraId="65B682B7">
      <w:pPr>
        <w:spacing w:line="360" w:lineRule="auto"/>
        <w:jc w:val="center"/>
        <w:rPr>
          <w:b/>
          <w:sz w:val="24"/>
        </w:rPr>
      </w:pPr>
    </w:p>
    <w:p w14:paraId="25C19E84">
      <w:pPr>
        <w:spacing w:line="360" w:lineRule="auto"/>
        <w:jc w:val="center"/>
        <w:rPr>
          <w:rFonts w:hint="default" w:eastAsia="宋体"/>
          <w:bCs/>
          <w:sz w:val="44"/>
          <w:szCs w:val="44"/>
          <w:lang w:val="en-US" w:eastAsia="zh-CN"/>
        </w:rPr>
      </w:pPr>
      <w:r>
        <w:rPr>
          <w:bCs/>
          <w:sz w:val="44"/>
          <w:szCs w:val="44"/>
        </w:rPr>
        <w:t>赤峰国富玄武岩矿</w:t>
      </w:r>
      <w:r>
        <w:rPr>
          <w:rFonts w:hint="eastAsia"/>
          <w:bCs/>
          <w:sz w:val="44"/>
          <w:szCs w:val="44"/>
          <w:lang w:val="en-US" w:eastAsia="zh-CN"/>
        </w:rPr>
        <w:t>有限公司</w:t>
      </w:r>
    </w:p>
    <w:p w14:paraId="0FEB0759">
      <w:pPr>
        <w:spacing w:line="360" w:lineRule="auto"/>
        <w:jc w:val="center"/>
        <w:rPr>
          <w:bCs/>
          <w:sz w:val="44"/>
          <w:szCs w:val="44"/>
        </w:rPr>
      </w:pPr>
      <w:r>
        <w:rPr>
          <w:bCs/>
          <w:sz w:val="44"/>
          <w:szCs w:val="44"/>
        </w:rPr>
        <w:t>2026年</w:t>
      </w:r>
      <w:r>
        <w:rPr>
          <w:rFonts w:hint="eastAsia"/>
          <w:bCs/>
          <w:sz w:val="44"/>
          <w:szCs w:val="44"/>
        </w:rPr>
        <w:t>8</w:t>
      </w:r>
      <w:r>
        <w:rPr>
          <w:bCs/>
          <w:sz w:val="44"/>
          <w:szCs w:val="44"/>
        </w:rPr>
        <w:t>月</w:t>
      </w:r>
    </w:p>
    <w:p w14:paraId="46858932">
      <w:pPr>
        <w:spacing w:line="360" w:lineRule="auto"/>
        <w:jc w:val="center"/>
        <w:rPr>
          <w:b/>
          <w:sz w:val="24"/>
        </w:rPr>
        <w:sectPr>
          <w:headerReference r:id="rId3" w:type="default"/>
          <w:footerReference r:id="rId4" w:type="default"/>
          <w:pgSz w:w="11907" w:h="16840"/>
          <w:pgMar w:top="1418" w:right="1418" w:bottom="1418" w:left="1701" w:header="851" w:footer="992" w:gutter="0"/>
          <w:cols w:space="720" w:num="1"/>
          <w:titlePg/>
          <w:docGrid w:linePitch="312" w:charSpace="0"/>
        </w:sectPr>
      </w:pPr>
    </w:p>
    <w:p w14:paraId="0BED0EEC">
      <w:pPr>
        <w:spacing w:line="360" w:lineRule="auto"/>
        <w:jc w:val="center"/>
        <w:rPr>
          <w:b/>
          <w:sz w:val="24"/>
        </w:rPr>
      </w:pPr>
    </w:p>
    <w:p w14:paraId="2062195A">
      <w:pPr>
        <w:spacing w:line="360" w:lineRule="auto"/>
        <w:jc w:val="center"/>
        <w:rPr>
          <w:kern w:val="0"/>
          <w:sz w:val="24"/>
          <w:szCs w:val="22"/>
        </w:rPr>
      </w:pPr>
    </w:p>
    <w:p w14:paraId="6E734C36">
      <w:pPr>
        <w:spacing w:line="360" w:lineRule="auto"/>
        <w:jc w:val="center"/>
        <w:rPr>
          <w:b/>
          <w:sz w:val="24"/>
        </w:rPr>
      </w:pPr>
    </w:p>
    <w:p w14:paraId="583FAE80">
      <w:pPr>
        <w:spacing w:line="360" w:lineRule="auto"/>
        <w:jc w:val="center"/>
        <w:rPr>
          <w:b/>
          <w:spacing w:val="-10"/>
          <w:sz w:val="48"/>
          <w:szCs w:val="48"/>
        </w:rPr>
      </w:pPr>
      <w:bookmarkStart w:id="11" w:name="_Hlk239005621"/>
      <w:r>
        <w:rPr>
          <w:b/>
          <w:spacing w:val="-10"/>
          <w:sz w:val="48"/>
          <w:szCs w:val="48"/>
        </w:rPr>
        <w:t>赤峰国富玄武岩矿</w:t>
      </w:r>
      <w:bookmarkEnd w:id="11"/>
    </w:p>
    <w:p w14:paraId="1E163A25">
      <w:pPr>
        <w:spacing w:line="360" w:lineRule="auto"/>
        <w:jc w:val="center"/>
        <w:rPr>
          <w:rFonts w:eastAsia="黑体"/>
          <w:bCs/>
          <w:sz w:val="52"/>
          <w:szCs w:val="52"/>
        </w:rPr>
      </w:pPr>
      <w:r>
        <w:rPr>
          <w:rFonts w:eastAsia="黑体"/>
          <w:bCs/>
          <w:sz w:val="52"/>
          <w:szCs w:val="52"/>
        </w:rPr>
        <w:t>矿区生态修复方案</w:t>
      </w:r>
    </w:p>
    <w:p w14:paraId="55C16885">
      <w:pPr>
        <w:spacing w:line="360" w:lineRule="auto"/>
        <w:jc w:val="center"/>
        <w:rPr>
          <w:rFonts w:eastAsia="黑体"/>
          <w:bCs/>
          <w:sz w:val="52"/>
          <w:szCs w:val="52"/>
        </w:rPr>
      </w:pPr>
    </w:p>
    <w:p w14:paraId="77D3904D">
      <w:pPr>
        <w:spacing w:line="360" w:lineRule="auto"/>
        <w:jc w:val="center"/>
        <w:rPr>
          <w:b/>
          <w:sz w:val="24"/>
        </w:rPr>
      </w:pPr>
    </w:p>
    <w:p w14:paraId="0A53DFF3">
      <w:pPr>
        <w:spacing w:line="360" w:lineRule="auto"/>
        <w:jc w:val="center"/>
        <w:rPr>
          <w:b/>
          <w:sz w:val="24"/>
        </w:rPr>
      </w:pPr>
    </w:p>
    <w:p w14:paraId="4EC31810">
      <w:pPr>
        <w:spacing w:line="360" w:lineRule="auto"/>
        <w:jc w:val="center"/>
        <w:rPr>
          <w:b/>
          <w:sz w:val="24"/>
        </w:rPr>
      </w:pPr>
    </w:p>
    <w:p w14:paraId="2D7EECCA">
      <w:pPr>
        <w:spacing w:line="360" w:lineRule="auto"/>
        <w:jc w:val="center"/>
        <w:rPr>
          <w:b/>
          <w:sz w:val="24"/>
        </w:rPr>
      </w:pPr>
    </w:p>
    <w:p w14:paraId="794EC617">
      <w:pPr>
        <w:spacing w:line="480" w:lineRule="auto"/>
        <w:ind w:firstLine="960" w:firstLineChars="300"/>
        <w:rPr>
          <w:bCs/>
          <w:sz w:val="32"/>
          <w:szCs w:val="32"/>
        </w:rPr>
      </w:pPr>
    </w:p>
    <w:p w14:paraId="5E124FD9">
      <w:pPr>
        <w:spacing w:line="480" w:lineRule="auto"/>
        <w:ind w:firstLine="960" w:firstLineChars="300"/>
        <w:rPr>
          <w:bCs/>
          <w:sz w:val="32"/>
          <w:szCs w:val="32"/>
        </w:rPr>
      </w:pPr>
    </w:p>
    <w:p w14:paraId="7F8E1C75">
      <w:pPr>
        <w:spacing w:line="480" w:lineRule="auto"/>
        <w:ind w:firstLine="960" w:firstLineChars="300"/>
        <w:rPr>
          <w:bCs/>
          <w:sz w:val="32"/>
          <w:szCs w:val="32"/>
        </w:rPr>
      </w:pPr>
    </w:p>
    <w:p w14:paraId="09E6B289">
      <w:pPr>
        <w:spacing w:line="600" w:lineRule="auto"/>
        <w:ind w:firstLine="960" w:firstLineChars="300"/>
        <w:rPr>
          <w:rFonts w:hint="eastAsia" w:ascii="宋体" w:hAnsi="宋体" w:cs="宋体"/>
          <w:spacing w:val="13"/>
          <w:sz w:val="32"/>
          <w:szCs w:val="32"/>
        </w:rPr>
      </w:pPr>
      <w:r>
        <w:rPr>
          <w:bCs/>
          <w:sz w:val="32"/>
          <w:szCs w:val="32"/>
        </w:rPr>
        <w:t>编制单位：</w:t>
      </w:r>
      <w:r>
        <w:rPr>
          <w:rFonts w:hint="eastAsia" w:ascii="宋体" w:hAnsi="宋体" w:cs="宋体"/>
          <w:spacing w:val="13"/>
          <w:sz w:val="32"/>
          <w:szCs w:val="32"/>
        </w:rPr>
        <w:t>***</w:t>
      </w:r>
    </w:p>
    <w:p w14:paraId="725BF953">
      <w:pPr>
        <w:spacing w:line="600" w:lineRule="auto"/>
        <w:ind w:firstLine="960" w:firstLineChars="300"/>
        <w:rPr>
          <w:bCs/>
          <w:sz w:val="32"/>
          <w:szCs w:val="32"/>
        </w:rPr>
      </w:pPr>
      <w:r>
        <w:rPr>
          <w:bCs/>
          <w:sz w:val="32"/>
          <w:szCs w:val="32"/>
        </w:rPr>
        <w:t>法定代表人：</w:t>
      </w:r>
      <w:r>
        <w:rPr>
          <w:rFonts w:hint="eastAsia" w:ascii="宋体" w:hAnsi="宋体" w:cs="宋体"/>
          <w:spacing w:val="13"/>
          <w:sz w:val="32"/>
          <w:szCs w:val="32"/>
        </w:rPr>
        <w:t>***</w:t>
      </w:r>
    </w:p>
    <w:p w14:paraId="4D78D0E6">
      <w:pPr>
        <w:spacing w:line="600" w:lineRule="auto"/>
        <w:ind w:firstLine="960" w:firstLineChars="300"/>
        <w:rPr>
          <w:bCs/>
          <w:sz w:val="32"/>
          <w:szCs w:val="32"/>
        </w:rPr>
      </w:pPr>
      <w:r>
        <w:rPr>
          <w:bCs/>
          <w:sz w:val="32"/>
          <w:szCs w:val="32"/>
        </w:rPr>
        <w:t>方案编制负责人：</w:t>
      </w:r>
      <w:r>
        <w:rPr>
          <w:rFonts w:hint="eastAsia" w:ascii="宋体" w:hAnsi="宋体" w:cs="宋体"/>
          <w:spacing w:val="13"/>
          <w:sz w:val="32"/>
          <w:szCs w:val="32"/>
        </w:rPr>
        <w:t>***</w:t>
      </w:r>
    </w:p>
    <w:p w14:paraId="2EF2E930">
      <w:pPr>
        <w:spacing w:line="600" w:lineRule="auto"/>
        <w:ind w:firstLine="960" w:firstLineChars="300"/>
        <w:rPr>
          <w:rStyle w:val="112"/>
          <w:rFonts w:ascii="Times New Roman" w:hAnsi="Times New Roman" w:cs="Times New Roman"/>
          <w:b/>
          <w:bCs/>
          <w:color w:val="auto"/>
          <w:sz w:val="28"/>
          <w:szCs w:val="28"/>
        </w:rPr>
        <w:sectPr>
          <w:footerReference r:id="rId6" w:type="first"/>
          <w:footerReference r:id="rId5" w:type="default"/>
          <w:pgSz w:w="11907" w:h="16840"/>
          <w:pgMar w:top="1418" w:right="1418" w:bottom="1418" w:left="1701" w:header="851" w:footer="992" w:gutter="0"/>
          <w:pgNumType w:start="1"/>
          <w:cols w:space="720" w:num="1"/>
          <w:docGrid w:linePitch="312" w:charSpace="0"/>
        </w:sectPr>
      </w:pPr>
      <w:r>
        <w:rPr>
          <w:bCs/>
          <w:sz w:val="32"/>
          <w:szCs w:val="32"/>
        </w:rPr>
        <w:t>主要编制人员：</w:t>
      </w:r>
      <w:r>
        <w:rPr>
          <w:rFonts w:hint="eastAsia" w:ascii="宋体" w:hAnsi="宋体" w:cs="宋体"/>
          <w:spacing w:val="13"/>
          <w:sz w:val="32"/>
          <w:szCs w:val="32"/>
        </w:rPr>
        <w:t>***</w:t>
      </w:r>
    </w:p>
    <w:p w14:paraId="37E8A3EA">
      <w:pPr>
        <w:widowControl/>
        <w:jc w:val="center"/>
        <w:rPr>
          <w:rStyle w:val="112"/>
          <w:rFonts w:ascii="Times New Roman" w:hAnsi="Times New Roman" w:cs="Times New Roman"/>
          <w:b/>
          <w:bCs/>
          <w:color w:val="auto"/>
          <w:sz w:val="28"/>
          <w:szCs w:val="28"/>
        </w:rPr>
      </w:pPr>
      <w:r>
        <w:rPr>
          <w:rStyle w:val="112"/>
          <w:rFonts w:ascii="Times New Roman" w:hAnsi="Times New Roman" w:cs="Times New Roman"/>
          <w:b/>
          <w:bCs/>
          <w:color w:val="auto"/>
          <w:sz w:val="28"/>
          <w:szCs w:val="28"/>
        </w:rPr>
        <w:t>矿区生态修复方案编制信息表</w:t>
      </w:r>
    </w:p>
    <w:bookmarkEnd w:id="1"/>
    <w:p w14:paraId="72E51ACD">
      <w:pPr>
        <w:rPr>
          <w:b/>
          <w:bCs/>
          <w:sz w:val="32"/>
          <w:szCs w:val="32"/>
        </w:rPr>
        <w:sectPr>
          <w:footerReference r:id="rId7" w:type="default"/>
          <w:pgSz w:w="11907" w:h="16840"/>
          <w:pgMar w:top="1418" w:right="1418" w:bottom="1418" w:left="1701" w:header="851" w:footer="992" w:gutter="0"/>
          <w:pgNumType w:start="1"/>
          <w:cols w:space="720" w:num="1"/>
          <w:docGrid w:linePitch="312" w:charSpace="0"/>
        </w:sectPr>
      </w:pPr>
    </w:p>
    <w:p w14:paraId="5A421FA9">
      <w:pPr>
        <w:pStyle w:val="53"/>
        <w:spacing w:before="0" w:after="0"/>
        <w:jc w:val="center"/>
        <w:rPr>
          <w:sz w:val="36"/>
          <w:szCs w:val="36"/>
        </w:rPr>
      </w:pPr>
      <w:r>
        <w:rPr>
          <w:sz w:val="36"/>
          <w:szCs w:val="36"/>
        </w:rPr>
        <w:t>目  录</w:t>
      </w:r>
    </w:p>
    <w:p w14:paraId="35C57388">
      <w:pPr>
        <w:pStyle w:val="53"/>
        <w:tabs>
          <w:tab w:val="right" w:leader="dot" w:pos="8788"/>
        </w:tabs>
        <w:rPr>
          <w:sz w:val="24"/>
          <w:szCs w:val="24"/>
        </w:rPr>
      </w:pPr>
      <w:r>
        <w:rPr>
          <w:rFonts w:eastAsiaTheme="minorEastAsia"/>
          <w:b w:val="0"/>
          <w:sz w:val="24"/>
          <w:szCs w:val="24"/>
        </w:rPr>
        <w:fldChar w:fldCharType="begin"/>
      </w:r>
      <w:r>
        <w:rPr>
          <w:rFonts w:eastAsiaTheme="minorEastAsia"/>
          <w:b w:val="0"/>
          <w:sz w:val="24"/>
          <w:szCs w:val="24"/>
        </w:rPr>
        <w:instrText xml:space="preserve"> TOC \o "1-2" \h \z \u </w:instrText>
      </w:r>
      <w:r>
        <w:rPr>
          <w:rFonts w:eastAsiaTheme="minorEastAsia"/>
          <w:b w:val="0"/>
          <w:sz w:val="24"/>
          <w:szCs w:val="24"/>
        </w:rPr>
        <w:fldChar w:fldCharType="separate"/>
      </w:r>
      <w:r>
        <w:fldChar w:fldCharType="begin"/>
      </w:r>
      <w:r>
        <w:instrText xml:space="preserve"> HYPERLINK \l "_Toc18167" </w:instrText>
      </w:r>
      <w:r>
        <w:fldChar w:fldCharType="separate"/>
      </w:r>
      <w:r>
        <w:rPr>
          <w:rFonts w:eastAsia="黑体"/>
          <w:bCs/>
          <w:sz w:val="24"/>
          <w:szCs w:val="24"/>
        </w:rPr>
        <w:t>前  言</w:t>
      </w:r>
      <w:r>
        <w:rPr>
          <w:sz w:val="24"/>
          <w:szCs w:val="24"/>
        </w:rPr>
        <w:tab/>
      </w:r>
      <w:r>
        <w:rPr>
          <w:sz w:val="24"/>
          <w:szCs w:val="24"/>
        </w:rPr>
        <w:fldChar w:fldCharType="begin"/>
      </w:r>
      <w:r>
        <w:rPr>
          <w:sz w:val="24"/>
          <w:szCs w:val="24"/>
        </w:rPr>
        <w:instrText xml:space="preserve"> PAGEREF _Toc18167 \h </w:instrText>
      </w:r>
      <w:r>
        <w:rPr>
          <w:sz w:val="24"/>
          <w:szCs w:val="24"/>
        </w:rPr>
        <w:fldChar w:fldCharType="separate"/>
      </w:r>
      <w:r>
        <w:rPr>
          <w:sz w:val="24"/>
          <w:szCs w:val="24"/>
        </w:rPr>
        <w:t>5</w:t>
      </w:r>
      <w:r>
        <w:rPr>
          <w:sz w:val="24"/>
          <w:szCs w:val="24"/>
        </w:rPr>
        <w:fldChar w:fldCharType="end"/>
      </w:r>
      <w:r>
        <w:rPr>
          <w:sz w:val="24"/>
          <w:szCs w:val="24"/>
        </w:rPr>
        <w:fldChar w:fldCharType="end"/>
      </w:r>
    </w:p>
    <w:p w14:paraId="72EDF9C7">
      <w:pPr>
        <w:pStyle w:val="53"/>
        <w:tabs>
          <w:tab w:val="right" w:leader="dot" w:pos="8788"/>
        </w:tabs>
        <w:rPr>
          <w:sz w:val="24"/>
          <w:szCs w:val="24"/>
        </w:rPr>
      </w:pPr>
      <w:r>
        <w:fldChar w:fldCharType="begin"/>
      </w:r>
      <w:r>
        <w:instrText xml:space="preserve"> HYPERLINK \l "_Toc28254" </w:instrText>
      </w:r>
      <w:r>
        <w:fldChar w:fldCharType="separate"/>
      </w:r>
      <w:r>
        <w:rPr>
          <w:rFonts w:eastAsia="黑体"/>
          <w:bCs/>
          <w:sz w:val="24"/>
          <w:szCs w:val="24"/>
        </w:rPr>
        <w:t>第一章  矿山基本情况</w:t>
      </w:r>
      <w:r>
        <w:rPr>
          <w:sz w:val="24"/>
          <w:szCs w:val="24"/>
        </w:rPr>
        <w:tab/>
      </w:r>
      <w:r>
        <w:rPr>
          <w:sz w:val="24"/>
          <w:szCs w:val="24"/>
        </w:rPr>
        <w:fldChar w:fldCharType="begin"/>
      </w:r>
      <w:r>
        <w:rPr>
          <w:sz w:val="24"/>
          <w:szCs w:val="24"/>
        </w:rPr>
        <w:instrText xml:space="preserve"> PAGEREF _Toc28254 \h </w:instrText>
      </w:r>
      <w:r>
        <w:rPr>
          <w:sz w:val="24"/>
          <w:szCs w:val="24"/>
        </w:rPr>
        <w:fldChar w:fldCharType="separate"/>
      </w:r>
      <w:r>
        <w:rPr>
          <w:sz w:val="24"/>
          <w:szCs w:val="24"/>
        </w:rPr>
        <w:t>18</w:t>
      </w:r>
      <w:r>
        <w:rPr>
          <w:sz w:val="24"/>
          <w:szCs w:val="24"/>
        </w:rPr>
        <w:fldChar w:fldCharType="end"/>
      </w:r>
      <w:r>
        <w:rPr>
          <w:sz w:val="24"/>
          <w:szCs w:val="24"/>
        </w:rPr>
        <w:fldChar w:fldCharType="end"/>
      </w:r>
    </w:p>
    <w:p w14:paraId="2E942B2C">
      <w:pPr>
        <w:pStyle w:val="63"/>
        <w:tabs>
          <w:tab w:val="right" w:leader="dot" w:pos="8788"/>
        </w:tabs>
        <w:rPr>
          <w:sz w:val="24"/>
          <w:szCs w:val="24"/>
        </w:rPr>
      </w:pPr>
      <w:r>
        <w:fldChar w:fldCharType="begin"/>
      </w:r>
      <w:r>
        <w:instrText xml:space="preserve"> HYPERLINK \l "_Toc17940" </w:instrText>
      </w:r>
      <w:r>
        <w:fldChar w:fldCharType="separate"/>
      </w:r>
      <w:r>
        <w:rPr>
          <w:sz w:val="24"/>
          <w:szCs w:val="24"/>
        </w:rPr>
        <w:t>第一节  矿业权人基本情况</w:t>
      </w:r>
      <w:r>
        <w:rPr>
          <w:sz w:val="24"/>
          <w:szCs w:val="24"/>
        </w:rPr>
        <w:tab/>
      </w:r>
      <w:r>
        <w:rPr>
          <w:sz w:val="24"/>
          <w:szCs w:val="24"/>
        </w:rPr>
        <w:fldChar w:fldCharType="begin"/>
      </w:r>
      <w:r>
        <w:rPr>
          <w:sz w:val="24"/>
          <w:szCs w:val="24"/>
        </w:rPr>
        <w:instrText xml:space="preserve"> PAGEREF _Toc17940 \h </w:instrText>
      </w:r>
      <w:r>
        <w:rPr>
          <w:sz w:val="24"/>
          <w:szCs w:val="24"/>
        </w:rPr>
        <w:fldChar w:fldCharType="separate"/>
      </w:r>
      <w:r>
        <w:rPr>
          <w:sz w:val="24"/>
          <w:szCs w:val="24"/>
        </w:rPr>
        <w:t>18</w:t>
      </w:r>
      <w:r>
        <w:rPr>
          <w:sz w:val="24"/>
          <w:szCs w:val="24"/>
        </w:rPr>
        <w:fldChar w:fldCharType="end"/>
      </w:r>
      <w:r>
        <w:rPr>
          <w:sz w:val="24"/>
          <w:szCs w:val="24"/>
        </w:rPr>
        <w:fldChar w:fldCharType="end"/>
      </w:r>
    </w:p>
    <w:p w14:paraId="054915C6">
      <w:pPr>
        <w:pStyle w:val="63"/>
        <w:tabs>
          <w:tab w:val="right" w:leader="dot" w:pos="8788"/>
        </w:tabs>
        <w:rPr>
          <w:sz w:val="24"/>
          <w:szCs w:val="24"/>
        </w:rPr>
      </w:pPr>
      <w:r>
        <w:fldChar w:fldCharType="begin"/>
      </w:r>
      <w:r>
        <w:instrText xml:space="preserve"> HYPERLINK \l "_Toc4000" </w:instrText>
      </w:r>
      <w:r>
        <w:fldChar w:fldCharType="separate"/>
      </w:r>
      <w:r>
        <w:rPr>
          <w:sz w:val="24"/>
          <w:szCs w:val="24"/>
        </w:rPr>
        <w:t>第二节  地理位置与区域概况</w:t>
      </w:r>
      <w:r>
        <w:rPr>
          <w:sz w:val="24"/>
          <w:szCs w:val="24"/>
        </w:rPr>
        <w:tab/>
      </w:r>
      <w:r>
        <w:rPr>
          <w:sz w:val="24"/>
          <w:szCs w:val="24"/>
        </w:rPr>
        <w:fldChar w:fldCharType="begin"/>
      </w:r>
      <w:r>
        <w:rPr>
          <w:sz w:val="24"/>
          <w:szCs w:val="24"/>
        </w:rPr>
        <w:instrText xml:space="preserve"> PAGEREF _Toc4000 \h </w:instrText>
      </w:r>
      <w:r>
        <w:rPr>
          <w:sz w:val="24"/>
          <w:szCs w:val="24"/>
        </w:rPr>
        <w:fldChar w:fldCharType="separate"/>
      </w:r>
      <w:r>
        <w:rPr>
          <w:sz w:val="24"/>
          <w:szCs w:val="24"/>
        </w:rPr>
        <w:t>19</w:t>
      </w:r>
      <w:r>
        <w:rPr>
          <w:sz w:val="24"/>
          <w:szCs w:val="24"/>
        </w:rPr>
        <w:fldChar w:fldCharType="end"/>
      </w:r>
      <w:r>
        <w:rPr>
          <w:sz w:val="24"/>
          <w:szCs w:val="24"/>
        </w:rPr>
        <w:fldChar w:fldCharType="end"/>
      </w:r>
    </w:p>
    <w:p w14:paraId="5FD4F7C9">
      <w:pPr>
        <w:pStyle w:val="63"/>
        <w:tabs>
          <w:tab w:val="right" w:leader="dot" w:pos="8788"/>
        </w:tabs>
        <w:rPr>
          <w:sz w:val="24"/>
          <w:szCs w:val="24"/>
        </w:rPr>
      </w:pPr>
      <w:r>
        <w:fldChar w:fldCharType="begin"/>
      </w:r>
      <w:r>
        <w:instrText xml:space="preserve"> HYPERLINK \l "_Toc20903" </w:instrText>
      </w:r>
      <w:r>
        <w:fldChar w:fldCharType="separate"/>
      </w:r>
      <w:r>
        <w:rPr>
          <w:sz w:val="24"/>
          <w:szCs w:val="24"/>
        </w:rPr>
        <w:t>第三节  矿山开采历史及现状</w:t>
      </w:r>
      <w:r>
        <w:rPr>
          <w:sz w:val="24"/>
          <w:szCs w:val="24"/>
        </w:rPr>
        <w:tab/>
      </w:r>
      <w:r>
        <w:rPr>
          <w:sz w:val="24"/>
          <w:szCs w:val="24"/>
        </w:rPr>
        <w:fldChar w:fldCharType="begin"/>
      </w:r>
      <w:r>
        <w:rPr>
          <w:sz w:val="24"/>
          <w:szCs w:val="24"/>
        </w:rPr>
        <w:instrText xml:space="preserve"> PAGEREF _Toc20903 \h </w:instrText>
      </w:r>
      <w:r>
        <w:rPr>
          <w:sz w:val="24"/>
          <w:szCs w:val="24"/>
        </w:rPr>
        <w:fldChar w:fldCharType="separate"/>
      </w:r>
      <w:r>
        <w:rPr>
          <w:sz w:val="24"/>
          <w:szCs w:val="24"/>
        </w:rPr>
        <w:t>20</w:t>
      </w:r>
      <w:r>
        <w:rPr>
          <w:sz w:val="24"/>
          <w:szCs w:val="24"/>
        </w:rPr>
        <w:fldChar w:fldCharType="end"/>
      </w:r>
      <w:r>
        <w:rPr>
          <w:sz w:val="24"/>
          <w:szCs w:val="24"/>
        </w:rPr>
        <w:fldChar w:fldCharType="end"/>
      </w:r>
    </w:p>
    <w:p w14:paraId="0832D654">
      <w:pPr>
        <w:pStyle w:val="53"/>
        <w:tabs>
          <w:tab w:val="right" w:leader="dot" w:pos="8788"/>
        </w:tabs>
        <w:rPr>
          <w:sz w:val="24"/>
          <w:szCs w:val="24"/>
        </w:rPr>
      </w:pPr>
      <w:r>
        <w:fldChar w:fldCharType="begin"/>
      </w:r>
      <w:r>
        <w:instrText xml:space="preserve"> HYPERLINK \l "_Toc15745" </w:instrText>
      </w:r>
      <w:r>
        <w:fldChar w:fldCharType="separate"/>
      </w:r>
      <w:r>
        <w:rPr>
          <w:rFonts w:eastAsia="黑体"/>
          <w:bCs/>
          <w:sz w:val="24"/>
          <w:szCs w:val="24"/>
        </w:rPr>
        <w:t>第二章  矿区基础信息</w:t>
      </w:r>
      <w:r>
        <w:rPr>
          <w:sz w:val="24"/>
          <w:szCs w:val="24"/>
        </w:rPr>
        <w:tab/>
      </w:r>
      <w:r>
        <w:rPr>
          <w:sz w:val="24"/>
          <w:szCs w:val="24"/>
        </w:rPr>
        <w:fldChar w:fldCharType="begin"/>
      </w:r>
      <w:r>
        <w:rPr>
          <w:sz w:val="24"/>
          <w:szCs w:val="24"/>
        </w:rPr>
        <w:instrText xml:space="preserve"> PAGEREF _Toc15745 \h </w:instrText>
      </w:r>
      <w:r>
        <w:rPr>
          <w:sz w:val="24"/>
          <w:szCs w:val="24"/>
        </w:rPr>
        <w:fldChar w:fldCharType="separate"/>
      </w:r>
      <w:r>
        <w:rPr>
          <w:sz w:val="24"/>
          <w:szCs w:val="24"/>
        </w:rPr>
        <w:t>28</w:t>
      </w:r>
      <w:r>
        <w:rPr>
          <w:sz w:val="24"/>
          <w:szCs w:val="24"/>
        </w:rPr>
        <w:fldChar w:fldCharType="end"/>
      </w:r>
      <w:r>
        <w:rPr>
          <w:sz w:val="24"/>
          <w:szCs w:val="24"/>
        </w:rPr>
        <w:fldChar w:fldCharType="end"/>
      </w:r>
    </w:p>
    <w:p w14:paraId="2155151B">
      <w:pPr>
        <w:pStyle w:val="63"/>
        <w:tabs>
          <w:tab w:val="right" w:leader="dot" w:pos="8788"/>
        </w:tabs>
        <w:rPr>
          <w:sz w:val="24"/>
          <w:szCs w:val="24"/>
        </w:rPr>
      </w:pPr>
      <w:r>
        <w:fldChar w:fldCharType="begin"/>
      </w:r>
      <w:r>
        <w:instrText xml:space="preserve"> HYPERLINK \l "_Toc31315" </w:instrText>
      </w:r>
      <w:r>
        <w:fldChar w:fldCharType="separate"/>
      </w:r>
      <w:r>
        <w:rPr>
          <w:sz w:val="24"/>
          <w:szCs w:val="24"/>
        </w:rPr>
        <w:t>第一节  矿区自然条件</w:t>
      </w:r>
      <w:r>
        <w:rPr>
          <w:sz w:val="24"/>
          <w:szCs w:val="24"/>
        </w:rPr>
        <w:tab/>
      </w:r>
      <w:r>
        <w:rPr>
          <w:sz w:val="24"/>
          <w:szCs w:val="24"/>
        </w:rPr>
        <w:fldChar w:fldCharType="begin"/>
      </w:r>
      <w:r>
        <w:rPr>
          <w:sz w:val="24"/>
          <w:szCs w:val="24"/>
        </w:rPr>
        <w:instrText xml:space="preserve"> PAGEREF _Toc31315 \h </w:instrText>
      </w:r>
      <w:r>
        <w:rPr>
          <w:sz w:val="24"/>
          <w:szCs w:val="24"/>
        </w:rPr>
        <w:fldChar w:fldCharType="separate"/>
      </w:r>
      <w:r>
        <w:rPr>
          <w:sz w:val="24"/>
          <w:szCs w:val="24"/>
        </w:rPr>
        <w:t>28</w:t>
      </w:r>
      <w:r>
        <w:rPr>
          <w:sz w:val="24"/>
          <w:szCs w:val="24"/>
        </w:rPr>
        <w:fldChar w:fldCharType="end"/>
      </w:r>
      <w:r>
        <w:rPr>
          <w:sz w:val="24"/>
          <w:szCs w:val="24"/>
        </w:rPr>
        <w:fldChar w:fldCharType="end"/>
      </w:r>
    </w:p>
    <w:p w14:paraId="58177650">
      <w:pPr>
        <w:pStyle w:val="63"/>
        <w:tabs>
          <w:tab w:val="right" w:leader="dot" w:pos="8788"/>
        </w:tabs>
        <w:rPr>
          <w:sz w:val="24"/>
          <w:szCs w:val="24"/>
        </w:rPr>
      </w:pPr>
      <w:r>
        <w:fldChar w:fldCharType="begin"/>
      </w:r>
      <w:r>
        <w:instrText xml:space="preserve"> HYPERLINK \l "_Toc16426" </w:instrText>
      </w:r>
      <w:r>
        <w:fldChar w:fldCharType="separate"/>
      </w:r>
      <w:r>
        <w:rPr>
          <w:sz w:val="24"/>
          <w:szCs w:val="24"/>
        </w:rPr>
        <w:t>第二节  社会经济概况</w:t>
      </w:r>
      <w:r>
        <w:rPr>
          <w:sz w:val="24"/>
          <w:szCs w:val="24"/>
        </w:rPr>
        <w:tab/>
      </w:r>
      <w:r>
        <w:rPr>
          <w:sz w:val="24"/>
          <w:szCs w:val="24"/>
        </w:rPr>
        <w:fldChar w:fldCharType="begin"/>
      </w:r>
      <w:r>
        <w:rPr>
          <w:sz w:val="24"/>
          <w:szCs w:val="24"/>
        </w:rPr>
        <w:instrText xml:space="preserve"> PAGEREF _Toc16426 \h </w:instrText>
      </w:r>
      <w:r>
        <w:rPr>
          <w:sz w:val="24"/>
          <w:szCs w:val="24"/>
        </w:rPr>
        <w:fldChar w:fldCharType="separate"/>
      </w:r>
      <w:r>
        <w:rPr>
          <w:sz w:val="24"/>
          <w:szCs w:val="24"/>
        </w:rPr>
        <w:t>30</w:t>
      </w:r>
      <w:r>
        <w:rPr>
          <w:sz w:val="24"/>
          <w:szCs w:val="24"/>
        </w:rPr>
        <w:fldChar w:fldCharType="end"/>
      </w:r>
      <w:r>
        <w:rPr>
          <w:sz w:val="24"/>
          <w:szCs w:val="24"/>
        </w:rPr>
        <w:fldChar w:fldCharType="end"/>
      </w:r>
    </w:p>
    <w:p w14:paraId="1722BC2C">
      <w:pPr>
        <w:pStyle w:val="63"/>
        <w:tabs>
          <w:tab w:val="right" w:leader="dot" w:pos="8788"/>
        </w:tabs>
        <w:rPr>
          <w:sz w:val="24"/>
          <w:szCs w:val="24"/>
        </w:rPr>
      </w:pPr>
      <w:r>
        <w:fldChar w:fldCharType="begin"/>
      </w:r>
      <w:r>
        <w:instrText xml:space="preserve"> HYPERLINK \l "_Toc16748" </w:instrText>
      </w:r>
      <w:r>
        <w:fldChar w:fldCharType="separate"/>
      </w:r>
      <w:r>
        <w:rPr>
          <w:sz w:val="24"/>
          <w:szCs w:val="24"/>
        </w:rPr>
        <w:t>第三节  矿区地质环境背景</w:t>
      </w:r>
      <w:r>
        <w:rPr>
          <w:sz w:val="24"/>
          <w:szCs w:val="24"/>
        </w:rPr>
        <w:tab/>
      </w:r>
      <w:r>
        <w:rPr>
          <w:sz w:val="24"/>
          <w:szCs w:val="24"/>
        </w:rPr>
        <w:fldChar w:fldCharType="begin"/>
      </w:r>
      <w:r>
        <w:rPr>
          <w:sz w:val="24"/>
          <w:szCs w:val="24"/>
        </w:rPr>
        <w:instrText xml:space="preserve"> PAGEREF _Toc16748 \h </w:instrText>
      </w:r>
      <w:r>
        <w:rPr>
          <w:sz w:val="24"/>
          <w:szCs w:val="24"/>
        </w:rPr>
        <w:fldChar w:fldCharType="separate"/>
      </w:r>
      <w:r>
        <w:rPr>
          <w:sz w:val="24"/>
          <w:szCs w:val="24"/>
        </w:rPr>
        <w:t>30</w:t>
      </w:r>
      <w:r>
        <w:rPr>
          <w:sz w:val="24"/>
          <w:szCs w:val="24"/>
        </w:rPr>
        <w:fldChar w:fldCharType="end"/>
      </w:r>
      <w:r>
        <w:rPr>
          <w:sz w:val="24"/>
          <w:szCs w:val="24"/>
        </w:rPr>
        <w:fldChar w:fldCharType="end"/>
      </w:r>
    </w:p>
    <w:p w14:paraId="2A99A70C">
      <w:pPr>
        <w:pStyle w:val="63"/>
        <w:tabs>
          <w:tab w:val="right" w:leader="dot" w:pos="8788"/>
        </w:tabs>
        <w:rPr>
          <w:sz w:val="24"/>
          <w:szCs w:val="24"/>
        </w:rPr>
      </w:pPr>
      <w:r>
        <w:fldChar w:fldCharType="begin"/>
      </w:r>
      <w:r>
        <w:instrText xml:space="preserve"> HYPERLINK \l "_Toc11846" </w:instrText>
      </w:r>
      <w:r>
        <w:fldChar w:fldCharType="separate"/>
      </w:r>
      <w:r>
        <w:rPr>
          <w:sz w:val="24"/>
          <w:szCs w:val="24"/>
        </w:rPr>
        <w:t>第四节  矿区土地利用现状及采矿用地审批情况</w:t>
      </w:r>
      <w:r>
        <w:rPr>
          <w:sz w:val="24"/>
          <w:szCs w:val="24"/>
        </w:rPr>
        <w:tab/>
      </w:r>
      <w:r>
        <w:rPr>
          <w:sz w:val="24"/>
          <w:szCs w:val="24"/>
        </w:rPr>
        <w:fldChar w:fldCharType="begin"/>
      </w:r>
      <w:r>
        <w:rPr>
          <w:sz w:val="24"/>
          <w:szCs w:val="24"/>
        </w:rPr>
        <w:instrText xml:space="preserve"> PAGEREF _Toc11846 \h </w:instrText>
      </w:r>
      <w:r>
        <w:rPr>
          <w:sz w:val="24"/>
          <w:szCs w:val="24"/>
        </w:rPr>
        <w:fldChar w:fldCharType="separate"/>
      </w:r>
      <w:r>
        <w:rPr>
          <w:sz w:val="24"/>
          <w:szCs w:val="24"/>
        </w:rPr>
        <w:t>41</w:t>
      </w:r>
      <w:r>
        <w:rPr>
          <w:sz w:val="24"/>
          <w:szCs w:val="24"/>
        </w:rPr>
        <w:fldChar w:fldCharType="end"/>
      </w:r>
      <w:r>
        <w:rPr>
          <w:sz w:val="24"/>
          <w:szCs w:val="24"/>
        </w:rPr>
        <w:fldChar w:fldCharType="end"/>
      </w:r>
    </w:p>
    <w:p w14:paraId="63AA40A3">
      <w:pPr>
        <w:pStyle w:val="63"/>
        <w:tabs>
          <w:tab w:val="right" w:leader="dot" w:pos="8788"/>
        </w:tabs>
        <w:rPr>
          <w:sz w:val="24"/>
          <w:szCs w:val="24"/>
        </w:rPr>
      </w:pPr>
      <w:r>
        <w:fldChar w:fldCharType="begin"/>
      </w:r>
      <w:r>
        <w:instrText xml:space="preserve"> HYPERLINK \l "_Toc6920" </w:instrText>
      </w:r>
      <w:r>
        <w:fldChar w:fldCharType="separate"/>
      </w:r>
      <w:r>
        <w:rPr>
          <w:sz w:val="24"/>
          <w:szCs w:val="24"/>
        </w:rPr>
        <w:t>第五节  矿区生态状况</w:t>
      </w:r>
      <w:r>
        <w:rPr>
          <w:sz w:val="24"/>
          <w:szCs w:val="24"/>
        </w:rPr>
        <w:tab/>
      </w:r>
      <w:r>
        <w:rPr>
          <w:sz w:val="24"/>
          <w:szCs w:val="24"/>
        </w:rPr>
        <w:fldChar w:fldCharType="begin"/>
      </w:r>
      <w:r>
        <w:rPr>
          <w:sz w:val="24"/>
          <w:szCs w:val="24"/>
        </w:rPr>
        <w:instrText xml:space="preserve"> PAGEREF _Toc6920 \h </w:instrText>
      </w:r>
      <w:r>
        <w:rPr>
          <w:sz w:val="24"/>
          <w:szCs w:val="24"/>
        </w:rPr>
        <w:fldChar w:fldCharType="separate"/>
      </w:r>
      <w:r>
        <w:rPr>
          <w:sz w:val="24"/>
          <w:szCs w:val="24"/>
        </w:rPr>
        <w:t>43</w:t>
      </w:r>
      <w:r>
        <w:rPr>
          <w:sz w:val="24"/>
          <w:szCs w:val="24"/>
        </w:rPr>
        <w:fldChar w:fldCharType="end"/>
      </w:r>
      <w:r>
        <w:rPr>
          <w:sz w:val="24"/>
          <w:szCs w:val="24"/>
        </w:rPr>
        <w:fldChar w:fldCharType="end"/>
      </w:r>
    </w:p>
    <w:p w14:paraId="157E9FC8">
      <w:pPr>
        <w:pStyle w:val="63"/>
        <w:tabs>
          <w:tab w:val="right" w:leader="dot" w:pos="8788"/>
        </w:tabs>
        <w:rPr>
          <w:sz w:val="24"/>
          <w:szCs w:val="24"/>
        </w:rPr>
      </w:pPr>
      <w:r>
        <w:fldChar w:fldCharType="begin"/>
      </w:r>
      <w:r>
        <w:instrText xml:space="preserve"> HYPERLINK \l "_Toc27455" </w:instrText>
      </w:r>
      <w:r>
        <w:fldChar w:fldCharType="separate"/>
      </w:r>
      <w:r>
        <w:rPr>
          <w:sz w:val="24"/>
          <w:szCs w:val="24"/>
        </w:rPr>
        <w:t>第六节  矿区及周边人类重大工程活动</w:t>
      </w:r>
      <w:r>
        <w:rPr>
          <w:sz w:val="24"/>
          <w:szCs w:val="24"/>
        </w:rPr>
        <w:tab/>
      </w:r>
      <w:r>
        <w:rPr>
          <w:sz w:val="24"/>
          <w:szCs w:val="24"/>
        </w:rPr>
        <w:fldChar w:fldCharType="begin"/>
      </w:r>
      <w:r>
        <w:rPr>
          <w:sz w:val="24"/>
          <w:szCs w:val="24"/>
        </w:rPr>
        <w:instrText xml:space="preserve"> PAGEREF _Toc27455 \h </w:instrText>
      </w:r>
      <w:r>
        <w:rPr>
          <w:sz w:val="24"/>
          <w:szCs w:val="24"/>
        </w:rPr>
        <w:fldChar w:fldCharType="separate"/>
      </w:r>
      <w:r>
        <w:rPr>
          <w:sz w:val="24"/>
          <w:szCs w:val="24"/>
        </w:rPr>
        <w:t>50</w:t>
      </w:r>
      <w:r>
        <w:rPr>
          <w:sz w:val="24"/>
          <w:szCs w:val="24"/>
        </w:rPr>
        <w:fldChar w:fldCharType="end"/>
      </w:r>
      <w:r>
        <w:rPr>
          <w:sz w:val="24"/>
          <w:szCs w:val="24"/>
        </w:rPr>
        <w:fldChar w:fldCharType="end"/>
      </w:r>
    </w:p>
    <w:p w14:paraId="35C48B15">
      <w:pPr>
        <w:pStyle w:val="63"/>
        <w:tabs>
          <w:tab w:val="right" w:leader="dot" w:pos="8788"/>
        </w:tabs>
        <w:rPr>
          <w:sz w:val="24"/>
          <w:szCs w:val="24"/>
        </w:rPr>
      </w:pPr>
      <w:r>
        <w:fldChar w:fldCharType="begin"/>
      </w:r>
      <w:r>
        <w:instrText xml:space="preserve"> HYPERLINK \l "_Toc26071" </w:instrText>
      </w:r>
      <w:r>
        <w:fldChar w:fldCharType="separate"/>
      </w:r>
      <w:r>
        <w:rPr>
          <w:sz w:val="24"/>
          <w:szCs w:val="24"/>
        </w:rPr>
        <w:t>第七节  矿区生态修复工作情况</w:t>
      </w:r>
      <w:r>
        <w:rPr>
          <w:sz w:val="24"/>
          <w:szCs w:val="24"/>
        </w:rPr>
        <w:tab/>
      </w:r>
      <w:r>
        <w:rPr>
          <w:sz w:val="24"/>
          <w:szCs w:val="24"/>
        </w:rPr>
        <w:fldChar w:fldCharType="begin"/>
      </w:r>
      <w:r>
        <w:rPr>
          <w:sz w:val="24"/>
          <w:szCs w:val="24"/>
        </w:rPr>
        <w:instrText xml:space="preserve"> PAGEREF _Toc26071 \h </w:instrText>
      </w:r>
      <w:r>
        <w:rPr>
          <w:sz w:val="24"/>
          <w:szCs w:val="24"/>
        </w:rPr>
        <w:fldChar w:fldCharType="separate"/>
      </w:r>
      <w:r>
        <w:rPr>
          <w:sz w:val="24"/>
          <w:szCs w:val="24"/>
        </w:rPr>
        <w:t>50</w:t>
      </w:r>
      <w:r>
        <w:rPr>
          <w:sz w:val="24"/>
          <w:szCs w:val="24"/>
        </w:rPr>
        <w:fldChar w:fldCharType="end"/>
      </w:r>
      <w:r>
        <w:rPr>
          <w:sz w:val="24"/>
          <w:szCs w:val="24"/>
        </w:rPr>
        <w:fldChar w:fldCharType="end"/>
      </w:r>
    </w:p>
    <w:p w14:paraId="50186CC9">
      <w:pPr>
        <w:pStyle w:val="63"/>
        <w:tabs>
          <w:tab w:val="right" w:leader="dot" w:pos="8788"/>
        </w:tabs>
        <w:rPr>
          <w:sz w:val="24"/>
          <w:szCs w:val="24"/>
        </w:rPr>
      </w:pPr>
      <w:r>
        <w:fldChar w:fldCharType="begin"/>
      </w:r>
      <w:r>
        <w:instrText xml:space="preserve"> HYPERLINK \l "_Toc26698" </w:instrText>
      </w:r>
      <w:r>
        <w:fldChar w:fldCharType="separate"/>
      </w:r>
      <w:r>
        <w:rPr>
          <w:sz w:val="24"/>
          <w:szCs w:val="24"/>
        </w:rPr>
        <w:t>第八节  矿区基本情况调查监测指标</w:t>
      </w:r>
      <w:r>
        <w:rPr>
          <w:sz w:val="24"/>
          <w:szCs w:val="24"/>
        </w:rPr>
        <w:tab/>
      </w:r>
      <w:r>
        <w:rPr>
          <w:sz w:val="24"/>
          <w:szCs w:val="24"/>
        </w:rPr>
        <w:fldChar w:fldCharType="begin"/>
      </w:r>
      <w:r>
        <w:rPr>
          <w:sz w:val="24"/>
          <w:szCs w:val="24"/>
        </w:rPr>
        <w:instrText xml:space="preserve"> PAGEREF _Toc26698 \h </w:instrText>
      </w:r>
      <w:r>
        <w:rPr>
          <w:sz w:val="24"/>
          <w:szCs w:val="24"/>
        </w:rPr>
        <w:fldChar w:fldCharType="separate"/>
      </w:r>
      <w:r>
        <w:rPr>
          <w:sz w:val="24"/>
          <w:szCs w:val="24"/>
        </w:rPr>
        <w:t>57</w:t>
      </w:r>
      <w:r>
        <w:rPr>
          <w:sz w:val="24"/>
          <w:szCs w:val="24"/>
        </w:rPr>
        <w:fldChar w:fldCharType="end"/>
      </w:r>
      <w:r>
        <w:rPr>
          <w:sz w:val="24"/>
          <w:szCs w:val="24"/>
        </w:rPr>
        <w:fldChar w:fldCharType="end"/>
      </w:r>
    </w:p>
    <w:p w14:paraId="541231C9">
      <w:pPr>
        <w:pStyle w:val="53"/>
        <w:tabs>
          <w:tab w:val="right" w:leader="dot" w:pos="8788"/>
        </w:tabs>
        <w:rPr>
          <w:sz w:val="24"/>
          <w:szCs w:val="24"/>
        </w:rPr>
      </w:pPr>
      <w:r>
        <w:fldChar w:fldCharType="begin"/>
      </w:r>
      <w:r>
        <w:instrText xml:space="preserve"> HYPERLINK \l "_Toc11885" </w:instrText>
      </w:r>
      <w:r>
        <w:fldChar w:fldCharType="separate"/>
      </w:r>
      <w:r>
        <w:rPr>
          <w:rFonts w:eastAsia="黑体"/>
          <w:bCs/>
          <w:sz w:val="24"/>
          <w:szCs w:val="24"/>
        </w:rPr>
        <w:t>第三章  问题识别诊断及修复可行性分析</w:t>
      </w:r>
      <w:r>
        <w:rPr>
          <w:sz w:val="24"/>
          <w:szCs w:val="24"/>
        </w:rPr>
        <w:tab/>
      </w:r>
      <w:r>
        <w:rPr>
          <w:sz w:val="24"/>
          <w:szCs w:val="24"/>
        </w:rPr>
        <w:fldChar w:fldCharType="begin"/>
      </w:r>
      <w:r>
        <w:rPr>
          <w:sz w:val="24"/>
          <w:szCs w:val="24"/>
        </w:rPr>
        <w:instrText xml:space="preserve"> PAGEREF _Toc11885 \h </w:instrText>
      </w:r>
      <w:r>
        <w:rPr>
          <w:sz w:val="24"/>
          <w:szCs w:val="24"/>
        </w:rPr>
        <w:fldChar w:fldCharType="separate"/>
      </w:r>
      <w:r>
        <w:rPr>
          <w:sz w:val="24"/>
          <w:szCs w:val="24"/>
        </w:rPr>
        <w:t>58</w:t>
      </w:r>
      <w:r>
        <w:rPr>
          <w:sz w:val="24"/>
          <w:szCs w:val="24"/>
        </w:rPr>
        <w:fldChar w:fldCharType="end"/>
      </w:r>
      <w:r>
        <w:rPr>
          <w:sz w:val="24"/>
          <w:szCs w:val="24"/>
        </w:rPr>
        <w:fldChar w:fldCharType="end"/>
      </w:r>
    </w:p>
    <w:p w14:paraId="590CD2E5">
      <w:pPr>
        <w:pStyle w:val="63"/>
        <w:tabs>
          <w:tab w:val="right" w:leader="dot" w:pos="8788"/>
        </w:tabs>
        <w:rPr>
          <w:sz w:val="24"/>
          <w:szCs w:val="24"/>
        </w:rPr>
      </w:pPr>
      <w:r>
        <w:fldChar w:fldCharType="begin"/>
      </w:r>
      <w:r>
        <w:instrText xml:space="preserve"> HYPERLINK \l "_Toc18170" </w:instrText>
      </w:r>
      <w:r>
        <w:fldChar w:fldCharType="separate"/>
      </w:r>
      <w:r>
        <w:rPr>
          <w:sz w:val="24"/>
          <w:szCs w:val="24"/>
        </w:rPr>
        <w:t>第一节  问题识别与受损预测</w:t>
      </w:r>
      <w:r>
        <w:rPr>
          <w:sz w:val="24"/>
          <w:szCs w:val="24"/>
        </w:rPr>
        <w:tab/>
      </w:r>
      <w:r>
        <w:rPr>
          <w:sz w:val="24"/>
          <w:szCs w:val="24"/>
        </w:rPr>
        <w:fldChar w:fldCharType="begin"/>
      </w:r>
      <w:r>
        <w:rPr>
          <w:sz w:val="24"/>
          <w:szCs w:val="24"/>
        </w:rPr>
        <w:instrText xml:space="preserve"> PAGEREF _Toc18170 \h </w:instrText>
      </w:r>
      <w:r>
        <w:rPr>
          <w:sz w:val="24"/>
          <w:szCs w:val="24"/>
        </w:rPr>
        <w:fldChar w:fldCharType="separate"/>
      </w:r>
      <w:r>
        <w:rPr>
          <w:sz w:val="24"/>
          <w:szCs w:val="24"/>
        </w:rPr>
        <w:t>58</w:t>
      </w:r>
      <w:r>
        <w:rPr>
          <w:sz w:val="24"/>
          <w:szCs w:val="24"/>
        </w:rPr>
        <w:fldChar w:fldCharType="end"/>
      </w:r>
      <w:r>
        <w:rPr>
          <w:sz w:val="24"/>
          <w:szCs w:val="24"/>
        </w:rPr>
        <w:fldChar w:fldCharType="end"/>
      </w:r>
    </w:p>
    <w:p w14:paraId="5C038417">
      <w:pPr>
        <w:pStyle w:val="63"/>
        <w:tabs>
          <w:tab w:val="right" w:leader="dot" w:pos="8788"/>
        </w:tabs>
        <w:rPr>
          <w:sz w:val="24"/>
          <w:szCs w:val="24"/>
        </w:rPr>
      </w:pPr>
      <w:r>
        <w:fldChar w:fldCharType="begin"/>
      </w:r>
      <w:r>
        <w:instrText xml:space="preserve"> HYPERLINK \l "_Toc547" </w:instrText>
      </w:r>
      <w:r>
        <w:fldChar w:fldCharType="separate"/>
      </w:r>
      <w:r>
        <w:rPr>
          <w:sz w:val="24"/>
          <w:szCs w:val="24"/>
        </w:rPr>
        <w:t>第二节  生态修复可行性分析</w:t>
      </w:r>
      <w:r>
        <w:rPr>
          <w:sz w:val="24"/>
          <w:szCs w:val="24"/>
        </w:rPr>
        <w:tab/>
      </w:r>
      <w:r>
        <w:rPr>
          <w:sz w:val="24"/>
          <w:szCs w:val="24"/>
        </w:rPr>
        <w:fldChar w:fldCharType="begin"/>
      </w:r>
      <w:r>
        <w:rPr>
          <w:sz w:val="24"/>
          <w:szCs w:val="24"/>
        </w:rPr>
        <w:instrText xml:space="preserve"> PAGEREF _Toc547 \h </w:instrText>
      </w:r>
      <w:r>
        <w:rPr>
          <w:sz w:val="24"/>
          <w:szCs w:val="24"/>
        </w:rPr>
        <w:fldChar w:fldCharType="separate"/>
      </w:r>
      <w:r>
        <w:rPr>
          <w:sz w:val="24"/>
          <w:szCs w:val="24"/>
        </w:rPr>
        <w:t>87</w:t>
      </w:r>
      <w:r>
        <w:rPr>
          <w:sz w:val="24"/>
          <w:szCs w:val="24"/>
        </w:rPr>
        <w:fldChar w:fldCharType="end"/>
      </w:r>
      <w:r>
        <w:rPr>
          <w:sz w:val="24"/>
          <w:szCs w:val="24"/>
        </w:rPr>
        <w:fldChar w:fldCharType="end"/>
      </w:r>
    </w:p>
    <w:p w14:paraId="0DEF4B96">
      <w:pPr>
        <w:pStyle w:val="63"/>
        <w:tabs>
          <w:tab w:val="right" w:leader="dot" w:pos="8788"/>
        </w:tabs>
        <w:rPr>
          <w:sz w:val="24"/>
          <w:szCs w:val="24"/>
        </w:rPr>
      </w:pPr>
      <w:r>
        <w:fldChar w:fldCharType="begin"/>
      </w:r>
      <w:r>
        <w:instrText xml:space="preserve"> HYPERLINK \l "_Toc12586" </w:instrText>
      </w:r>
      <w:r>
        <w:fldChar w:fldCharType="separate"/>
      </w:r>
      <w:r>
        <w:rPr>
          <w:sz w:val="24"/>
          <w:szCs w:val="24"/>
        </w:rPr>
        <w:t>第三节  生态修复分区及修复时序安排</w:t>
      </w:r>
      <w:r>
        <w:rPr>
          <w:sz w:val="24"/>
          <w:szCs w:val="24"/>
        </w:rPr>
        <w:tab/>
      </w:r>
      <w:r>
        <w:rPr>
          <w:sz w:val="24"/>
          <w:szCs w:val="24"/>
        </w:rPr>
        <w:fldChar w:fldCharType="begin"/>
      </w:r>
      <w:r>
        <w:rPr>
          <w:sz w:val="24"/>
          <w:szCs w:val="24"/>
        </w:rPr>
        <w:instrText xml:space="preserve"> PAGEREF _Toc12586 \h </w:instrText>
      </w:r>
      <w:r>
        <w:rPr>
          <w:sz w:val="24"/>
          <w:szCs w:val="24"/>
        </w:rPr>
        <w:fldChar w:fldCharType="separate"/>
      </w:r>
      <w:r>
        <w:rPr>
          <w:sz w:val="24"/>
          <w:szCs w:val="24"/>
        </w:rPr>
        <w:t>103</w:t>
      </w:r>
      <w:r>
        <w:rPr>
          <w:sz w:val="24"/>
          <w:szCs w:val="24"/>
        </w:rPr>
        <w:fldChar w:fldCharType="end"/>
      </w:r>
      <w:r>
        <w:rPr>
          <w:sz w:val="24"/>
          <w:szCs w:val="24"/>
        </w:rPr>
        <w:fldChar w:fldCharType="end"/>
      </w:r>
    </w:p>
    <w:p w14:paraId="30337C2E">
      <w:pPr>
        <w:pStyle w:val="63"/>
        <w:tabs>
          <w:tab w:val="right" w:leader="dot" w:pos="8788"/>
        </w:tabs>
        <w:rPr>
          <w:sz w:val="24"/>
          <w:szCs w:val="24"/>
        </w:rPr>
      </w:pPr>
      <w:r>
        <w:fldChar w:fldCharType="begin"/>
      </w:r>
      <w:r>
        <w:instrText xml:space="preserve"> HYPERLINK \l "_Toc30140" </w:instrText>
      </w:r>
      <w:r>
        <w:fldChar w:fldCharType="separate"/>
      </w:r>
      <w:r>
        <w:rPr>
          <w:sz w:val="24"/>
          <w:szCs w:val="24"/>
        </w:rPr>
        <w:t>第四节  采矿用地与复垦修复安排</w:t>
      </w:r>
      <w:r>
        <w:rPr>
          <w:sz w:val="24"/>
          <w:szCs w:val="24"/>
        </w:rPr>
        <w:tab/>
      </w:r>
      <w:r>
        <w:rPr>
          <w:sz w:val="24"/>
          <w:szCs w:val="24"/>
        </w:rPr>
        <w:fldChar w:fldCharType="begin"/>
      </w:r>
      <w:r>
        <w:rPr>
          <w:sz w:val="24"/>
          <w:szCs w:val="24"/>
        </w:rPr>
        <w:instrText xml:space="preserve"> PAGEREF _Toc30140 \h </w:instrText>
      </w:r>
      <w:r>
        <w:rPr>
          <w:sz w:val="24"/>
          <w:szCs w:val="24"/>
        </w:rPr>
        <w:fldChar w:fldCharType="separate"/>
      </w:r>
      <w:r>
        <w:rPr>
          <w:sz w:val="24"/>
          <w:szCs w:val="24"/>
        </w:rPr>
        <w:t>104</w:t>
      </w:r>
      <w:r>
        <w:rPr>
          <w:sz w:val="24"/>
          <w:szCs w:val="24"/>
        </w:rPr>
        <w:fldChar w:fldCharType="end"/>
      </w:r>
      <w:r>
        <w:rPr>
          <w:sz w:val="24"/>
          <w:szCs w:val="24"/>
        </w:rPr>
        <w:fldChar w:fldCharType="end"/>
      </w:r>
    </w:p>
    <w:p w14:paraId="422FBD83">
      <w:pPr>
        <w:pStyle w:val="53"/>
        <w:tabs>
          <w:tab w:val="right" w:leader="dot" w:pos="8788"/>
        </w:tabs>
        <w:rPr>
          <w:sz w:val="24"/>
          <w:szCs w:val="24"/>
        </w:rPr>
      </w:pPr>
      <w:r>
        <w:fldChar w:fldCharType="begin"/>
      </w:r>
      <w:r>
        <w:instrText xml:space="preserve"> HYPERLINK \l "_Toc6531" </w:instrText>
      </w:r>
      <w:r>
        <w:fldChar w:fldCharType="separate"/>
      </w:r>
      <w:r>
        <w:rPr>
          <w:rFonts w:eastAsia="黑体"/>
          <w:bCs/>
          <w:sz w:val="24"/>
          <w:szCs w:val="24"/>
        </w:rPr>
        <w:t>第四章  生态修复措施与工程内容</w:t>
      </w:r>
      <w:r>
        <w:rPr>
          <w:sz w:val="24"/>
          <w:szCs w:val="24"/>
        </w:rPr>
        <w:tab/>
      </w:r>
      <w:r>
        <w:rPr>
          <w:sz w:val="24"/>
          <w:szCs w:val="24"/>
        </w:rPr>
        <w:fldChar w:fldCharType="begin"/>
      </w:r>
      <w:r>
        <w:rPr>
          <w:sz w:val="24"/>
          <w:szCs w:val="24"/>
        </w:rPr>
        <w:instrText xml:space="preserve"> PAGEREF _Toc6531 \h </w:instrText>
      </w:r>
      <w:r>
        <w:rPr>
          <w:sz w:val="24"/>
          <w:szCs w:val="24"/>
        </w:rPr>
        <w:fldChar w:fldCharType="separate"/>
      </w:r>
      <w:r>
        <w:rPr>
          <w:sz w:val="24"/>
          <w:szCs w:val="24"/>
        </w:rPr>
        <w:t>106</w:t>
      </w:r>
      <w:r>
        <w:rPr>
          <w:sz w:val="24"/>
          <w:szCs w:val="24"/>
        </w:rPr>
        <w:fldChar w:fldCharType="end"/>
      </w:r>
      <w:r>
        <w:rPr>
          <w:sz w:val="24"/>
          <w:szCs w:val="24"/>
        </w:rPr>
        <w:fldChar w:fldCharType="end"/>
      </w:r>
    </w:p>
    <w:p w14:paraId="3C862B66">
      <w:pPr>
        <w:pStyle w:val="63"/>
        <w:tabs>
          <w:tab w:val="right" w:leader="dot" w:pos="8788"/>
        </w:tabs>
        <w:rPr>
          <w:sz w:val="24"/>
          <w:szCs w:val="24"/>
        </w:rPr>
      </w:pPr>
      <w:r>
        <w:fldChar w:fldCharType="begin"/>
      </w:r>
      <w:r>
        <w:instrText xml:space="preserve"> HYPERLINK \l "_Toc26219" </w:instrText>
      </w:r>
      <w:r>
        <w:fldChar w:fldCharType="separate"/>
      </w:r>
      <w:r>
        <w:rPr>
          <w:sz w:val="24"/>
          <w:szCs w:val="24"/>
        </w:rPr>
        <w:t>第一节 保护与预防控制措施</w:t>
      </w:r>
      <w:r>
        <w:rPr>
          <w:sz w:val="24"/>
          <w:szCs w:val="24"/>
        </w:rPr>
        <w:tab/>
      </w:r>
      <w:r>
        <w:rPr>
          <w:sz w:val="24"/>
          <w:szCs w:val="24"/>
        </w:rPr>
        <w:fldChar w:fldCharType="begin"/>
      </w:r>
      <w:r>
        <w:rPr>
          <w:sz w:val="24"/>
          <w:szCs w:val="24"/>
        </w:rPr>
        <w:instrText xml:space="preserve"> PAGEREF _Toc26219 \h </w:instrText>
      </w:r>
      <w:r>
        <w:rPr>
          <w:sz w:val="24"/>
          <w:szCs w:val="24"/>
        </w:rPr>
        <w:fldChar w:fldCharType="separate"/>
      </w:r>
      <w:r>
        <w:rPr>
          <w:sz w:val="24"/>
          <w:szCs w:val="24"/>
        </w:rPr>
        <w:t>106</w:t>
      </w:r>
      <w:r>
        <w:rPr>
          <w:sz w:val="24"/>
          <w:szCs w:val="24"/>
        </w:rPr>
        <w:fldChar w:fldCharType="end"/>
      </w:r>
      <w:r>
        <w:rPr>
          <w:sz w:val="24"/>
          <w:szCs w:val="24"/>
        </w:rPr>
        <w:fldChar w:fldCharType="end"/>
      </w:r>
    </w:p>
    <w:p w14:paraId="023BB59C">
      <w:pPr>
        <w:pStyle w:val="63"/>
        <w:tabs>
          <w:tab w:val="right" w:leader="dot" w:pos="8788"/>
        </w:tabs>
        <w:rPr>
          <w:sz w:val="24"/>
          <w:szCs w:val="24"/>
        </w:rPr>
      </w:pPr>
      <w:r>
        <w:fldChar w:fldCharType="begin"/>
      </w:r>
      <w:r>
        <w:instrText xml:space="preserve"> HYPERLINK \l "_Toc28905" </w:instrText>
      </w:r>
      <w:r>
        <w:fldChar w:fldCharType="separate"/>
      </w:r>
      <w:r>
        <w:rPr>
          <w:sz w:val="24"/>
          <w:szCs w:val="24"/>
        </w:rPr>
        <w:t>第二节  修复措施</w:t>
      </w:r>
      <w:r>
        <w:rPr>
          <w:sz w:val="24"/>
          <w:szCs w:val="24"/>
        </w:rPr>
        <w:tab/>
      </w:r>
      <w:r>
        <w:rPr>
          <w:sz w:val="24"/>
          <w:szCs w:val="24"/>
        </w:rPr>
        <w:fldChar w:fldCharType="begin"/>
      </w:r>
      <w:r>
        <w:rPr>
          <w:sz w:val="24"/>
          <w:szCs w:val="24"/>
        </w:rPr>
        <w:instrText xml:space="preserve"> PAGEREF _Toc28905 \h </w:instrText>
      </w:r>
      <w:r>
        <w:rPr>
          <w:sz w:val="24"/>
          <w:szCs w:val="24"/>
        </w:rPr>
        <w:fldChar w:fldCharType="separate"/>
      </w:r>
      <w:r>
        <w:rPr>
          <w:sz w:val="24"/>
          <w:szCs w:val="24"/>
        </w:rPr>
        <w:t>109</w:t>
      </w:r>
      <w:r>
        <w:rPr>
          <w:sz w:val="24"/>
          <w:szCs w:val="24"/>
        </w:rPr>
        <w:fldChar w:fldCharType="end"/>
      </w:r>
      <w:r>
        <w:rPr>
          <w:sz w:val="24"/>
          <w:szCs w:val="24"/>
        </w:rPr>
        <w:fldChar w:fldCharType="end"/>
      </w:r>
    </w:p>
    <w:p w14:paraId="47B2D513">
      <w:pPr>
        <w:pStyle w:val="63"/>
        <w:tabs>
          <w:tab w:val="right" w:leader="dot" w:pos="8788"/>
        </w:tabs>
        <w:rPr>
          <w:sz w:val="24"/>
          <w:szCs w:val="24"/>
        </w:rPr>
      </w:pPr>
      <w:r>
        <w:fldChar w:fldCharType="begin"/>
      </w:r>
      <w:r>
        <w:instrText xml:space="preserve"> HYPERLINK \l "_Toc28668" </w:instrText>
      </w:r>
      <w:r>
        <w:fldChar w:fldCharType="separate"/>
      </w:r>
      <w:r>
        <w:rPr>
          <w:sz w:val="24"/>
          <w:szCs w:val="24"/>
        </w:rPr>
        <w:t>第三节  工程内容</w:t>
      </w:r>
      <w:r>
        <w:rPr>
          <w:sz w:val="24"/>
          <w:szCs w:val="24"/>
        </w:rPr>
        <w:tab/>
      </w:r>
      <w:r>
        <w:rPr>
          <w:sz w:val="24"/>
          <w:szCs w:val="24"/>
        </w:rPr>
        <w:fldChar w:fldCharType="begin"/>
      </w:r>
      <w:r>
        <w:rPr>
          <w:sz w:val="24"/>
          <w:szCs w:val="24"/>
        </w:rPr>
        <w:instrText xml:space="preserve"> PAGEREF _Toc28668 \h </w:instrText>
      </w:r>
      <w:r>
        <w:rPr>
          <w:sz w:val="24"/>
          <w:szCs w:val="24"/>
        </w:rPr>
        <w:fldChar w:fldCharType="separate"/>
      </w:r>
      <w:r>
        <w:rPr>
          <w:sz w:val="24"/>
          <w:szCs w:val="24"/>
        </w:rPr>
        <w:t>115</w:t>
      </w:r>
      <w:r>
        <w:rPr>
          <w:sz w:val="24"/>
          <w:szCs w:val="24"/>
        </w:rPr>
        <w:fldChar w:fldCharType="end"/>
      </w:r>
      <w:r>
        <w:rPr>
          <w:sz w:val="24"/>
          <w:szCs w:val="24"/>
        </w:rPr>
        <w:fldChar w:fldCharType="end"/>
      </w:r>
    </w:p>
    <w:p w14:paraId="32A5049C">
      <w:pPr>
        <w:pStyle w:val="53"/>
        <w:tabs>
          <w:tab w:val="right" w:leader="dot" w:pos="8788"/>
        </w:tabs>
        <w:rPr>
          <w:sz w:val="24"/>
          <w:szCs w:val="24"/>
        </w:rPr>
      </w:pPr>
      <w:r>
        <w:fldChar w:fldCharType="begin"/>
      </w:r>
      <w:r>
        <w:instrText xml:space="preserve"> HYPERLINK \l "_Toc144" </w:instrText>
      </w:r>
      <w:r>
        <w:fldChar w:fldCharType="separate"/>
      </w:r>
      <w:r>
        <w:rPr>
          <w:rFonts w:eastAsia="黑体"/>
          <w:bCs/>
          <w:sz w:val="24"/>
          <w:szCs w:val="24"/>
        </w:rPr>
        <w:t>第五章  监测与管护</w:t>
      </w:r>
      <w:r>
        <w:rPr>
          <w:sz w:val="24"/>
          <w:szCs w:val="24"/>
        </w:rPr>
        <w:tab/>
      </w:r>
      <w:r>
        <w:rPr>
          <w:sz w:val="24"/>
          <w:szCs w:val="24"/>
        </w:rPr>
        <w:fldChar w:fldCharType="begin"/>
      </w:r>
      <w:r>
        <w:rPr>
          <w:sz w:val="24"/>
          <w:szCs w:val="24"/>
        </w:rPr>
        <w:instrText xml:space="preserve"> PAGEREF _Toc144 \h </w:instrText>
      </w:r>
      <w:r>
        <w:rPr>
          <w:sz w:val="24"/>
          <w:szCs w:val="24"/>
        </w:rPr>
        <w:fldChar w:fldCharType="separate"/>
      </w:r>
      <w:r>
        <w:rPr>
          <w:sz w:val="24"/>
          <w:szCs w:val="24"/>
        </w:rPr>
        <w:t>126</w:t>
      </w:r>
      <w:r>
        <w:rPr>
          <w:sz w:val="24"/>
          <w:szCs w:val="24"/>
        </w:rPr>
        <w:fldChar w:fldCharType="end"/>
      </w:r>
      <w:r>
        <w:rPr>
          <w:sz w:val="24"/>
          <w:szCs w:val="24"/>
        </w:rPr>
        <w:fldChar w:fldCharType="end"/>
      </w:r>
    </w:p>
    <w:p w14:paraId="7FAEA2D2">
      <w:pPr>
        <w:pStyle w:val="63"/>
        <w:tabs>
          <w:tab w:val="right" w:leader="dot" w:pos="8788"/>
        </w:tabs>
        <w:rPr>
          <w:sz w:val="24"/>
          <w:szCs w:val="24"/>
        </w:rPr>
      </w:pPr>
      <w:r>
        <w:fldChar w:fldCharType="begin"/>
      </w:r>
      <w:r>
        <w:instrText xml:space="preserve"> HYPERLINK \l "_Toc10523" </w:instrText>
      </w:r>
      <w:r>
        <w:fldChar w:fldCharType="separate"/>
      </w:r>
      <w:r>
        <w:rPr>
          <w:sz w:val="24"/>
          <w:szCs w:val="24"/>
        </w:rPr>
        <w:t>第一节  监测目标与措施</w:t>
      </w:r>
      <w:r>
        <w:rPr>
          <w:sz w:val="24"/>
          <w:szCs w:val="24"/>
        </w:rPr>
        <w:tab/>
      </w:r>
      <w:r>
        <w:rPr>
          <w:sz w:val="24"/>
          <w:szCs w:val="24"/>
        </w:rPr>
        <w:fldChar w:fldCharType="begin"/>
      </w:r>
      <w:r>
        <w:rPr>
          <w:sz w:val="24"/>
          <w:szCs w:val="24"/>
        </w:rPr>
        <w:instrText xml:space="preserve"> PAGEREF _Toc10523 \h </w:instrText>
      </w:r>
      <w:r>
        <w:rPr>
          <w:sz w:val="24"/>
          <w:szCs w:val="24"/>
        </w:rPr>
        <w:fldChar w:fldCharType="separate"/>
      </w:r>
      <w:r>
        <w:rPr>
          <w:sz w:val="24"/>
          <w:szCs w:val="24"/>
        </w:rPr>
        <w:t>127</w:t>
      </w:r>
      <w:r>
        <w:rPr>
          <w:sz w:val="24"/>
          <w:szCs w:val="24"/>
        </w:rPr>
        <w:fldChar w:fldCharType="end"/>
      </w:r>
      <w:r>
        <w:rPr>
          <w:sz w:val="24"/>
          <w:szCs w:val="24"/>
        </w:rPr>
        <w:fldChar w:fldCharType="end"/>
      </w:r>
    </w:p>
    <w:p w14:paraId="69A93D6F">
      <w:pPr>
        <w:pStyle w:val="63"/>
        <w:tabs>
          <w:tab w:val="right" w:leader="dot" w:pos="8788"/>
        </w:tabs>
        <w:rPr>
          <w:sz w:val="24"/>
          <w:szCs w:val="24"/>
        </w:rPr>
      </w:pPr>
      <w:r>
        <w:fldChar w:fldCharType="begin"/>
      </w:r>
      <w:r>
        <w:instrText xml:space="preserve"> HYPERLINK \l "_Toc21906" </w:instrText>
      </w:r>
      <w:r>
        <w:fldChar w:fldCharType="separate"/>
      </w:r>
      <w:r>
        <w:rPr>
          <w:sz w:val="24"/>
          <w:szCs w:val="24"/>
        </w:rPr>
        <w:t>第二节  管护目标与措施</w:t>
      </w:r>
      <w:r>
        <w:rPr>
          <w:sz w:val="24"/>
          <w:szCs w:val="24"/>
        </w:rPr>
        <w:tab/>
      </w:r>
      <w:r>
        <w:rPr>
          <w:sz w:val="24"/>
          <w:szCs w:val="24"/>
        </w:rPr>
        <w:fldChar w:fldCharType="begin"/>
      </w:r>
      <w:r>
        <w:rPr>
          <w:sz w:val="24"/>
          <w:szCs w:val="24"/>
        </w:rPr>
        <w:instrText xml:space="preserve"> PAGEREF _Toc21906 \h </w:instrText>
      </w:r>
      <w:r>
        <w:rPr>
          <w:sz w:val="24"/>
          <w:szCs w:val="24"/>
        </w:rPr>
        <w:fldChar w:fldCharType="separate"/>
      </w:r>
      <w:r>
        <w:rPr>
          <w:sz w:val="24"/>
          <w:szCs w:val="24"/>
        </w:rPr>
        <w:t>132</w:t>
      </w:r>
      <w:r>
        <w:rPr>
          <w:sz w:val="24"/>
          <w:szCs w:val="24"/>
        </w:rPr>
        <w:fldChar w:fldCharType="end"/>
      </w:r>
      <w:r>
        <w:rPr>
          <w:sz w:val="24"/>
          <w:szCs w:val="24"/>
        </w:rPr>
        <w:fldChar w:fldCharType="end"/>
      </w:r>
    </w:p>
    <w:p w14:paraId="1CA6C1F0">
      <w:pPr>
        <w:pStyle w:val="63"/>
        <w:tabs>
          <w:tab w:val="right" w:leader="dot" w:pos="8788"/>
        </w:tabs>
        <w:rPr>
          <w:sz w:val="24"/>
          <w:szCs w:val="24"/>
        </w:rPr>
      </w:pPr>
      <w:r>
        <w:fldChar w:fldCharType="begin"/>
      </w:r>
      <w:r>
        <w:instrText xml:space="preserve"> HYPERLINK \l "_Toc32538" </w:instrText>
      </w:r>
      <w:r>
        <w:fldChar w:fldCharType="separate"/>
      </w:r>
      <w:r>
        <w:rPr>
          <w:sz w:val="24"/>
          <w:szCs w:val="24"/>
        </w:rPr>
        <w:t>第三节  工程量</w:t>
      </w:r>
      <w:r>
        <w:rPr>
          <w:sz w:val="24"/>
          <w:szCs w:val="24"/>
        </w:rPr>
        <w:tab/>
      </w:r>
      <w:r>
        <w:rPr>
          <w:sz w:val="24"/>
          <w:szCs w:val="24"/>
        </w:rPr>
        <w:fldChar w:fldCharType="begin"/>
      </w:r>
      <w:r>
        <w:rPr>
          <w:sz w:val="24"/>
          <w:szCs w:val="24"/>
        </w:rPr>
        <w:instrText xml:space="preserve"> PAGEREF _Toc32538 \h </w:instrText>
      </w:r>
      <w:r>
        <w:rPr>
          <w:sz w:val="24"/>
          <w:szCs w:val="24"/>
        </w:rPr>
        <w:fldChar w:fldCharType="separate"/>
      </w:r>
      <w:r>
        <w:rPr>
          <w:sz w:val="24"/>
          <w:szCs w:val="24"/>
        </w:rPr>
        <w:t>134</w:t>
      </w:r>
      <w:r>
        <w:rPr>
          <w:sz w:val="24"/>
          <w:szCs w:val="24"/>
        </w:rPr>
        <w:fldChar w:fldCharType="end"/>
      </w:r>
      <w:r>
        <w:rPr>
          <w:sz w:val="24"/>
          <w:szCs w:val="24"/>
        </w:rPr>
        <w:fldChar w:fldCharType="end"/>
      </w:r>
    </w:p>
    <w:p w14:paraId="446ADC45">
      <w:pPr>
        <w:pStyle w:val="53"/>
        <w:tabs>
          <w:tab w:val="right" w:leader="dot" w:pos="8788"/>
        </w:tabs>
        <w:rPr>
          <w:sz w:val="24"/>
          <w:szCs w:val="24"/>
        </w:rPr>
      </w:pPr>
      <w:r>
        <w:fldChar w:fldCharType="begin"/>
      </w:r>
      <w:r>
        <w:instrText xml:space="preserve"> HYPERLINK \l "_Toc21036" </w:instrText>
      </w:r>
      <w:r>
        <w:fldChar w:fldCharType="separate"/>
      </w:r>
      <w:r>
        <w:rPr>
          <w:rFonts w:eastAsia="黑体"/>
          <w:bCs/>
          <w:sz w:val="24"/>
          <w:szCs w:val="24"/>
        </w:rPr>
        <w:t>第六章  工程部署与经费估算</w:t>
      </w:r>
      <w:r>
        <w:rPr>
          <w:sz w:val="24"/>
          <w:szCs w:val="24"/>
        </w:rPr>
        <w:tab/>
      </w:r>
      <w:r>
        <w:rPr>
          <w:sz w:val="24"/>
          <w:szCs w:val="24"/>
        </w:rPr>
        <w:fldChar w:fldCharType="begin"/>
      </w:r>
      <w:r>
        <w:rPr>
          <w:sz w:val="24"/>
          <w:szCs w:val="24"/>
        </w:rPr>
        <w:instrText xml:space="preserve"> PAGEREF _Toc21036 \h </w:instrText>
      </w:r>
      <w:r>
        <w:rPr>
          <w:sz w:val="24"/>
          <w:szCs w:val="24"/>
        </w:rPr>
        <w:fldChar w:fldCharType="separate"/>
      </w:r>
      <w:r>
        <w:rPr>
          <w:sz w:val="24"/>
          <w:szCs w:val="24"/>
        </w:rPr>
        <w:t>135</w:t>
      </w:r>
      <w:r>
        <w:rPr>
          <w:sz w:val="24"/>
          <w:szCs w:val="24"/>
        </w:rPr>
        <w:fldChar w:fldCharType="end"/>
      </w:r>
      <w:r>
        <w:rPr>
          <w:sz w:val="24"/>
          <w:szCs w:val="24"/>
        </w:rPr>
        <w:fldChar w:fldCharType="end"/>
      </w:r>
    </w:p>
    <w:p w14:paraId="529112DD">
      <w:pPr>
        <w:pStyle w:val="63"/>
        <w:tabs>
          <w:tab w:val="right" w:leader="dot" w:pos="8788"/>
        </w:tabs>
        <w:rPr>
          <w:sz w:val="24"/>
          <w:szCs w:val="24"/>
        </w:rPr>
      </w:pPr>
      <w:r>
        <w:fldChar w:fldCharType="begin"/>
      </w:r>
      <w:r>
        <w:instrText xml:space="preserve"> HYPERLINK \l "_Toc5285" </w:instrText>
      </w:r>
      <w:r>
        <w:fldChar w:fldCharType="separate"/>
      </w:r>
      <w:r>
        <w:rPr>
          <w:sz w:val="24"/>
          <w:szCs w:val="24"/>
        </w:rPr>
        <w:t>第一节  总体部署</w:t>
      </w:r>
      <w:r>
        <w:rPr>
          <w:sz w:val="24"/>
          <w:szCs w:val="24"/>
        </w:rPr>
        <w:tab/>
      </w:r>
      <w:r>
        <w:rPr>
          <w:sz w:val="24"/>
          <w:szCs w:val="24"/>
        </w:rPr>
        <w:fldChar w:fldCharType="begin"/>
      </w:r>
      <w:r>
        <w:rPr>
          <w:sz w:val="24"/>
          <w:szCs w:val="24"/>
        </w:rPr>
        <w:instrText xml:space="preserve"> PAGEREF _Toc5285 \h </w:instrText>
      </w:r>
      <w:r>
        <w:rPr>
          <w:sz w:val="24"/>
          <w:szCs w:val="24"/>
        </w:rPr>
        <w:fldChar w:fldCharType="separate"/>
      </w:r>
      <w:r>
        <w:rPr>
          <w:sz w:val="24"/>
          <w:szCs w:val="24"/>
        </w:rPr>
        <w:t>135</w:t>
      </w:r>
      <w:r>
        <w:rPr>
          <w:sz w:val="24"/>
          <w:szCs w:val="24"/>
        </w:rPr>
        <w:fldChar w:fldCharType="end"/>
      </w:r>
      <w:r>
        <w:rPr>
          <w:sz w:val="24"/>
          <w:szCs w:val="24"/>
        </w:rPr>
        <w:fldChar w:fldCharType="end"/>
      </w:r>
    </w:p>
    <w:p w14:paraId="228D9349">
      <w:pPr>
        <w:pStyle w:val="63"/>
        <w:tabs>
          <w:tab w:val="right" w:leader="dot" w:pos="8788"/>
        </w:tabs>
        <w:rPr>
          <w:sz w:val="24"/>
          <w:szCs w:val="24"/>
        </w:rPr>
      </w:pPr>
      <w:r>
        <w:fldChar w:fldCharType="begin"/>
      </w:r>
      <w:r>
        <w:instrText xml:space="preserve"> HYPERLINK \l "_Toc23070" </w:instrText>
      </w:r>
      <w:r>
        <w:fldChar w:fldCharType="separate"/>
      </w:r>
      <w:r>
        <w:rPr>
          <w:sz w:val="24"/>
          <w:szCs w:val="24"/>
        </w:rPr>
        <w:t>第二节  总体经费估算</w:t>
      </w:r>
      <w:r>
        <w:rPr>
          <w:sz w:val="24"/>
          <w:szCs w:val="24"/>
        </w:rPr>
        <w:tab/>
      </w:r>
      <w:r>
        <w:rPr>
          <w:sz w:val="24"/>
          <w:szCs w:val="24"/>
        </w:rPr>
        <w:fldChar w:fldCharType="begin"/>
      </w:r>
      <w:r>
        <w:rPr>
          <w:sz w:val="24"/>
          <w:szCs w:val="24"/>
        </w:rPr>
        <w:instrText xml:space="preserve"> PAGEREF _Toc23070 \h </w:instrText>
      </w:r>
      <w:r>
        <w:rPr>
          <w:sz w:val="24"/>
          <w:szCs w:val="24"/>
        </w:rPr>
        <w:fldChar w:fldCharType="separate"/>
      </w:r>
      <w:r>
        <w:rPr>
          <w:sz w:val="24"/>
          <w:szCs w:val="24"/>
        </w:rPr>
        <w:t>135</w:t>
      </w:r>
      <w:r>
        <w:rPr>
          <w:sz w:val="24"/>
          <w:szCs w:val="24"/>
        </w:rPr>
        <w:fldChar w:fldCharType="end"/>
      </w:r>
      <w:r>
        <w:rPr>
          <w:sz w:val="24"/>
          <w:szCs w:val="24"/>
        </w:rPr>
        <w:fldChar w:fldCharType="end"/>
      </w:r>
    </w:p>
    <w:p w14:paraId="2C5819AF">
      <w:pPr>
        <w:pStyle w:val="63"/>
        <w:tabs>
          <w:tab w:val="right" w:leader="dot" w:pos="8788"/>
        </w:tabs>
        <w:rPr>
          <w:sz w:val="24"/>
          <w:szCs w:val="24"/>
        </w:rPr>
      </w:pPr>
      <w:r>
        <w:fldChar w:fldCharType="begin"/>
      </w:r>
      <w:r>
        <w:instrText xml:space="preserve"> HYPERLINK \l "_Toc25403" </w:instrText>
      </w:r>
      <w:r>
        <w:fldChar w:fldCharType="separate"/>
      </w:r>
      <w:r>
        <w:rPr>
          <w:sz w:val="24"/>
          <w:szCs w:val="24"/>
        </w:rPr>
        <w:t>第三节  阶段工作任务与经费安排</w:t>
      </w:r>
      <w:r>
        <w:rPr>
          <w:sz w:val="24"/>
          <w:szCs w:val="24"/>
        </w:rPr>
        <w:tab/>
      </w:r>
      <w:r>
        <w:rPr>
          <w:sz w:val="24"/>
          <w:szCs w:val="24"/>
        </w:rPr>
        <w:fldChar w:fldCharType="begin"/>
      </w:r>
      <w:r>
        <w:rPr>
          <w:sz w:val="24"/>
          <w:szCs w:val="24"/>
        </w:rPr>
        <w:instrText xml:space="preserve"> PAGEREF _Toc25403 \h </w:instrText>
      </w:r>
      <w:r>
        <w:rPr>
          <w:sz w:val="24"/>
          <w:szCs w:val="24"/>
        </w:rPr>
        <w:fldChar w:fldCharType="separate"/>
      </w:r>
      <w:r>
        <w:rPr>
          <w:sz w:val="24"/>
          <w:szCs w:val="24"/>
        </w:rPr>
        <w:t>143</w:t>
      </w:r>
      <w:r>
        <w:rPr>
          <w:sz w:val="24"/>
          <w:szCs w:val="24"/>
        </w:rPr>
        <w:fldChar w:fldCharType="end"/>
      </w:r>
      <w:r>
        <w:rPr>
          <w:sz w:val="24"/>
          <w:szCs w:val="24"/>
        </w:rPr>
        <w:fldChar w:fldCharType="end"/>
      </w:r>
    </w:p>
    <w:p w14:paraId="4ADE10F6">
      <w:pPr>
        <w:pStyle w:val="53"/>
        <w:tabs>
          <w:tab w:val="right" w:leader="dot" w:pos="8788"/>
        </w:tabs>
        <w:rPr>
          <w:sz w:val="24"/>
          <w:szCs w:val="24"/>
        </w:rPr>
      </w:pPr>
      <w:r>
        <w:fldChar w:fldCharType="begin"/>
      </w:r>
      <w:r>
        <w:instrText xml:space="preserve"> HYPERLINK \l "_Toc31416" </w:instrText>
      </w:r>
      <w:r>
        <w:fldChar w:fldCharType="separate"/>
      </w:r>
      <w:r>
        <w:rPr>
          <w:rFonts w:eastAsia="黑体"/>
          <w:bCs/>
          <w:sz w:val="24"/>
          <w:szCs w:val="24"/>
        </w:rPr>
        <w:t>第七章  保障措施与公众参与</w:t>
      </w:r>
      <w:r>
        <w:rPr>
          <w:sz w:val="24"/>
          <w:szCs w:val="24"/>
        </w:rPr>
        <w:tab/>
      </w:r>
      <w:r>
        <w:rPr>
          <w:sz w:val="24"/>
          <w:szCs w:val="24"/>
        </w:rPr>
        <w:fldChar w:fldCharType="begin"/>
      </w:r>
      <w:r>
        <w:rPr>
          <w:sz w:val="24"/>
          <w:szCs w:val="24"/>
        </w:rPr>
        <w:instrText xml:space="preserve"> PAGEREF _Toc31416 \h </w:instrText>
      </w:r>
      <w:r>
        <w:rPr>
          <w:sz w:val="24"/>
          <w:szCs w:val="24"/>
        </w:rPr>
        <w:fldChar w:fldCharType="separate"/>
      </w:r>
      <w:r>
        <w:rPr>
          <w:sz w:val="24"/>
          <w:szCs w:val="24"/>
        </w:rPr>
        <w:t>148</w:t>
      </w:r>
      <w:r>
        <w:rPr>
          <w:sz w:val="24"/>
          <w:szCs w:val="24"/>
        </w:rPr>
        <w:fldChar w:fldCharType="end"/>
      </w:r>
      <w:r>
        <w:rPr>
          <w:sz w:val="24"/>
          <w:szCs w:val="24"/>
        </w:rPr>
        <w:fldChar w:fldCharType="end"/>
      </w:r>
    </w:p>
    <w:p w14:paraId="443D84A9">
      <w:pPr>
        <w:pStyle w:val="63"/>
        <w:tabs>
          <w:tab w:val="right" w:leader="dot" w:pos="8788"/>
        </w:tabs>
        <w:rPr>
          <w:sz w:val="24"/>
          <w:szCs w:val="24"/>
        </w:rPr>
      </w:pPr>
      <w:r>
        <w:fldChar w:fldCharType="begin"/>
      </w:r>
      <w:r>
        <w:instrText xml:space="preserve"> HYPERLINK \l "_Toc7541" </w:instrText>
      </w:r>
      <w:r>
        <w:fldChar w:fldCharType="separate"/>
      </w:r>
      <w:r>
        <w:rPr>
          <w:sz w:val="24"/>
          <w:szCs w:val="24"/>
        </w:rPr>
        <w:t>第一节  保障措施</w:t>
      </w:r>
      <w:r>
        <w:rPr>
          <w:sz w:val="24"/>
          <w:szCs w:val="24"/>
        </w:rPr>
        <w:tab/>
      </w:r>
      <w:r>
        <w:rPr>
          <w:sz w:val="24"/>
          <w:szCs w:val="24"/>
        </w:rPr>
        <w:fldChar w:fldCharType="begin"/>
      </w:r>
      <w:r>
        <w:rPr>
          <w:sz w:val="24"/>
          <w:szCs w:val="24"/>
        </w:rPr>
        <w:instrText xml:space="preserve"> PAGEREF _Toc7541 \h </w:instrText>
      </w:r>
      <w:r>
        <w:rPr>
          <w:sz w:val="24"/>
          <w:szCs w:val="24"/>
        </w:rPr>
        <w:fldChar w:fldCharType="separate"/>
      </w:r>
      <w:r>
        <w:rPr>
          <w:sz w:val="24"/>
          <w:szCs w:val="24"/>
        </w:rPr>
        <w:t>148</w:t>
      </w:r>
      <w:r>
        <w:rPr>
          <w:sz w:val="24"/>
          <w:szCs w:val="24"/>
        </w:rPr>
        <w:fldChar w:fldCharType="end"/>
      </w:r>
      <w:r>
        <w:rPr>
          <w:sz w:val="24"/>
          <w:szCs w:val="24"/>
        </w:rPr>
        <w:fldChar w:fldCharType="end"/>
      </w:r>
    </w:p>
    <w:p w14:paraId="07171254">
      <w:pPr>
        <w:pStyle w:val="63"/>
        <w:tabs>
          <w:tab w:val="right" w:leader="dot" w:pos="8788"/>
        </w:tabs>
        <w:rPr>
          <w:sz w:val="24"/>
          <w:szCs w:val="24"/>
        </w:rPr>
      </w:pPr>
      <w:r>
        <w:fldChar w:fldCharType="begin"/>
      </w:r>
      <w:r>
        <w:instrText xml:space="preserve"> HYPERLINK \l "_Toc13463" </w:instrText>
      </w:r>
      <w:r>
        <w:fldChar w:fldCharType="separate"/>
      </w:r>
      <w:r>
        <w:rPr>
          <w:sz w:val="24"/>
          <w:szCs w:val="24"/>
        </w:rPr>
        <w:t>第二节  公众参与</w:t>
      </w:r>
      <w:r>
        <w:rPr>
          <w:sz w:val="24"/>
          <w:szCs w:val="24"/>
        </w:rPr>
        <w:tab/>
      </w:r>
      <w:r>
        <w:rPr>
          <w:sz w:val="24"/>
          <w:szCs w:val="24"/>
        </w:rPr>
        <w:fldChar w:fldCharType="begin"/>
      </w:r>
      <w:r>
        <w:rPr>
          <w:sz w:val="24"/>
          <w:szCs w:val="24"/>
        </w:rPr>
        <w:instrText xml:space="preserve"> PAGEREF _Toc13463 \h </w:instrText>
      </w:r>
      <w:r>
        <w:rPr>
          <w:sz w:val="24"/>
          <w:szCs w:val="24"/>
        </w:rPr>
        <w:fldChar w:fldCharType="separate"/>
      </w:r>
      <w:r>
        <w:rPr>
          <w:sz w:val="24"/>
          <w:szCs w:val="24"/>
        </w:rPr>
        <w:t>151</w:t>
      </w:r>
      <w:r>
        <w:rPr>
          <w:sz w:val="24"/>
          <w:szCs w:val="24"/>
        </w:rPr>
        <w:fldChar w:fldCharType="end"/>
      </w:r>
      <w:r>
        <w:rPr>
          <w:sz w:val="24"/>
          <w:szCs w:val="24"/>
        </w:rPr>
        <w:fldChar w:fldCharType="end"/>
      </w:r>
    </w:p>
    <w:p w14:paraId="1B26C635">
      <w:pPr>
        <w:pStyle w:val="63"/>
        <w:tabs>
          <w:tab w:val="right" w:leader="dot" w:pos="8788"/>
        </w:tabs>
        <w:rPr>
          <w:sz w:val="24"/>
          <w:szCs w:val="24"/>
        </w:rPr>
      </w:pPr>
      <w:r>
        <w:fldChar w:fldCharType="begin"/>
      </w:r>
      <w:r>
        <w:instrText xml:space="preserve"> HYPERLINK \l "_Toc81" </w:instrText>
      </w:r>
      <w:r>
        <w:fldChar w:fldCharType="separate"/>
      </w:r>
      <w:r>
        <w:rPr>
          <w:sz w:val="24"/>
          <w:szCs w:val="24"/>
        </w:rPr>
        <w:t>第三节  效益分析</w:t>
      </w:r>
      <w:r>
        <w:rPr>
          <w:sz w:val="24"/>
          <w:szCs w:val="24"/>
        </w:rPr>
        <w:tab/>
      </w:r>
      <w:r>
        <w:rPr>
          <w:sz w:val="24"/>
          <w:szCs w:val="24"/>
        </w:rPr>
        <w:fldChar w:fldCharType="begin"/>
      </w:r>
      <w:r>
        <w:rPr>
          <w:sz w:val="24"/>
          <w:szCs w:val="24"/>
        </w:rPr>
        <w:instrText xml:space="preserve"> PAGEREF _Toc81 \h </w:instrText>
      </w:r>
      <w:r>
        <w:rPr>
          <w:sz w:val="24"/>
          <w:szCs w:val="24"/>
        </w:rPr>
        <w:fldChar w:fldCharType="separate"/>
      </w:r>
      <w:r>
        <w:rPr>
          <w:sz w:val="24"/>
          <w:szCs w:val="24"/>
        </w:rPr>
        <w:t>155</w:t>
      </w:r>
      <w:r>
        <w:rPr>
          <w:sz w:val="24"/>
          <w:szCs w:val="24"/>
        </w:rPr>
        <w:fldChar w:fldCharType="end"/>
      </w:r>
      <w:r>
        <w:rPr>
          <w:sz w:val="24"/>
          <w:szCs w:val="24"/>
        </w:rPr>
        <w:fldChar w:fldCharType="end"/>
      </w:r>
    </w:p>
    <w:p w14:paraId="398EA0BE">
      <w:pPr>
        <w:pStyle w:val="53"/>
        <w:tabs>
          <w:tab w:val="right" w:leader="dot" w:pos="8788"/>
        </w:tabs>
        <w:rPr>
          <w:sz w:val="24"/>
          <w:szCs w:val="24"/>
        </w:rPr>
      </w:pPr>
      <w:r>
        <w:fldChar w:fldCharType="begin"/>
      </w:r>
      <w:r>
        <w:instrText xml:space="preserve"> HYPERLINK \l "_Toc31791" </w:instrText>
      </w:r>
      <w:r>
        <w:fldChar w:fldCharType="separate"/>
      </w:r>
      <w:r>
        <w:rPr>
          <w:rFonts w:eastAsia="黑体"/>
          <w:bCs/>
          <w:sz w:val="24"/>
          <w:szCs w:val="24"/>
        </w:rPr>
        <w:t>第八章  结论</w:t>
      </w:r>
      <w:r>
        <w:rPr>
          <w:sz w:val="24"/>
          <w:szCs w:val="24"/>
        </w:rPr>
        <w:tab/>
      </w:r>
      <w:r>
        <w:rPr>
          <w:sz w:val="24"/>
          <w:szCs w:val="24"/>
        </w:rPr>
        <w:fldChar w:fldCharType="begin"/>
      </w:r>
      <w:r>
        <w:rPr>
          <w:sz w:val="24"/>
          <w:szCs w:val="24"/>
        </w:rPr>
        <w:instrText xml:space="preserve"> PAGEREF _Toc31791 \h </w:instrText>
      </w:r>
      <w:r>
        <w:rPr>
          <w:sz w:val="24"/>
          <w:szCs w:val="24"/>
        </w:rPr>
        <w:fldChar w:fldCharType="separate"/>
      </w:r>
      <w:r>
        <w:rPr>
          <w:sz w:val="24"/>
          <w:szCs w:val="24"/>
        </w:rPr>
        <w:t>158</w:t>
      </w:r>
      <w:r>
        <w:rPr>
          <w:sz w:val="24"/>
          <w:szCs w:val="24"/>
        </w:rPr>
        <w:fldChar w:fldCharType="end"/>
      </w:r>
      <w:r>
        <w:rPr>
          <w:sz w:val="24"/>
          <w:szCs w:val="24"/>
        </w:rPr>
        <w:fldChar w:fldCharType="end"/>
      </w:r>
    </w:p>
    <w:p w14:paraId="2FB9696C">
      <w:pPr>
        <w:spacing w:line="400" w:lineRule="exact"/>
        <w:ind w:firstLine="360" w:firstLineChars="150"/>
        <w:jc w:val="center"/>
        <w:rPr>
          <w:rFonts w:eastAsiaTheme="minorEastAsia"/>
          <w:sz w:val="24"/>
          <w:szCs w:val="24"/>
        </w:rPr>
        <w:sectPr>
          <w:headerReference r:id="rId8" w:type="first"/>
          <w:footerReference r:id="rId10" w:type="first"/>
          <w:footerReference r:id="rId9" w:type="default"/>
          <w:pgSz w:w="11907" w:h="16840"/>
          <w:pgMar w:top="1418" w:right="1418" w:bottom="1418" w:left="1701" w:header="851" w:footer="992" w:gutter="0"/>
          <w:cols w:space="720" w:num="1"/>
          <w:titlePg/>
          <w:docGrid w:linePitch="312" w:charSpace="0"/>
        </w:sectPr>
      </w:pPr>
    </w:p>
    <w:p w14:paraId="770E2A40">
      <w:pPr>
        <w:spacing w:line="400" w:lineRule="exact"/>
        <w:ind w:firstLine="360" w:firstLineChars="150"/>
        <w:jc w:val="center"/>
        <w:rPr>
          <w:b/>
          <w:sz w:val="28"/>
          <w:szCs w:val="30"/>
        </w:rPr>
      </w:pPr>
      <w:r>
        <w:rPr>
          <w:rFonts w:eastAsiaTheme="minorEastAsia"/>
          <w:sz w:val="24"/>
          <w:szCs w:val="24"/>
        </w:rPr>
        <w:fldChar w:fldCharType="end"/>
      </w:r>
      <w:r>
        <w:rPr>
          <w:b/>
          <w:sz w:val="28"/>
          <w:szCs w:val="30"/>
        </w:rPr>
        <w:t>附表目录</w:t>
      </w:r>
    </w:p>
    <w:p w14:paraId="7577C72B">
      <w:pPr>
        <w:ind w:firstLine="602"/>
        <w:contextualSpacing/>
        <w:rPr>
          <w:b/>
          <w:sz w:val="28"/>
          <w:szCs w:val="30"/>
        </w:rPr>
      </w:pPr>
    </w:p>
    <w:p w14:paraId="0F20A872">
      <w:pPr>
        <w:spacing w:line="360" w:lineRule="auto"/>
        <w:ind w:firstLine="602"/>
        <w:contextualSpacing/>
        <w:jc w:val="center"/>
        <w:rPr>
          <w:b/>
          <w:sz w:val="28"/>
          <w:szCs w:val="30"/>
        </w:rPr>
      </w:pPr>
      <w:r>
        <w:rPr>
          <w:b/>
          <w:sz w:val="28"/>
          <w:szCs w:val="30"/>
        </w:rPr>
        <w:t>附图目录</w:t>
      </w:r>
    </w:p>
    <w:p w14:paraId="72EADF93">
      <w:pPr>
        <w:spacing w:line="360" w:lineRule="auto"/>
        <w:ind w:firstLine="602"/>
        <w:contextualSpacing/>
        <w:jc w:val="center"/>
        <w:rPr>
          <w:b/>
          <w:sz w:val="28"/>
          <w:szCs w:val="30"/>
        </w:rPr>
        <w:sectPr>
          <w:footerReference r:id="rId12" w:type="first"/>
          <w:footerReference r:id="rId11" w:type="default"/>
          <w:pgSz w:w="11907" w:h="16840"/>
          <w:pgMar w:top="1418" w:right="1418" w:bottom="1418" w:left="1701" w:header="851" w:footer="992" w:gutter="0"/>
          <w:cols w:space="720" w:num="1"/>
          <w:docGrid w:linePitch="312" w:charSpace="0"/>
        </w:sectPr>
      </w:pPr>
    </w:p>
    <w:p w14:paraId="378FF327">
      <w:pPr>
        <w:spacing w:line="360" w:lineRule="auto"/>
        <w:ind w:firstLine="602"/>
        <w:contextualSpacing/>
        <w:jc w:val="center"/>
        <w:rPr>
          <w:b/>
          <w:sz w:val="28"/>
          <w:szCs w:val="30"/>
        </w:rPr>
      </w:pPr>
      <w:r>
        <w:rPr>
          <w:b/>
          <w:sz w:val="28"/>
          <w:szCs w:val="30"/>
        </w:rPr>
        <w:t>附件目录</w:t>
      </w:r>
    </w:p>
    <w:p w14:paraId="286FF69C"/>
    <w:p w14:paraId="6A549789">
      <w:pPr>
        <w:ind w:firstLine="602"/>
        <w:contextualSpacing/>
        <w:jc w:val="center"/>
        <w:rPr>
          <w:b/>
          <w:sz w:val="28"/>
          <w:szCs w:val="30"/>
        </w:rPr>
      </w:pPr>
    </w:p>
    <w:p w14:paraId="4A464CF1">
      <w:pPr>
        <w:ind w:firstLine="602"/>
        <w:contextualSpacing/>
        <w:jc w:val="center"/>
        <w:rPr>
          <w:b/>
          <w:sz w:val="30"/>
          <w:szCs w:val="30"/>
        </w:rPr>
        <w:sectPr>
          <w:footerReference r:id="rId13" w:type="default"/>
          <w:pgSz w:w="11907" w:h="16840"/>
          <w:pgMar w:top="1418" w:right="1418" w:bottom="1418" w:left="1701" w:header="851" w:footer="992" w:gutter="0"/>
          <w:cols w:space="720" w:num="1"/>
          <w:docGrid w:linePitch="312" w:charSpace="0"/>
        </w:sectPr>
      </w:pPr>
    </w:p>
    <w:bookmarkEnd w:id="2"/>
    <w:bookmarkEnd w:id="3"/>
    <w:bookmarkEnd w:id="4"/>
    <w:p w14:paraId="0602A228">
      <w:pPr>
        <w:pStyle w:val="3"/>
        <w:spacing w:line="360" w:lineRule="auto"/>
        <w:jc w:val="center"/>
        <w:rPr>
          <w:rFonts w:eastAsia="黑体"/>
          <w:bCs/>
        </w:rPr>
      </w:pPr>
      <w:bookmarkStart w:id="12" w:name="_Toc18167"/>
      <w:r>
        <w:rPr>
          <w:rFonts w:eastAsia="黑体"/>
          <w:bCs/>
        </w:rPr>
        <w:t>前  言</w:t>
      </w:r>
      <w:bookmarkEnd w:id="12"/>
    </w:p>
    <w:p w14:paraId="2E137B86">
      <w:pPr>
        <w:adjustRightInd w:val="0"/>
        <w:snapToGrid w:val="0"/>
        <w:spacing w:line="360" w:lineRule="auto"/>
        <w:ind w:firstLine="562" w:firstLineChars="200"/>
        <w:outlineLvl w:val="2"/>
      </w:pPr>
      <w:bookmarkStart w:id="13" w:name="OLE_LINK1"/>
      <w:r>
        <w:rPr>
          <w:b/>
          <w:bCs/>
          <w:sz w:val="28"/>
          <w:szCs w:val="28"/>
        </w:rPr>
        <w:t>一、编制目的</w:t>
      </w:r>
    </w:p>
    <w:p w14:paraId="3C7696DA">
      <w:pPr>
        <w:spacing w:line="360" w:lineRule="auto"/>
        <w:ind w:firstLine="562" w:firstLineChars="200"/>
        <w:rPr>
          <w:b/>
          <w:bCs/>
          <w:sz w:val="28"/>
          <w:szCs w:val="28"/>
        </w:rPr>
      </w:pPr>
      <w:r>
        <w:rPr>
          <w:b/>
          <w:bCs/>
          <w:sz w:val="28"/>
          <w:szCs w:val="28"/>
        </w:rPr>
        <w:t>（一）任务由来</w:t>
      </w:r>
    </w:p>
    <w:bookmarkEnd w:id="13"/>
    <w:p w14:paraId="2C85F480">
      <w:pPr>
        <w:spacing w:line="360" w:lineRule="auto"/>
        <w:ind w:firstLine="560" w:firstLineChars="200"/>
        <w:rPr>
          <w:sz w:val="28"/>
          <w:szCs w:val="28"/>
        </w:rPr>
      </w:pPr>
      <w:bookmarkStart w:id="14" w:name="_Toc210478038"/>
      <w:r>
        <w:rPr>
          <w:sz w:val="28"/>
          <w:szCs w:val="28"/>
        </w:rPr>
        <w:t>赤峰国富玄武岩矿</w:t>
      </w:r>
      <w:r>
        <w:rPr>
          <w:rFonts w:hint="eastAsia"/>
          <w:sz w:val="28"/>
          <w:szCs w:val="28"/>
        </w:rPr>
        <w:t>，现为停产矿山，</w:t>
      </w:r>
      <w:bookmarkStart w:id="15" w:name="_Hlk239009891"/>
      <w:r>
        <w:rPr>
          <w:sz w:val="28"/>
          <w:szCs w:val="28"/>
        </w:rPr>
        <w:t>持有采矿许可证为202</w:t>
      </w:r>
      <w:r>
        <w:rPr>
          <w:rFonts w:hint="eastAsia"/>
          <w:sz w:val="28"/>
          <w:szCs w:val="28"/>
        </w:rPr>
        <w:t>2</w:t>
      </w:r>
      <w:r>
        <w:rPr>
          <w:sz w:val="28"/>
          <w:szCs w:val="28"/>
        </w:rPr>
        <w:t>年</w:t>
      </w:r>
      <w:r>
        <w:rPr>
          <w:rFonts w:hint="eastAsia"/>
          <w:sz w:val="28"/>
          <w:szCs w:val="28"/>
        </w:rPr>
        <w:t>5</w:t>
      </w:r>
      <w:r>
        <w:rPr>
          <w:sz w:val="28"/>
          <w:szCs w:val="28"/>
        </w:rPr>
        <w:t>月取得，采矿证号</w:t>
      </w:r>
      <w:r>
        <w:rPr>
          <w:rFonts w:hint="eastAsia" w:ascii="宋体" w:hAnsi="宋体" w:cs="宋体"/>
          <w:spacing w:val="13"/>
          <w:sz w:val="32"/>
          <w:szCs w:val="32"/>
        </w:rPr>
        <w:t>***</w:t>
      </w:r>
      <w:r>
        <w:rPr>
          <w:sz w:val="28"/>
          <w:szCs w:val="28"/>
        </w:rPr>
        <w:t>，</w:t>
      </w:r>
      <w:r>
        <w:rPr>
          <w:rFonts w:hint="eastAsia"/>
          <w:sz w:val="28"/>
          <w:szCs w:val="28"/>
        </w:rPr>
        <w:t>生产规模为</w:t>
      </w:r>
      <w:r>
        <w:rPr>
          <w:rFonts w:hint="eastAsia" w:ascii="宋体" w:hAnsi="宋体" w:cs="宋体"/>
          <w:spacing w:val="13"/>
          <w:sz w:val="32"/>
          <w:szCs w:val="32"/>
        </w:rPr>
        <w:t>***</w:t>
      </w:r>
      <w:r>
        <w:rPr>
          <w:rFonts w:hint="eastAsia"/>
          <w:sz w:val="28"/>
          <w:szCs w:val="28"/>
        </w:rPr>
        <w:t>万吨/年；矿区面积:</w:t>
      </w:r>
      <w:r>
        <w:rPr>
          <w:rFonts w:hint="eastAsia" w:ascii="宋体" w:hAnsi="宋体" w:cs="宋体"/>
          <w:spacing w:val="13"/>
          <w:sz w:val="32"/>
          <w:szCs w:val="32"/>
        </w:rPr>
        <w:t>***</w:t>
      </w:r>
      <w:r>
        <w:rPr>
          <w:rFonts w:hint="eastAsia"/>
          <w:sz w:val="28"/>
          <w:szCs w:val="28"/>
        </w:rPr>
        <w:t>km</w:t>
      </w:r>
      <w:r>
        <w:rPr>
          <w:rFonts w:hint="eastAsia"/>
          <w:sz w:val="28"/>
          <w:szCs w:val="28"/>
          <w:vertAlign w:val="superscript"/>
        </w:rPr>
        <w:t>2</w:t>
      </w:r>
      <w:r>
        <w:rPr>
          <w:rFonts w:hint="eastAsia"/>
          <w:sz w:val="28"/>
          <w:szCs w:val="28"/>
        </w:rPr>
        <w:t>，有效期2022年5月22日至2025年5月21日，现采矿权已过有效期限，需办理采矿权延续手续。</w:t>
      </w:r>
      <w:bookmarkEnd w:id="15"/>
    </w:p>
    <w:p w14:paraId="2A019B08">
      <w:pPr>
        <w:spacing w:line="360" w:lineRule="auto"/>
        <w:ind w:firstLine="560" w:firstLineChars="200"/>
        <w:rPr>
          <w:sz w:val="28"/>
          <w:szCs w:val="28"/>
        </w:rPr>
      </w:pPr>
      <w:r>
        <w:rPr>
          <w:rFonts w:hint="eastAsia"/>
          <w:sz w:val="28"/>
          <w:szCs w:val="28"/>
        </w:rPr>
        <w:t>采矿权人于</w:t>
      </w:r>
      <w:r>
        <w:rPr>
          <w:sz w:val="28"/>
          <w:szCs w:val="28"/>
        </w:rPr>
        <w:t>2017年6月</w:t>
      </w:r>
      <w:r>
        <w:rPr>
          <w:rFonts w:hint="eastAsia"/>
          <w:sz w:val="28"/>
          <w:szCs w:val="28"/>
        </w:rPr>
        <w:t>提交了</w:t>
      </w:r>
      <w:r>
        <w:rPr>
          <w:sz w:val="28"/>
          <w:szCs w:val="28"/>
        </w:rPr>
        <w:t>《内蒙古自治区赤峰市松山区（赤峰国富玄武岩矿）矿山地质环境治理方案》</w:t>
      </w:r>
      <w:r>
        <w:rPr>
          <w:rFonts w:hint="eastAsia"/>
          <w:sz w:val="28"/>
          <w:szCs w:val="28"/>
        </w:rPr>
        <w:t>（</w:t>
      </w:r>
      <w:r>
        <w:rPr>
          <w:sz w:val="28"/>
          <w:szCs w:val="28"/>
        </w:rPr>
        <w:t>赤矿治字[2017]030号</w:t>
      </w:r>
      <w:r>
        <w:rPr>
          <w:rFonts w:hint="eastAsia"/>
          <w:sz w:val="28"/>
          <w:szCs w:val="28"/>
        </w:rPr>
        <w:t>），方案服务年限为2017年8月1日～2027年7月31日，该方案的近期适用年限为2017年8月1日～2020年7月31日，该方案已过适用期。</w:t>
      </w:r>
    </w:p>
    <w:p w14:paraId="1AA55527">
      <w:pPr>
        <w:spacing w:line="360" w:lineRule="auto"/>
        <w:ind w:firstLine="560" w:firstLineChars="200"/>
        <w:rPr>
          <w:sz w:val="28"/>
          <w:szCs w:val="28"/>
        </w:rPr>
      </w:pPr>
      <w:r>
        <w:rPr>
          <w:rFonts w:hint="eastAsia"/>
          <w:sz w:val="28"/>
          <w:szCs w:val="28"/>
        </w:rPr>
        <w:t>2025年1月采矿权人提交了《内蒙古自治区赤峰市松山区赤峰国富建筑用玄武岩矿资源储量核实报告》（赤自然资松储备字〔2025〕001号），核实工作查明</w:t>
      </w:r>
      <w:r>
        <w:rPr>
          <w:sz w:val="28"/>
          <w:szCs w:val="28"/>
        </w:rPr>
        <w:t>截止20</w:t>
      </w:r>
      <w:r>
        <w:rPr>
          <w:rFonts w:hint="eastAsia"/>
          <w:sz w:val="28"/>
          <w:szCs w:val="28"/>
        </w:rPr>
        <w:t>24</w:t>
      </w:r>
      <w:r>
        <w:rPr>
          <w:sz w:val="28"/>
          <w:szCs w:val="28"/>
        </w:rPr>
        <w:t>年</w:t>
      </w:r>
      <w:r>
        <w:rPr>
          <w:rFonts w:hint="eastAsia"/>
          <w:sz w:val="28"/>
          <w:szCs w:val="28"/>
        </w:rPr>
        <w:t>10</w:t>
      </w:r>
      <w:r>
        <w:rPr>
          <w:sz w:val="28"/>
          <w:szCs w:val="28"/>
        </w:rPr>
        <w:t>月</w:t>
      </w:r>
      <w:r>
        <w:rPr>
          <w:rFonts w:hint="eastAsia"/>
          <w:sz w:val="28"/>
          <w:szCs w:val="28"/>
        </w:rPr>
        <w:t>31</w:t>
      </w:r>
      <w:r>
        <w:rPr>
          <w:sz w:val="28"/>
          <w:szCs w:val="28"/>
        </w:rPr>
        <w:t>日</w:t>
      </w:r>
      <w:r>
        <w:rPr>
          <w:rFonts w:hint="eastAsia"/>
          <w:sz w:val="28"/>
          <w:szCs w:val="28"/>
        </w:rPr>
        <w:t>保有资源量（TM）</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t)，全部为保有探明资源量（TM）</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t)。</w:t>
      </w:r>
    </w:p>
    <w:p w14:paraId="53C08B70">
      <w:pPr>
        <w:spacing w:line="360" w:lineRule="auto"/>
        <w:ind w:firstLine="560" w:firstLineChars="200"/>
        <w:rPr>
          <w:sz w:val="28"/>
          <w:szCs w:val="28"/>
        </w:rPr>
      </w:pPr>
      <w:r>
        <w:rPr>
          <w:rFonts w:hint="eastAsia"/>
          <w:sz w:val="28"/>
          <w:szCs w:val="28"/>
        </w:rPr>
        <w:t>矿区内</w:t>
      </w:r>
      <w:r>
        <w:rPr>
          <w:sz w:val="28"/>
          <w:szCs w:val="28"/>
        </w:rPr>
        <w:t>可采</w:t>
      </w:r>
      <w:r>
        <w:rPr>
          <w:rFonts w:hint="eastAsia"/>
          <w:sz w:val="28"/>
          <w:szCs w:val="28"/>
        </w:rPr>
        <w:t>（可利用的）保有资源量（TM）</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t），开采回采率为</w:t>
      </w:r>
      <w:r>
        <w:rPr>
          <w:rFonts w:hint="eastAsia" w:ascii="宋体" w:hAnsi="宋体" w:cs="宋体"/>
          <w:spacing w:val="13"/>
          <w:sz w:val="32"/>
          <w:szCs w:val="32"/>
        </w:rPr>
        <w:t>***</w:t>
      </w:r>
      <w:r>
        <w:rPr>
          <w:rFonts w:hint="eastAsia"/>
          <w:sz w:val="28"/>
          <w:szCs w:val="28"/>
        </w:rPr>
        <w:t>%，</w:t>
      </w:r>
      <w:r>
        <w:rPr>
          <w:bCs/>
          <w:sz w:val="28"/>
          <w:szCs w:val="28"/>
        </w:rPr>
        <w:t>年生产能力，</w:t>
      </w:r>
      <w:r>
        <w:rPr>
          <w:rFonts w:hint="eastAsia" w:ascii="宋体" w:hAnsi="宋体" w:cs="宋体"/>
          <w:spacing w:val="13"/>
          <w:sz w:val="32"/>
          <w:szCs w:val="32"/>
        </w:rPr>
        <w:t>***</w:t>
      </w:r>
      <w:r>
        <w:rPr>
          <w:rFonts w:hint="eastAsia"/>
          <w:sz w:val="28"/>
          <w:szCs w:val="28"/>
        </w:rPr>
        <w:t>m</w:t>
      </w:r>
      <w:r>
        <w:rPr>
          <w:sz w:val="28"/>
          <w:szCs w:val="28"/>
          <w:vertAlign w:val="superscript"/>
        </w:rPr>
        <w:t>3</w:t>
      </w:r>
      <w:r>
        <w:rPr>
          <w:rFonts w:hint="eastAsia"/>
          <w:bCs/>
          <w:sz w:val="28"/>
          <w:szCs w:val="28"/>
        </w:rPr>
        <w:t>/a</w:t>
      </w:r>
      <w:r>
        <w:rPr>
          <w:bCs/>
          <w:sz w:val="28"/>
          <w:szCs w:val="28"/>
        </w:rPr>
        <w:t>；</w:t>
      </w:r>
      <w:r>
        <w:rPr>
          <w:rFonts w:hint="eastAsia"/>
          <w:bCs/>
          <w:sz w:val="28"/>
          <w:szCs w:val="28"/>
        </w:rPr>
        <w:t>经计算，矿山剩余服务年限为</w:t>
      </w:r>
      <w:r>
        <w:rPr>
          <w:rFonts w:hint="eastAsia" w:ascii="宋体" w:hAnsi="宋体" w:cs="宋体"/>
          <w:spacing w:val="13"/>
          <w:sz w:val="32"/>
          <w:szCs w:val="32"/>
        </w:rPr>
        <w:t>***</w:t>
      </w:r>
      <w:r>
        <w:rPr>
          <w:rFonts w:hint="eastAsia"/>
          <w:bCs/>
          <w:sz w:val="28"/>
          <w:szCs w:val="28"/>
        </w:rPr>
        <w:t>年。拟申请采矿许可证延续时间为</w:t>
      </w:r>
      <w:r>
        <w:rPr>
          <w:rFonts w:hint="eastAsia" w:ascii="宋体" w:hAnsi="宋体" w:cs="宋体"/>
          <w:spacing w:val="13"/>
          <w:sz w:val="32"/>
          <w:szCs w:val="32"/>
        </w:rPr>
        <w:t>***</w:t>
      </w:r>
      <w:r>
        <w:rPr>
          <w:rFonts w:hint="eastAsia"/>
          <w:bCs/>
          <w:sz w:val="28"/>
          <w:szCs w:val="28"/>
        </w:rPr>
        <w:t>年，根据</w:t>
      </w:r>
      <w:r>
        <w:rPr>
          <w:sz w:val="28"/>
          <w:szCs w:val="28"/>
        </w:rPr>
        <w:t>《自然资源部办公厅关于做好&lt;矿产资源法&gt;实施过渡期内矿区生态修复方案编制评审有关工作的通知》（自然资办函</w:t>
      </w:r>
      <w:r>
        <w:rPr>
          <w:rFonts w:hint="eastAsia"/>
          <w:sz w:val="28"/>
          <w:szCs w:val="28"/>
        </w:rPr>
        <w:t>〔2025〕</w:t>
      </w:r>
      <w:r>
        <w:rPr>
          <w:sz w:val="28"/>
          <w:szCs w:val="28"/>
        </w:rPr>
        <w:t>2043号）</w:t>
      </w:r>
      <w:r>
        <w:rPr>
          <w:rFonts w:hint="eastAsia"/>
          <w:sz w:val="28"/>
          <w:szCs w:val="28"/>
        </w:rPr>
        <w:t>，“原矿山地质环境保护与土地复垦方案超过五年适用期的、原矿山地质环境保护与土地复垦方案服务年限中剩余矿山服务年限小于拟申请采矿许可证延续时间的，采矿权人应当重新编制矿区生态修复方案”。因此，本方案编制情形为“重新编制”。</w:t>
      </w:r>
    </w:p>
    <w:p w14:paraId="1CB23276">
      <w:pPr>
        <w:spacing w:line="360" w:lineRule="auto"/>
        <w:ind w:firstLine="560" w:firstLineChars="200"/>
        <w:rPr>
          <w:sz w:val="28"/>
          <w:szCs w:val="28"/>
        </w:rPr>
      </w:pPr>
      <w:r>
        <w:rPr>
          <w:sz w:val="28"/>
          <w:szCs w:val="28"/>
        </w:rPr>
        <w:t>为保护矿山地质环境和生态环境，促进矿产资源合理开发，提高矿产资源利用效率，避免和减少矿产资源开采活动中对矿区地质环境、土地及生态环境的破坏，实现矿产资源开发与地质环境保护、生态环境协调发展，依据《中华人民共和国矿产资源法》（2024年修订）、《土地复垦条例》（国务院令第592号）等相关法律法规。2026年</w:t>
      </w:r>
      <w:r>
        <w:rPr>
          <w:rFonts w:hint="eastAsia"/>
          <w:sz w:val="28"/>
          <w:szCs w:val="28"/>
        </w:rPr>
        <w:t>8</w:t>
      </w:r>
      <w:r>
        <w:rPr>
          <w:sz w:val="28"/>
          <w:szCs w:val="28"/>
        </w:rPr>
        <w:t>月，赤峰国富玄武岩矿委托</w:t>
      </w:r>
      <w:r>
        <w:rPr>
          <w:rFonts w:hint="eastAsia"/>
          <w:sz w:val="28"/>
          <w:szCs w:val="28"/>
        </w:rPr>
        <w:t>内蒙域晟矿安技术服务有限责任公司</w:t>
      </w:r>
      <w:r>
        <w:rPr>
          <w:sz w:val="28"/>
          <w:szCs w:val="28"/>
        </w:rPr>
        <w:t>承担《赤峰国富玄武岩矿矿区生态修复方案》的编制工作，以下简称《矿区</w:t>
      </w:r>
      <w:r>
        <w:rPr>
          <w:kern w:val="0"/>
          <w:sz w:val="28"/>
          <w:szCs w:val="28"/>
        </w:rPr>
        <w:t>生态修复方案</w:t>
      </w:r>
      <w:r>
        <w:rPr>
          <w:sz w:val="28"/>
          <w:szCs w:val="28"/>
        </w:rPr>
        <w:t>》。</w:t>
      </w:r>
    </w:p>
    <w:p w14:paraId="7B46AC7C">
      <w:pPr>
        <w:spacing w:line="360" w:lineRule="auto"/>
        <w:ind w:firstLine="560" w:firstLineChars="200"/>
        <w:rPr>
          <w:sz w:val="28"/>
          <w:szCs w:val="28"/>
        </w:rPr>
      </w:pPr>
      <w:r>
        <w:rPr>
          <w:sz w:val="28"/>
          <w:szCs w:val="28"/>
        </w:rPr>
        <w:t>本方案仅作实施保护、监测及生态修复的技术依据之一，不代替相关工程勘查、治理设计。</w:t>
      </w:r>
    </w:p>
    <w:p w14:paraId="61540628">
      <w:pPr>
        <w:spacing w:line="360" w:lineRule="auto"/>
        <w:ind w:firstLine="562" w:firstLineChars="200"/>
        <w:rPr>
          <w:sz w:val="28"/>
          <w:szCs w:val="28"/>
        </w:rPr>
      </w:pPr>
      <w:r>
        <w:rPr>
          <w:b/>
          <w:bCs/>
          <w:sz w:val="28"/>
          <w:szCs w:val="28"/>
        </w:rPr>
        <w:t>（二）上阶段方案落实情况</w:t>
      </w:r>
    </w:p>
    <w:p w14:paraId="6F7D2922">
      <w:pPr>
        <w:spacing w:line="360" w:lineRule="auto"/>
        <w:ind w:firstLine="560" w:firstLineChars="200"/>
        <w:rPr>
          <w:sz w:val="28"/>
          <w:szCs w:val="28"/>
        </w:rPr>
      </w:pPr>
      <w:r>
        <w:rPr>
          <w:rFonts w:hint="eastAsia"/>
          <w:sz w:val="28"/>
          <w:szCs w:val="28"/>
        </w:rPr>
        <w:t>1、上期方案的编制情况</w:t>
      </w:r>
    </w:p>
    <w:p w14:paraId="2FA0002D">
      <w:pPr>
        <w:spacing w:line="360" w:lineRule="auto"/>
        <w:ind w:firstLine="560" w:firstLineChars="200"/>
        <w:rPr>
          <w:sz w:val="28"/>
          <w:szCs w:val="28"/>
        </w:rPr>
      </w:pPr>
      <w:r>
        <w:rPr>
          <w:sz w:val="28"/>
          <w:szCs w:val="28"/>
        </w:rPr>
        <w:t>2017年6月由内蒙古龙旺地质勘查有限责任公司编制了《内蒙古自治区赤峰市松山区（赤峰国富玄武岩矿）矿山地质环境治理方案》（赤矿治字[2017]030号）（下称《原治理方案》），该方案适用年限为</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w:t>
      </w:r>
      <w:r>
        <w:rPr>
          <w:rFonts w:hint="eastAsia" w:ascii="宋体" w:hAnsi="宋体" w:cs="宋体"/>
          <w:spacing w:val="13"/>
          <w:sz w:val="32"/>
          <w:szCs w:val="32"/>
        </w:rPr>
        <w:t>***</w:t>
      </w:r>
      <w:r>
        <w:rPr>
          <w:rFonts w:hint="eastAsia"/>
          <w:sz w:val="28"/>
          <w:szCs w:val="28"/>
        </w:rPr>
        <w:t>日～</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w:t>
      </w:r>
      <w:r>
        <w:rPr>
          <w:rFonts w:hint="eastAsia" w:ascii="宋体" w:hAnsi="宋体" w:cs="宋体"/>
          <w:spacing w:val="13"/>
          <w:sz w:val="32"/>
          <w:szCs w:val="32"/>
        </w:rPr>
        <w:t>***</w:t>
      </w:r>
      <w:r>
        <w:rPr>
          <w:rFonts w:hint="eastAsia"/>
          <w:sz w:val="28"/>
          <w:szCs w:val="28"/>
        </w:rPr>
        <w:t>日</w:t>
      </w:r>
      <w:r>
        <w:rPr>
          <w:sz w:val="28"/>
          <w:szCs w:val="28"/>
        </w:rPr>
        <w:t>。</w:t>
      </w:r>
    </w:p>
    <w:p w14:paraId="28339DE2">
      <w:pPr>
        <w:spacing w:line="360" w:lineRule="auto"/>
        <w:ind w:firstLine="560" w:firstLineChars="200"/>
        <w:rPr>
          <w:sz w:val="28"/>
          <w:szCs w:val="28"/>
        </w:rPr>
      </w:pPr>
      <w:r>
        <w:rPr>
          <w:rFonts w:hint="eastAsia"/>
          <w:sz w:val="28"/>
          <w:szCs w:val="28"/>
        </w:rPr>
        <w:t>2、上期方案的落实情况</w:t>
      </w:r>
    </w:p>
    <w:p w14:paraId="5F3CB147">
      <w:pPr>
        <w:spacing w:line="360" w:lineRule="auto"/>
        <w:ind w:firstLine="560" w:firstLineChars="200"/>
        <w:rPr>
          <w:sz w:val="28"/>
          <w:szCs w:val="28"/>
        </w:rPr>
      </w:pPr>
      <w:r>
        <w:rPr>
          <w:sz w:val="28"/>
          <w:szCs w:val="28"/>
        </w:rPr>
        <w:t>对于《原治理方案》设计治理内容，</w:t>
      </w:r>
      <w:r>
        <w:rPr>
          <w:rFonts w:hint="eastAsia"/>
          <w:sz w:val="28"/>
          <w:szCs w:val="28"/>
        </w:rPr>
        <w:t>方案适用年限（近期）设计工作量已分解至《分期治理方案》以及各年度治理计划任务，通过现场调查情况，矿山完成了</w:t>
      </w:r>
      <w:r>
        <w:rPr>
          <w:sz w:val="28"/>
          <w:szCs w:val="28"/>
        </w:rPr>
        <w:t>矿山基本完成民采坑1、2、3回填、民采渣堆1、2、3及废石堆堆1、2的清运工程</w:t>
      </w:r>
      <w:r>
        <w:rPr>
          <w:rFonts w:hint="eastAsia"/>
          <w:sz w:val="28"/>
          <w:szCs w:val="28"/>
        </w:rPr>
        <w:t>，通过年度治理计划完成了</w:t>
      </w:r>
      <w:r>
        <w:rPr>
          <w:sz w:val="28"/>
          <w:szCs w:val="28"/>
        </w:rPr>
        <w:t>对南侧民采露天采坑进行了回填，对废石堆进行了清运</w:t>
      </w:r>
      <w:r>
        <w:rPr>
          <w:rFonts w:hint="eastAsia"/>
          <w:sz w:val="28"/>
          <w:szCs w:val="28"/>
        </w:rPr>
        <w:t>，</w:t>
      </w:r>
      <w:r>
        <w:rPr>
          <w:sz w:val="28"/>
          <w:szCs w:val="28"/>
        </w:rPr>
        <w:t>利用废石对露天采场超采场地进行了垫坡整形，</w:t>
      </w:r>
      <w:r>
        <w:rPr>
          <w:rFonts w:hint="eastAsia"/>
          <w:sz w:val="28"/>
          <w:szCs w:val="28"/>
        </w:rPr>
        <w:t>矿区西侧原国富加工场场地内废弃建筑物两处，本次对废弃建筑物进行拆除，然后对其场地进行复垦。基本完成了</w:t>
      </w:r>
      <w:r>
        <w:rPr>
          <w:sz w:val="28"/>
          <w:szCs w:val="28"/>
        </w:rPr>
        <w:t>《原治理方案》</w:t>
      </w:r>
      <w:r>
        <w:rPr>
          <w:rFonts w:hint="eastAsia"/>
          <w:sz w:val="28"/>
          <w:szCs w:val="28"/>
        </w:rPr>
        <w:t>近期设计的治理内容。</w:t>
      </w:r>
      <w:r>
        <w:rPr>
          <w:sz w:val="28"/>
          <w:szCs w:val="28"/>
        </w:rPr>
        <w:t>矿山前期投入大量治理工程，可治理区基本已完成治理</w:t>
      </w:r>
      <w:r>
        <w:rPr>
          <w:rFonts w:hint="eastAsia"/>
          <w:sz w:val="28"/>
          <w:szCs w:val="28"/>
        </w:rPr>
        <w:t>。</w:t>
      </w:r>
    </w:p>
    <w:p w14:paraId="3669EA41">
      <w:pPr>
        <w:spacing w:line="360" w:lineRule="auto"/>
        <w:ind w:firstLine="560" w:firstLineChars="200"/>
        <w:rPr>
          <w:sz w:val="28"/>
          <w:szCs w:val="28"/>
        </w:rPr>
      </w:pPr>
      <w:r>
        <w:rPr>
          <w:rFonts w:hint="eastAsia"/>
          <w:sz w:val="28"/>
          <w:szCs w:val="28"/>
        </w:rPr>
        <w:t>3、存在的问题</w:t>
      </w:r>
    </w:p>
    <w:p w14:paraId="184C83F3">
      <w:pPr>
        <w:spacing w:line="360" w:lineRule="auto"/>
        <w:ind w:firstLine="560" w:firstLineChars="200"/>
        <w:rPr>
          <w:sz w:val="28"/>
          <w:szCs w:val="28"/>
        </w:rPr>
      </w:pPr>
      <w:r>
        <w:rPr>
          <w:rFonts w:hint="eastAsia"/>
          <w:sz w:val="28"/>
          <w:szCs w:val="28"/>
        </w:rPr>
        <w:t>依据本次实地调查结果，</w:t>
      </w:r>
      <w:r>
        <w:rPr>
          <w:sz w:val="28"/>
          <w:szCs w:val="28"/>
        </w:rPr>
        <w:t>部分区域整平效果较差，覆土工程不到位，民采渣堆4的边坡规整取直形态欠缺，重点是露天采场垫坡回填不到位，效果较差，其植被恢复也没达到设计要求</w:t>
      </w:r>
    </w:p>
    <w:p w14:paraId="4A6ECDEE">
      <w:pPr>
        <w:spacing w:line="360" w:lineRule="auto"/>
        <w:ind w:firstLine="560" w:firstLineChars="200"/>
        <w:rPr>
          <w:sz w:val="28"/>
          <w:szCs w:val="28"/>
        </w:rPr>
      </w:pPr>
      <w:r>
        <w:rPr>
          <w:rFonts w:hint="eastAsia"/>
          <w:sz w:val="28"/>
          <w:szCs w:val="28"/>
        </w:rPr>
        <w:t>4、取得的经验</w:t>
      </w:r>
    </w:p>
    <w:p w14:paraId="17DEF656">
      <w:pPr>
        <w:spacing w:line="360" w:lineRule="auto"/>
        <w:ind w:firstLine="560" w:firstLineChars="200"/>
        <w:rPr>
          <w:sz w:val="28"/>
          <w:szCs w:val="28"/>
        </w:rPr>
      </w:pPr>
      <w:r>
        <w:rPr>
          <w:rFonts w:hint="eastAsia"/>
          <w:sz w:val="28"/>
          <w:szCs w:val="28"/>
        </w:rPr>
        <w:t>针对本次调查结论，上期矿山地质环境保护与土地复垦方案设计监测内容，有效避免不稳定地质体对人员造成损伤形成安全生产事故，目前该矿山未发生相关情况，但监测措施、手段陈旧，本方案重新设计监测工程。</w:t>
      </w:r>
    </w:p>
    <w:p w14:paraId="5F9CF0AC">
      <w:pPr>
        <w:spacing w:line="360" w:lineRule="auto"/>
        <w:ind w:firstLine="562" w:firstLineChars="200"/>
        <w:rPr>
          <w:b/>
          <w:bCs/>
          <w:sz w:val="28"/>
          <w:szCs w:val="28"/>
        </w:rPr>
      </w:pPr>
      <w:r>
        <w:rPr>
          <w:b/>
          <w:bCs/>
          <w:sz w:val="28"/>
          <w:szCs w:val="28"/>
        </w:rPr>
        <w:t>（三）编制目的</w:t>
      </w:r>
    </w:p>
    <w:p w14:paraId="22C9CF80">
      <w:pPr>
        <w:spacing w:line="360" w:lineRule="auto"/>
        <w:ind w:firstLine="560" w:firstLineChars="200"/>
        <w:rPr>
          <w:sz w:val="28"/>
          <w:szCs w:val="28"/>
        </w:rPr>
      </w:pPr>
      <w:r>
        <w:rPr>
          <w:sz w:val="28"/>
          <w:szCs w:val="28"/>
        </w:rPr>
        <w:t>为保护与合理利用土地资源、系统修复矿区生态环境、全面防范地质灾害风险、保障矿区生产建设安全，统筹推进地貌重塑、土壤重构、植被重建及景观营造，实现矿区及其周边生态、经济、社会与合规效益协同统一，特编制本《生态修复方案》，作为矿山生态修复工作的指导性文本，也是办理、延续采矿许可证的基础依据。</w:t>
      </w:r>
    </w:p>
    <w:p w14:paraId="332A333F">
      <w:pPr>
        <w:spacing w:line="360" w:lineRule="auto"/>
        <w:ind w:firstLine="560" w:firstLineChars="200"/>
        <w:rPr>
          <w:sz w:val="28"/>
          <w:szCs w:val="28"/>
        </w:rPr>
      </w:pPr>
      <w:r>
        <w:rPr>
          <w:sz w:val="28"/>
          <w:szCs w:val="28"/>
        </w:rPr>
        <w:t>主要任务为：</w:t>
      </w:r>
    </w:p>
    <w:p w14:paraId="74FCD83E">
      <w:pPr>
        <w:spacing w:line="360" w:lineRule="auto"/>
        <w:ind w:firstLine="560" w:firstLineChars="200"/>
        <w:rPr>
          <w:sz w:val="28"/>
          <w:szCs w:val="28"/>
        </w:rPr>
      </w:pPr>
      <w:r>
        <w:rPr>
          <w:sz w:val="28"/>
          <w:szCs w:val="28"/>
        </w:rPr>
        <w:t>1、通过收集资料与野外调查，实地开展矿山地质环境、土地资源、生态问题等调查，查明矿山概况、矿区地质环境条件、土地资源利用现状、生态本底状况及生态功能定位；</w:t>
      </w:r>
    </w:p>
    <w:p w14:paraId="2300B2FE">
      <w:pPr>
        <w:spacing w:line="360" w:lineRule="auto"/>
        <w:ind w:firstLine="560" w:firstLineChars="200"/>
        <w:rPr>
          <w:sz w:val="28"/>
          <w:szCs w:val="28"/>
        </w:rPr>
      </w:pPr>
      <w:r>
        <w:rPr>
          <w:sz w:val="28"/>
          <w:szCs w:val="28"/>
        </w:rPr>
        <w:t>2、查明矿区地质环境问题，土地损毁情况，生态受损与退化等问题，矿山开采后可能产生的地质环境影响，土地损毁，生态问题，分析研究主要地质环境问题的分布规律、形成机理及影响因素，论述土地损毁环节与时序；论述植被损毁、生物多样性丧失、地表水系、土壤和地下水污染等问题，根据调查情况、矿山开采方案、采矿地质环境条件对采矿权范围及采矿活动问题识别诊断；</w:t>
      </w:r>
    </w:p>
    <w:p w14:paraId="6CDF8679">
      <w:pPr>
        <w:spacing w:line="360" w:lineRule="auto"/>
        <w:ind w:firstLine="560" w:firstLineChars="200"/>
        <w:rPr>
          <w:sz w:val="28"/>
          <w:szCs w:val="28"/>
        </w:rPr>
      </w:pPr>
      <w:r>
        <w:rPr>
          <w:sz w:val="28"/>
          <w:szCs w:val="28"/>
        </w:rPr>
        <w:t>3、在现状和预测问题分析，综合诊断评价的基础上，进行分区和确定土地生态修复区与生态修复责任范围；</w:t>
      </w:r>
    </w:p>
    <w:p w14:paraId="5636C5BE">
      <w:pPr>
        <w:spacing w:line="360" w:lineRule="auto"/>
        <w:ind w:firstLine="560" w:firstLineChars="200"/>
        <w:rPr>
          <w:sz w:val="28"/>
          <w:szCs w:val="28"/>
        </w:rPr>
      </w:pPr>
      <w:r>
        <w:rPr>
          <w:sz w:val="28"/>
          <w:szCs w:val="28"/>
        </w:rPr>
        <w:t>4、从地质环境治理、复垦修复、生态恢复力等方面进行矿区生态修复可行性进行分析；</w:t>
      </w:r>
    </w:p>
    <w:p w14:paraId="0E4CF88C">
      <w:pPr>
        <w:spacing w:line="360" w:lineRule="auto"/>
        <w:ind w:firstLine="560" w:firstLineChars="200"/>
        <w:rPr>
          <w:sz w:val="28"/>
          <w:szCs w:val="28"/>
        </w:rPr>
      </w:pPr>
      <w:r>
        <w:rPr>
          <w:sz w:val="28"/>
          <w:szCs w:val="28"/>
        </w:rPr>
        <w:t>5、提出矿区生态修复技术措施，矿山地质环境监测、土地复垦监测、生态系统监测和管护方案，明确各项工作的目标任务；</w:t>
      </w:r>
    </w:p>
    <w:p w14:paraId="39E7C344">
      <w:pPr>
        <w:spacing w:line="360" w:lineRule="auto"/>
        <w:ind w:firstLine="560" w:firstLineChars="200"/>
        <w:rPr>
          <w:sz w:val="28"/>
          <w:szCs w:val="28"/>
        </w:rPr>
      </w:pPr>
      <w:r>
        <w:rPr>
          <w:sz w:val="28"/>
          <w:szCs w:val="28"/>
        </w:rPr>
        <w:t>6、对矿区生态修复工作分阶段进行工作部署，并明确阶段工作安排情况；</w:t>
      </w:r>
    </w:p>
    <w:p w14:paraId="0B3AC838">
      <w:pPr>
        <w:spacing w:line="360" w:lineRule="auto"/>
        <w:ind w:firstLine="560" w:firstLineChars="200"/>
        <w:rPr>
          <w:sz w:val="28"/>
          <w:szCs w:val="28"/>
        </w:rPr>
      </w:pPr>
      <w:r>
        <w:rPr>
          <w:sz w:val="28"/>
          <w:szCs w:val="28"/>
        </w:rPr>
        <w:t>7、进行矿区生态修复的经费估算，提出生态修复的保障措施。</w:t>
      </w:r>
    </w:p>
    <w:p w14:paraId="691FCEE1">
      <w:pPr>
        <w:spacing w:line="360" w:lineRule="auto"/>
        <w:ind w:firstLine="562" w:firstLineChars="200"/>
        <w:rPr>
          <w:b/>
          <w:bCs/>
          <w:sz w:val="28"/>
          <w:szCs w:val="28"/>
        </w:rPr>
      </w:pPr>
      <w:r>
        <w:rPr>
          <w:b/>
          <w:bCs/>
          <w:sz w:val="28"/>
          <w:szCs w:val="28"/>
        </w:rPr>
        <w:t>（四）编制工作概况</w:t>
      </w:r>
    </w:p>
    <w:p w14:paraId="045072F8">
      <w:pPr>
        <w:spacing w:line="360" w:lineRule="auto"/>
        <w:ind w:firstLine="560" w:firstLineChars="200"/>
        <w:rPr>
          <w:sz w:val="28"/>
          <w:szCs w:val="28"/>
        </w:rPr>
      </w:pPr>
      <w:r>
        <w:rPr>
          <w:sz w:val="28"/>
          <w:szCs w:val="28"/>
        </w:rPr>
        <w:t>1、工作程序</w:t>
      </w:r>
    </w:p>
    <w:p w14:paraId="1D5756C8">
      <w:pPr>
        <w:spacing w:line="360" w:lineRule="auto"/>
        <w:ind w:firstLine="560" w:firstLineChars="200"/>
        <w:rPr>
          <w:sz w:val="28"/>
          <w:szCs w:val="28"/>
        </w:rPr>
      </w:pPr>
      <w:r>
        <w:rPr>
          <w:sz w:val="28"/>
          <w:szCs w:val="28"/>
        </w:rPr>
        <w:t>本次矿区生态修复方案的编写工作严格按照《矿区生态修复方案编制指南（临时）》规定的程序进行（见图0-1）。工作流程为：接受委托→成立项目组→收集资料→开展野外调查→资料汇总、综合研究→编制方案。</w:t>
      </w:r>
    </w:p>
    <w:p w14:paraId="3AA90375">
      <w:pPr>
        <w:jc w:val="center"/>
        <w:rPr>
          <w:rFonts w:hint="eastAsia" w:eastAsia="宋体"/>
          <w:sz w:val="28"/>
          <w:szCs w:val="28"/>
          <w:lang w:eastAsia="zh-CN"/>
        </w:rPr>
      </w:pPr>
      <w:r>
        <w:rPr>
          <w:rFonts w:hint="eastAsia"/>
          <w:sz w:val="28"/>
          <w:szCs w:val="28"/>
          <w:lang w:eastAsia="zh-CN"/>
        </w:rPr>
        <w:t xml:space="preserve">    </w:t>
      </w:r>
    </w:p>
    <w:p w14:paraId="00F68051">
      <w:pPr>
        <w:jc w:val="center"/>
        <w:rPr>
          <w:sz w:val="28"/>
          <w:szCs w:val="28"/>
        </w:rPr>
      </w:pPr>
      <w:r>
        <w:rPr>
          <w:rFonts w:eastAsia="黑体"/>
          <w:bCs/>
          <w:w w:val="95"/>
          <w:kern w:val="0"/>
          <w:sz w:val="24"/>
          <w:szCs w:val="28"/>
        </w:rPr>
        <w:t>图0-</w:t>
      </w:r>
      <w:r>
        <w:rPr>
          <w:rFonts w:eastAsia="黑体"/>
          <w:bCs/>
          <w:spacing w:val="-10"/>
          <w:w w:val="95"/>
          <w:kern w:val="0"/>
          <w:sz w:val="24"/>
          <w:szCs w:val="28"/>
        </w:rPr>
        <w:t>1</w:t>
      </w:r>
      <w:r>
        <w:rPr>
          <w:rFonts w:eastAsia="黑体"/>
          <w:bCs/>
          <w:kern w:val="0"/>
          <w:sz w:val="24"/>
          <w:szCs w:val="28"/>
        </w:rPr>
        <w:t xml:space="preserve">  </w:t>
      </w:r>
      <w:r>
        <w:rPr>
          <w:rFonts w:eastAsia="黑体"/>
          <w:bCs/>
          <w:w w:val="95"/>
          <w:kern w:val="0"/>
          <w:sz w:val="24"/>
          <w:szCs w:val="28"/>
        </w:rPr>
        <w:t>工作程序框</w:t>
      </w:r>
      <w:r>
        <w:rPr>
          <w:rFonts w:eastAsia="黑体"/>
          <w:bCs/>
          <w:spacing w:val="-10"/>
          <w:w w:val="95"/>
          <w:kern w:val="0"/>
          <w:sz w:val="24"/>
          <w:szCs w:val="28"/>
        </w:rPr>
        <w:t>图</w:t>
      </w:r>
    </w:p>
    <w:p w14:paraId="0BA54A9E">
      <w:pPr>
        <w:spacing w:line="360" w:lineRule="auto"/>
        <w:ind w:firstLine="560" w:firstLineChars="200"/>
        <w:rPr>
          <w:sz w:val="28"/>
          <w:szCs w:val="28"/>
        </w:rPr>
      </w:pPr>
      <w:r>
        <w:rPr>
          <w:sz w:val="28"/>
          <w:szCs w:val="28"/>
        </w:rPr>
        <w:t>2、工作方法</w:t>
      </w:r>
    </w:p>
    <w:p w14:paraId="5F2C42CD">
      <w:pPr>
        <w:spacing w:line="360" w:lineRule="auto"/>
        <w:ind w:firstLine="560" w:firstLineChars="200"/>
        <w:rPr>
          <w:bCs/>
          <w:sz w:val="28"/>
          <w:szCs w:val="28"/>
        </w:rPr>
      </w:pPr>
      <w:r>
        <w:rPr>
          <w:bCs/>
          <w:sz w:val="28"/>
          <w:szCs w:val="28"/>
        </w:rPr>
        <w:t>（1）收集矿区社会经济、自然地理、地质条件、土壤植被分布、土地利用现状及规划、矿山开发利用方案</w:t>
      </w:r>
      <w:r>
        <w:rPr>
          <w:rFonts w:hint="eastAsia"/>
          <w:bCs/>
          <w:sz w:val="28"/>
          <w:szCs w:val="28"/>
        </w:rPr>
        <w:t>、上一期矿山地质环境</w:t>
      </w:r>
      <w:r>
        <w:rPr>
          <w:sz w:val="28"/>
          <w:szCs w:val="28"/>
        </w:rPr>
        <w:t>治理方案</w:t>
      </w:r>
      <w:r>
        <w:rPr>
          <w:rFonts w:hint="eastAsia"/>
          <w:sz w:val="28"/>
          <w:szCs w:val="28"/>
        </w:rPr>
        <w:t>、环境影响评价报告书</w:t>
      </w:r>
      <w:r>
        <w:rPr>
          <w:bCs/>
          <w:sz w:val="28"/>
          <w:szCs w:val="28"/>
        </w:rPr>
        <w:t>等相关资料，对矿区内地质环境条件的基本特征进行综合分析，找出与矿区开采活动相关的矿山地质环境问题、土地资源损毁问题、生态系统受损问题，确定矿区生态修复影响范围。</w:t>
      </w:r>
    </w:p>
    <w:p w14:paraId="400B88AE">
      <w:pPr>
        <w:spacing w:line="360" w:lineRule="auto"/>
        <w:ind w:firstLine="560" w:firstLineChars="200"/>
        <w:rPr>
          <w:bCs/>
          <w:sz w:val="28"/>
          <w:szCs w:val="28"/>
        </w:rPr>
      </w:pPr>
      <w:r>
        <w:rPr>
          <w:bCs/>
          <w:sz w:val="28"/>
          <w:szCs w:val="28"/>
        </w:rPr>
        <w:t>（2）基础调查：采用1：</w:t>
      </w:r>
      <w:r>
        <w:rPr>
          <w:rFonts w:hint="eastAsia"/>
          <w:bCs/>
          <w:sz w:val="28"/>
          <w:szCs w:val="28"/>
        </w:rPr>
        <w:t>1</w:t>
      </w:r>
      <w:r>
        <w:rPr>
          <w:bCs/>
          <w:sz w:val="28"/>
          <w:szCs w:val="28"/>
        </w:rPr>
        <w:t>000地形图（实测）作为底图，开展矿山基础调查，实地调查生态修复区土壤、水文、土地利用、土地损毁、矿山地质环境破坏、生态系统，生物多样性等情况，调查范围面积</w:t>
      </w:r>
      <w:r>
        <w:rPr>
          <w:rFonts w:hint="eastAsia" w:ascii="宋体" w:hAnsi="宋体" w:cs="宋体"/>
          <w:spacing w:val="13"/>
          <w:sz w:val="32"/>
          <w:szCs w:val="32"/>
        </w:rPr>
        <w:t>***</w:t>
      </w:r>
      <w:r>
        <w:rPr>
          <w:bCs/>
          <w:sz w:val="28"/>
          <w:szCs w:val="28"/>
        </w:rPr>
        <w:t>km</w:t>
      </w:r>
      <w:r>
        <w:rPr>
          <w:bCs/>
          <w:sz w:val="28"/>
          <w:szCs w:val="28"/>
          <w:vertAlign w:val="superscript"/>
        </w:rPr>
        <w:t>2</w:t>
      </w:r>
      <w:r>
        <w:rPr>
          <w:bCs/>
          <w:sz w:val="28"/>
          <w:szCs w:val="28"/>
        </w:rPr>
        <w:t>，对灾害点和重要地质现象进行详细记录和拍照，基础调查内容主要是对区内交通、居民饮用水井、村庄、植被覆盖率、地形地貌、现状地质环境条件、生物多样性状况、水土污染情况等进行了调查，基本查明了评估区内的地质环境现状问题、土地损毁现状，生态本底状况等，保证了调查的质量。</w:t>
      </w:r>
    </w:p>
    <w:p w14:paraId="1587410C">
      <w:pPr>
        <w:spacing w:line="360" w:lineRule="auto"/>
        <w:ind w:firstLine="560" w:firstLineChars="200"/>
        <w:rPr>
          <w:bCs/>
          <w:sz w:val="28"/>
          <w:szCs w:val="28"/>
        </w:rPr>
      </w:pPr>
      <w:r>
        <w:rPr>
          <w:bCs/>
          <w:sz w:val="28"/>
          <w:szCs w:val="28"/>
        </w:rPr>
        <w:t>（3）水土污染分析</w:t>
      </w:r>
    </w:p>
    <w:p w14:paraId="00D727EE">
      <w:pPr>
        <w:spacing w:line="360" w:lineRule="auto"/>
        <w:ind w:firstLine="560" w:firstLineChars="200"/>
        <w:rPr>
          <w:bCs/>
          <w:sz w:val="28"/>
          <w:szCs w:val="28"/>
        </w:rPr>
      </w:pPr>
      <w:r>
        <w:rPr>
          <w:bCs/>
          <w:sz w:val="28"/>
          <w:szCs w:val="28"/>
        </w:rPr>
        <w:t>对矿区生态修复影响范围进行地下水、土壤、固体废弃物采样与分析测试，开展问题识别诊断，潜在污染风险分析。</w:t>
      </w:r>
    </w:p>
    <w:p w14:paraId="59237C46">
      <w:pPr>
        <w:spacing w:line="360" w:lineRule="auto"/>
        <w:ind w:firstLine="560" w:firstLineChars="200"/>
        <w:rPr>
          <w:bCs/>
          <w:sz w:val="28"/>
          <w:szCs w:val="28"/>
        </w:rPr>
      </w:pPr>
      <w:r>
        <w:rPr>
          <w:bCs/>
          <w:sz w:val="28"/>
          <w:szCs w:val="28"/>
        </w:rPr>
        <w:t>（4）公众调查</w:t>
      </w:r>
    </w:p>
    <w:p w14:paraId="416366B8">
      <w:pPr>
        <w:spacing w:line="360" w:lineRule="auto"/>
        <w:ind w:firstLine="560" w:firstLineChars="200"/>
        <w:rPr>
          <w:bCs/>
          <w:sz w:val="28"/>
          <w:szCs w:val="28"/>
        </w:rPr>
      </w:pPr>
      <w:r>
        <w:rPr>
          <w:bCs/>
          <w:sz w:val="28"/>
          <w:szCs w:val="28"/>
        </w:rPr>
        <w:t>开展村民委员会、农村集体经济组织、村民代表及当地农牧民公众调查，发放问卷调查表</w:t>
      </w:r>
      <w:r>
        <w:rPr>
          <w:rFonts w:hint="eastAsia"/>
          <w:bCs/>
          <w:sz w:val="28"/>
          <w:szCs w:val="28"/>
        </w:rPr>
        <w:t>5</w:t>
      </w:r>
      <w:r>
        <w:rPr>
          <w:bCs/>
          <w:sz w:val="28"/>
          <w:szCs w:val="28"/>
        </w:rPr>
        <w:t>份，回收</w:t>
      </w:r>
      <w:r>
        <w:rPr>
          <w:rFonts w:hint="eastAsia"/>
          <w:bCs/>
          <w:sz w:val="28"/>
          <w:szCs w:val="28"/>
        </w:rPr>
        <w:t>5</w:t>
      </w:r>
      <w:r>
        <w:rPr>
          <w:bCs/>
          <w:sz w:val="28"/>
          <w:szCs w:val="28"/>
        </w:rPr>
        <w:t>份，公众调查范围涵盖矿山隶属的</w:t>
      </w:r>
      <w:r>
        <w:rPr>
          <w:rFonts w:hint="eastAsia"/>
          <w:bCs/>
          <w:sz w:val="28"/>
          <w:szCs w:val="28"/>
        </w:rPr>
        <w:t>大庙镇和平营子村</w:t>
      </w:r>
      <w:r>
        <w:rPr>
          <w:bCs/>
          <w:sz w:val="28"/>
          <w:szCs w:val="28"/>
        </w:rPr>
        <w:t>；依据调查表，汇总公众调查统计分析表，对分析结果进行整理归纳，方案编制予以采纳。</w:t>
      </w:r>
    </w:p>
    <w:p w14:paraId="1D686541">
      <w:pPr>
        <w:spacing w:line="360" w:lineRule="auto"/>
        <w:ind w:firstLine="560" w:firstLineChars="200"/>
        <w:rPr>
          <w:bCs/>
          <w:sz w:val="28"/>
          <w:szCs w:val="28"/>
        </w:rPr>
      </w:pPr>
      <w:r>
        <w:rPr>
          <w:bCs/>
          <w:sz w:val="28"/>
          <w:szCs w:val="28"/>
        </w:rPr>
        <w:t>（</w:t>
      </w:r>
      <w:r>
        <w:rPr>
          <w:rFonts w:hint="eastAsia"/>
          <w:bCs/>
          <w:sz w:val="28"/>
          <w:szCs w:val="28"/>
        </w:rPr>
        <w:t>5</w:t>
      </w:r>
      <w:r>
        <w:rPr>
          <w:bCs/>
          <w:sz w:val="28"/>
          <w:szCs w:val="28"/>
        </w:rPr>
        <w:t>）资料整理，选定矿区生态修复治理的标准和措施，明确矿区生态修复的目标，确定矿区生态修复影响范围以及土地生态修复区和生态修复责任范围；进行问题识别诊断和复垦修复适宜性评价；根据矿山地质环境影响、土地损毁、生态问题现状和预测问题分析综合诊断评价结果，进行矿区生态修复分区；根据矿山基础调查和诊断评价结果，选择参照生态系统，同时结合国土空间规划及相关规划、公众参与意见及土地复垦适宜性评价结果，确定拟复垦修复的最佳利用方向；结合不同修复单元的参照生态系统和复垦修复目标，提出相应生态系统和地类的复垦修复标准；根据矿区生态修复单元，提出矿区生态修复措施，进行相关生态修复工程设计及经费估算，同时对矿区生态修复计划进行年度工作安排，给出相应的保障措施，完成了矿区生态修复方案的编制及图件绘制工作。</w:t>
      </w:r>
    </w:p>
    <w:p w14:paraId="4901423C">
      <w:pPr>
        <w:spacing w:line="360" w:lineRule="auto"/>
        <w:ind w:firstLine="560" w:firstLineChars="200"/>
        <w:rPr>
          <w:sz w:val="28"/>
          <w:szCs w:val="28"/>
        </w:rPr>
      </w:pPr>
      <w:r>
        <w:rPr>
          <w:sz w:val="28"/>
          <w:szCs w:val="28"/>
        </w:rPr>
        <w:t>3、完成的工作量</w:t>
      </w:r>
    </w:p>
    <w:p w14:paraId="5056C68C">
      <w:pPr>
        <w:spacing w:line="360" w:lineRule="auto"/>
        <w:ind w:firstLine="560" w:firstLineChars="200"/>
        <w:rPr>
          <w:sz w:val="28"/>
          <w:szCs w:val="28"/>
        </w:rPr>
      </w:pPr>
      <w:r>
        <w:rPr>
          <w:sz w:val="28"/>
          <w:szCs w:val="28"/>
        </w:rPr>
        <w:t>矿山实地调查完毕后，至附近的松山区</w:t>
      </w:r>
      <w:r>
        <w:rPr>
          <w:rFonts w:hint="eastAsia"/>
          <w:sz w:val="28"/>
          <w:szCs w:val="28"/>
        </w:rPr>
        <w:t>大庙镇和平营子村</w:t>
      </w:r>
      <w:r>
        <w:rPr>
          <w:sz w:val="28"/>
          <w:szCs w:val="28"/>
        </w:rPr>
        <w:t>走访了当地村民，了解了矿区周边矿山分布情况及当地自然地理概况、对于矿区生态修复的建议等。矿山现状调查完毕后，与矿方沟通了有关该矿具体治理工程问题。在此基础上编制了《赤峰国富玄武岩矿</w:t>
      </w:r>
      <w:r>
        <w:rPr>
          <w:bCs/>
          <w:sz w:val="28"/>
          <w:szCs w:val="28"/>
        </w:rPr>
        <w:t>矿区生态修复方案</w:t>
      </w:r>
      <w:r>
        <w:rPr>
          <w:sz w:val="28"/>
          <w:szCs w:val="28"/>
        </w:rPr>
        <w:t>》。完成工作量见表1。</w:t>
      </w:r>
    </w:p>
    <w:p w14:paraId="2C0BBF07">
      <w:pPr>
        <w:pStyle w:val="115"/>
        <w:rPr>
          <w:rFonts w:ascii="Times New Roman" w:hAnsi="Times New Roman" w:eastAsia="黑体" w:cs="Times New Roman"/>
          <w:sz w:val="24"/>
          <w:szCs w:val="24"/>
        </w:rPr>
      </w:pPr>
      <w:r>
        <w:rPr>
          <w:rFonts w:ascii="Times New Roman" w:hAnsi="Times New Roman" w:eastAsia="黑体" w:cs="Times New Roman"/>
          <w:sz w:val="24"/>
          <w:szCs w:val="24"/>
        </w:rPr>
        <w:t>表1  工作量统计一览表</w:t>
      </w:r>
    </w:p>
    <w:tbl>
      <w:tblPr>
        <w:tblStyle w:val="286"/>
        <w:tblW w:w="93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0"/>
        <w:gridCol w:w="1469"/>
        <w:gridCol w:w="727"/>
        <w:gridCol w:w="5895"/>
      </w:tblGrid>
      <w:tr w14:paraId="1E718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20" w:type="dxa"/>
            <w:vAlign w:val="center"/>
          </w:tcPr>
          <w:p w14:paraId="59AC4509">
            <w:pPr>
              <w:autoSpaceDE w:val="0"/>
              <w:autoSpaceDN w:val="0"/>
              <w:jc w:val="center"/>
              <w:rPr>
                <w:rFonts w:ascii="Calibri" w:hAnsi="Calibri"/>
                <w:szCs w:val="21"/>
                <w:lang w:eastAsia="en-US"/>
              </w:rPr>
            </w:pPr>
            <w:r>
              <w:rPr>
                <w:rFonts w:ascii="Calibri" w:hAnsi="Calibri"/>
                <w:szCs w:val="21"/>
                <w:lang w:eastAsia="en-US"/>
              </w:rPr>
              <w:t>工作内容</w:t>
            </w:r>
          </w:p>
        </w:tc>
        <w:tc>
          <w:tcPr>
            <w:tcW w:w="8091" w:type="dxa"/>
            <w:gridSpan w:val="3"/>
            <w:vAlign w:val="center"/>
          </w:tcPr>
          <w:p w14:paraId="40E14DC6">
            <w:pPr>
              <w:autoSpaceDE w:val="0"/>
              <w:autoSpaceDN w:val="0"/>
              <w:jc w:val="center"/>
              <w:rPr>
                <w:rFonts w:ascii="Calibri" w:hAnsi="Calibri"/>
                <w:szCs w:val="21"/>
                <w:lang w:eastAsia="en-US"/>
              </w:rPr>
            </w:pPr>
            <w:r>
              <w:rPr>
                <w:rFonts w:ascii="Calibri" w:hAnsi="Calibri"/>
                <w:szCs w:val="21"/>
                <w:lang w:eastAsia="en-US"/>
              </w:rPr>
              <w:t>完成工作量</w:t>
            </w:r>
          </w:p>
        </w:tc>
      </w:tr>
      <w:tr w14:paraId="09026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20" w:type="dxa"/>
            <w:vAlign w:val="center"/>
          </w:tcPr>
          <w:p w14:paraId="045B0EC2">
            <w:pPr>
              <w:autoSpaceDE w:val="0"/>
              <w:autoSpaceDN w:val="0"/>
              <w:jc w:val="center"/>
              <w:rPr>
                <w:rFonts w:ascii="Calibri" w:hAnsi="Calibri"/>
                <w:szCs w:val="21"/>
                <w:lang w:eastAsia="en-US"/>
              </w:rPr>
            </w:pPr>
            <w:r>
              <w:rPr>
                <w:rFonts w:ascii="Calibri" w:hAnsi="Calibri"/>
                <w:szCs w:val="21"/>
                <w:lang w:eastAsia="en-US"/>
              </w:rPr>
              <w:t>资料收集</w:t>
            </w:r>
          </w:p>
        </w:tc>
        <w:tc>
          <w:tcPr>
            <w:tcW w:w="8091" w:type="dxa"/>
            <w:gridSpan w:val="3"/>
            <w:vAlign w:val="center"/>
          </w:tcPr>
          <w:p w14:paraId="3451DA4E">
            <w:pPr>
              <w:autoSpaceDE w:val="0"/>
              <w:autoSpaceDN w:val="0"/>
              <w:spacing w:line="276" w:lineRule="auto"/>
              <w:rPr>
                <w:rFonts w:ascii="Calibri" w:hAnsi="Calibri"/>
                <w:szCs w:val="21"/>
                <w:lang w:eastAsia="en-US"/>
              </w:rPr>
            </w:pPr>
            <w:r>
              <w:rPr>
                <w:rFonts w:ascii="Calibri" w:hAnsi="Calibri"/>
                <w:szCs w:val="21"/>
                <w:lang w:eastAsia="en-US"/>
              </w:rPr>
              <w:t>1、采矿许可证（证号：</w:t>
            </w:r>
            <w:r>
              <w:rPr>
                <w:rFonts w:hint="eastAsia" w:ascii="宋体" w:hAnsi="宋体" w:cs="宋体"/>
                <w:spacing w:val="13"/>
                <w:sz w:val="32"/>
                <w:szCs w:val="32"/>
                <w:lang w:eastAsia="en-US"/>
              </w:rPr>
              <w:t>***</w:t>
            </w:r>
            <w:r>
              <w:rPr>
                <w:rFonts w:ascii="Calibri" w:hAnsi="Calibri"/>
                <w:szCs w:val="21"/>
                <w:lang w:eastAsia="en-US"/>
              </w:rPr>
              <w:t>）；</w:t>
            </w:r>
          </w:p>
          <w:p w14:paraId="4330B428">
            <w:pPr>
              <w:autoSpaceDE w:val="0"/>
              <w:autoSpaceDN w:val="0"/>
              <w:spacing w:line="276" w:lineRule="auto"/>
              <w:rPr>
                <w:rFonts w:ascii="Calibri" w:hAnsi="Calibri"/>
                <w:szCs w:val="21"/>
                <w:lang w:eastAsia="en-US"/>
              </w:rPr>
            </w:pPr>
            <w:r>
              <w:rPr>
                <w:rFonts w:hint="eastAsia" w:ascii="Calibri" w:hAnsi="Calibri"/>
                <w:szCs w:val="21"/>
                <w:lang w:eastAsia="en-US"/>
              </w:rPr>
              <w:t>2</w:t>
            </w:r>
            <w:r>
              <w:rPr>
                <w:rFonts w:ascii="Calibri" w:hAnsi="Calibri"/>
                <w:szCs w:val="21"/>
                <w:lang w:eastAsia="en-US"/>
              </w:rPr>
              <w:t>、20</w:t>
            </w:r>
            <w:r>
              <w:rPr>
                <w:rFonts w:hint="eastAsia" w:ascii="Calibri" w:hAnsi="Calibri"/>
                <w:szCs w:val="21"/>
                <w:lang w:eastAsia="en-US"/>
              </w:rPr>
              <w:t>1</w:t>
            </w:r>
            <w:r>
              <w:rPr>
                <w:rFonts w:ascii="Calibri" w:hAnsi="Calibri"/>
                <w:szCs w:val="21"/>
                <w:lang w:eastAsia="en-US"/>
              </w:rPr>
              <w:t>6年</w:t>
            </w:r>
            <w:r>
              <w:rPr>
                <w:rFonts w:hint="eastAsia" w:ascii="Calibri" w:hAnsi="Calibri"/>
                <w:szCs w:val="21"/>
                <w:lang w:eastAsia="en-US"/>
              </w:rPr>
              <w:t>5</w:t>
            </w:r>
            <w:r>
              <w:rPr>
                <w:rFonts w:ascii="Calibri" w:hAnsi="Calibri"/>
                <w:szCs w:val="21"/>
                <w:lang w:eastAsia="en-US"/>
              </w:rPr>
              <w:t>月</w:t>
            </w:r>
            <w:r>
              <w:rPr>
                <w:rFonts w:hint="eastAsia" w:ascii="Calibri" w:hAnsi="Calibri"/>
                <w:szCs w:val="21"/>
                <w:lang w:eastAsia="en-US"/>
              </w:rPr>
              <w:t>《</w:t>
            </w:r>
            <w:r>
              <w:rPr>
                <w:rFonts w:hint="eastAsia" w:ascii="Calibri" w:hAnsi="Calibri"/>
                <w:szCs w:val="22"/>
                <w:lang w:eastAsia="en-US"/>
              </w:rPr>
              <w:t>内蒙古自治区赤峰市松山区赤峰国富玄武岩碎石矿矿产资源开发利用方案</w:t>
            </w:r>
            <w:r>
              <w:rPr>
                <w:rFonts w:hint="eastAsia" w:ascii="Calibri" w:hAnsi="Calibri"/>
                <w:szCs w:val="21"/>
                <w:lang w:eastAsia="en-US"/>
              </w:rPr>
              <w:t>》</w:t>
            </w:r>
            <w:r>
              <w:rPr>
                <w:rFonts w:ascii="Calibri" w:hAnsi="Calibri"/>
                <w:szCs w:val="21"/>
                <w:lang w:eastAsia="en-US"/>
              </w:rPr>
              <w:t>（</w:t>
            </w:r>
            <w:r>
              <w:rPr>
                <w:rFonts w:hint="eastAsia" w:ascii="Calibri" w:hAnsi="Calibri"/>
                <w:szCs w:val="21"/>
                <w:lang w:eastAsia="en-US"/>
              </w:rPr>
              <w:t>赤国土资评审字〔2016〕056号</w:t>
            </w:r>
            <w:r>
              <w:rPr>
                <w:rFonts w:ascii="Calibri" w:hAnsi="Calibri"/>
                <w:szCs w:val="21"/>
                <w:lang w:eastAsia="en-US"/>
              </w:rPr>
              <w:t>）</w:t>
            </w:r>
          </w:p>
          <w:p w14:paraId="3E7C49DC">
            <w:pPr>
              <w:autoSpaceDE w:val="0"/>
              <w:autoSpaceDN w:val="0"/>
              <w:spacing w:line="276" w:lineRule="auto"/>
              <w:rPr>
                <w:rFonts w:ascii="Calibri" w:hAnsi="Calibri"/>
                <w:szCs w:val="21"/>
                <w:lang w:eastAsia="en-US"/>
              </w:rPr>
            </w:pPr>
            <w:r>
              <w:rPr>
                <w:rFonts w:hint="eastAsia" w:ascii="Calibri" w:hAnsi="Calibri"/>
                <w:szCs w:val="21"/>
                <w:lang w:eastAsia="en-US"/>
              </w:rPr>
              <w:t>3、2017年6月，</w:t>
            </w:r>
            <w:r>
              <w:rPr>
                <w:rFonts w:ascii="Calibri" w:hAnsi="Calibri"/>
                <w:szCs w:val="21"/>
                <w:lang w:eastAsia="en-US"/>
              </w:rPr>
              <w:t>《内蒙古自治区赤峰市松山区（赤峰国富玄武岩矿）矿山地质环境治理方案》（赤矿治字[2017]030号）</w:t>
            </w:r>
          </w:p>
          <w:p w14:paraId="412A42E8">
            <w:pPr>
              <w:autoSpaceDE w:val="0"/>
              <w:autoSpaceDN w:val="0"/>
              <w:spacing w:line="276" w:lineRule="auto"/>
              <w:rPr>
                <w:rFonts w:ascii="Calibri" w:hAnsi="Calibri"/>
                <w:szCs w:val="21"/>
                <w:lang w:eastAsia="en-US"/>
              </w:rPr>
            </w:pPr>
            <w:r>
              <w:rPr>
                <w:rFonts w:hint="eastAsia" w:ascii="Calibri" w:hAnsi="Calibri"/>
                <w:szCs w:val="21"/>
                <w:lang w:eastAsia="en-US"/>
              </w:rPr>
              <w:t>4、2025年1月《内蒙古自治区赤峰市松山区赤峰国富建筑用玄武岩矿资源储量核实报告》（赤自然资松储备字〔2025〕001号）</w:t>
            </w:r>
          </w:p>
          <w:p w14:paraId="0D558AC9">
            <w:pPr>
              <w:autoSpaceDE w:val="0"/>
              <w:autoSpaceDN w:val="0"/>
              <w:spacing w:line="276" w:lineRule="auto"/>
              <w:rPr>
                <w:rFonts w:ascii="Calibri" w:hAnsi="Calibri"/>
                <w:szCs w:val="21"/>
                <w:lang w:eastAsia="en-US"/>
              </w:rPr>
            </w:pPr>
            <w:r>
              <w:rPr>
                <w:rFonts w:hint="eastAsia" w:ascii="Calibri" w:hAnsi="Calibri"/>
                <w:szCs w:val="21"/>
                <w:lang w:eastAsia="en-US"/>
              </w:rPr>
              <w:t>5</w:t>
            </w:r>
            <w:r>
              <w:rPr>
                <w:rFonts w:ascii="Calibri" w:hAnsi="Calibri"/>
                <w:szCs w:val="21"/>
                <w:lang w:eastAsia="en-US"/>
              </w:rPr>
              <w:t>、土地利用现状图（1:10000）及松山区2024年国土变更调查数据。</w:t>
            </w:r>
          </w:p>
          <w:p w14:paraId="25BA05F5">
            <w:pPr>
              <w:autoSpaceDE w:val="0"/>
              <w:autoSpaceDN w:val="0"/>
              <w:spacing w:line="276" w:lineRule="auto"/>
              <w:rPr>
                <w:rFonts w:ascii="Calibri" w:hAnsi="Calibri"/>
                <w:szCs w:val="21"/>
                <w:lang w:eastAsia="en-US"/>
              </w:rPr>
            </w:pPr>
            <w:r>
              <w:rPr>
                <w:rFonts w:hint="eastAsia" w:ascii="Calibri" w:hAnsi="Calibri"/>
                <w:szCs w:val="21"/>
                <w:lang w:eastAsia="en-US"/>
              </w:rPr>
              <w:t>6</w:t>
            </w:r>
            <w:r>
              <w:rPr>
                <w:rFonts w:ascii="Calibri" w:hAnsi="Calibri"/>
                <w:szCs w:val="21"/>
                <w:lang w:eastAsia="en-US"/>
              </w:rPr>
              <w:t>、《赤峰市国土空间生态修复规划（2021-2035）》；</w:t>
            </w:r>
          </w:p>
          <w:p w14:paraId="6C833FAC">
            <w:pPr>
              <w:autoSpaceDE w:val="0"/>
              <w:autoSpaceDN w:val="0"/>
              <w:spacing w:line="276" w:lineRule="auto"/>
              <w:rPr>
                <w:rFonts w:ascii="Calibri" w:hAnsi="Calibri"/>
                <w:szCs w:val="21"/>
                <w:lang w:eastAsia="en-US"/>
              </w:rPr>
            </w:pPr>
            <w:r>
              <w:rPr>
                <w:rFonts w:hint="eastAsia" w:ascii="Calibri" w:hAnsi="Calibri"/>
                <w:szCs w:val="21"/>
                <w:lang w:eastAsia="en-US"/>
              </w:rPr>
              <w:t>7</w:t>
            </w:r>
            <w:r>
              <w:rPr>
                <w:rFonts w:ascii="Calibri" w:hAnsi="Calibri"/>
                <w:szCs w:val="21"/>
                <w:lang w:eastAsia="en-US"/>
              </w:rPr>
              <w:t>、《赤峰市国土空间总体规划（2021-2035年）》；</w:t>
            </w:r>
          </w:p>
          <w:p w14:paraId="022EA81E">
            <w:pPr>
              <w:autoSpaceDE w:val="0"/>
              <w:autoSpaceDN w:val="0"/>
              <w:spacing w:line="276" w:lineRule="auto"/>
              <w:rPr>
                <w:rFonts w:ascii="Calibri" w:hAnsi="Calibri"/>
                <w:szCs w:val="21"/>
                <w:lang w:eastAsia="en-US"/>
              </w:rPr>
            </w:pPr>
            <w:r>
              <w:rPr>
                <w:rFonts w:hint="eastAsia" w:ascii="Calibri" w:hAnsi="Calibri"/>
                <w:szCs w:val="21"/>
                <w:lang w:eastAsia="en-US"/>
              </w:rPr>
              <w:t>8</w:t>
            </w:r>
            <w:r>
              <w:rPr>
                <w:rFonts w:ascii="Calibri" w:hAnsi="Calibri"/>
                <w:szCs w:val="21"/>
                <w:lang w:eastAsia="en-US"/>
              </w:rPr>
              <w:t>、《松山区国土空间总体规划（2021-2035年）》</w:t>
            </w:r>
          </w:p>
          <w:p w14:paraId="52F43979">
            <w:pPr>
              <w:autoSpaceDE w:val="0"/>
              <w:autoSpaceDN w:val="0"/>
              <w:spacing w:line="276" w:lineRule="auto"/>
              <w:rPr>
                <w:rFonts w:ascii="Calibri" w:hAnsi="Calibri"/>
                <w:szCs w:val="21"/>
                <w:lang w:eastAsia="en-US"/>
              </w:rPr>
            </w:pPr>
            <w:r>
              <w:rPr>
                <w:rFonts w:hint="eastAsia" w:ascii="Calibri" w:hAnsi="Calibri"/>
                <w:szCs w:val="21"/>
                <w:lang w:eastAsia="en-US"/>
              </w:rPr>
              <w:t>9、</w:t>
            </w:r>
            <w:r>
              <w:rPr>
                <w:rFonts w:ascii="Calibri" w:hAnsi="Calibri"/>
                <w:szCs w:val="21"/>
                <w:lang w:eastAsia="en-US"/>
              </w:rPr>
              <w:t>2022年5月</w:t>
            </w:r>
            <w:r>
              <w:rPr>
                <w:rFonts w:hint="eastAsia" w:ascii="Calibri" w:hAnsi="Calibri"/>
                <w:szCs w:val="21"/>
                <w:lang w:eastAsia="en-US"/>
              </w:rPr>
              <w:t>，</w:t>
            </w:r>
            <w:r>
              <w:rPr>
                <w:rFonts w:ascii="Calibri" w:hAnsi="Calibri"/>
                <w:szCs w:val="21"/>
                <w:lang w:eastAsia="en-US"/>
              </w:rPr>
              <w:t>《松山区大庙镇和平营子北山废弃矿山治理方案》</w:t>
            </w:r>
          </w:p>
          <w:p w14:paraId="7E4DC819">
            <w:pPr>
              <w:autoSpaceDE w:val="0"/>
              <w:autoSpaceDN w:val="0"/>
              <w:spacing w:line="276" w:lineRule="auto"/>
              <w:rPr>
                <w:rFonts w:ascii="Calibri" w:hAnsi="Calibri"/>
                <w:szCs w:val="21"/>
                <w:lang w:eastAsia="en-US"/>
              </w:rPr>
            </w:pPr>
            <w:r>
              <w:rPr>
                <w:rFonts w:hint="eastAsia" w:ascii="Calibri" w:hAnsi="Calibri"/>
                <w:szCs w:val="21"/>
                <w:lang w:eastAsia="en-US"/>
              </w:rPr>
              <w:t>10</w:t>
            </w:r>
            <w:r>
              <w:rPr>
                <w:rFonts w:ascii="Calibri" w:hAnsi="Calibri"/>
                <w:szCs w:val="21"/>
                <w:lang w:eastAsia="en-US"/>
              </w:rPr>
              <w:t>、矿区社会经济情况表等。</w:t>
            </w:r>
          </w:p>
        </w:tc>
      </w:tr>
      <w:tr w14:paraId="36E40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20" w:type="dxa"/>
            <w:vMerge w:val="restart"/>
            <w:vAlign w:val="center"/>
          </w:tcPr>
          <w:p w14:paraId="3B8C1557">
            <w:pPr>
              <w:autoSpaceDE w:val="0"/>
              <w:autoSpaceDN w:val="0"/>
              <w:jc w:val="center"/>
              <w:rPr>
                <w:rFonts w:ascii="Calibri" w:hAnsi="Calibri"/>
                <w:szCs w:val="21"/>
                <w:lang w:eastAsia="en-US"/>
              </w:rPr>
            </w:pPr>
            <w:r>
              <w:rPr>
                <w:rFonts w:ascii="Calibri" w:hAnsi="Calibri"/>
                <w:szCs w:val="21"/>
                <w:lang w:eastAsia="en-US"/>
              </w:rPr>
              <w:t>野外调查</w:t>
            </w:r>
          </w:p>
        </w:tc>
        <w:tc>
          <w:tcPr>
            <w:tcW w:w="1469" w:type="dxa"/>
            <w:vAlign w:val="center"/>
          </w:tcPr>
          <w:p w14:paraId="081B7B15">
            <w:pPr>
              <w:autoSpaceDE w:val="0"/>
              <w:autoSpaceDN w:val="0"/>
              <w:jc w:val="center"/>
              <w:rPr>
                <w:rFonts w:ascii="Calibri" w:hAnsi="Calibri"/>
                <w:szCs w:val="21"/>
                <w:lang w:eastAsia="en-US"/>
              </w:rPr>
            </w:pPr>
            <w:r>
              <w:rPr>
                <w:rFonts w:ascii="Calibri" w:hAnsi="Calibri"/>
                <w:szCs w:val="21"/>
                <w:lang w:eastAsia="en-US"/>
              </w:rPr>
              <w:t>调查方法</w:t>
            </w:r>
          </w:p>
        </w:tc>
        <w:tc>
          <w:tcPr>
            <w:tcW w:w="6622" w:type="dxa"/>
            <w:gridSpan w:val="2"/>
            <w:vAlign w:val="center"/>
          </w:tcPr>
          <w:p w14:paraId="214D8B41">
            <w:pPr>
              <w:autoSpaceDE w:val="0"/>
              <w:autoSpaceDN w:val="0"/>
              <w:rPr>
                <w:rFonts w:ascii="Calibri" w:hAnsi="Calibri"/>
                <w:szCs w:val="21"/>
                <w:lang w:eastAsia="en-US"/>
              </w:rPr>
            </w:pPr>
            <w:r>
              <w:rPr>
                <w:rFonts w:ascii="Calibri" w:hAnsi="Calibri"/>
                <w:szCs w:val="21"/>
                <w:lang w:eastAsia="en-US"/>
              </w:rPr>
              <w:t>采用矿区1∶</w:t>
            </w:r>
            <w:r>
              <w:rPr>
                <w:rFonts w:hint="eastAsia" w:ascii="Calibri" w:hAnsi="Calibri"/>
                <w:szCs w:val="21"/>
                <w:lang w:eastAsia="en-US"/>
              </w:rPr>
              <w:t>1</w:t>
            </w:r>
            <w:r>
              <w:rPr>
                <w:rFonts w:ascii="Calibri" w:hAnsi="Calibri"/>
                <w:szCs w:val="21"/>
                <w:lang w:eastAsia="en-US"/>
              </w:rPr>
              <w:t>000地形地质图，结合手持GPS、测距仪等对调查对象进行定点上图；广泛的与村民沟通矿山地质环境保护与土地复垦政策</w:t>
            </w:r>
          </w:p>
        </w:tc>
      </w:tr>
      <w:tr w14:paraId="6037C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20" w:type="dxa"/>
            <w:vMerge w:val="continue"/>
            <w:vAlign w:val="center"/>
          </w:tcPr>
          <w:p w14:paraId="63E2B87B">
            <w:pPr>
              <w:autoSpaceDE w:val="0"/>
              <w:autoSpaceDN w:val="0"/>
              <w:jc w:val="center"/>
              <w:rPr>
                <w:rFonts w:ascii="Calibri" w:hAnsi="Calibri"/>
                <w:szCs w:val="21"/>
                <w:lang w:eastAsia="en-US"/>
              </w:rPr>
            </w:pPr>
          </w:p>
        </w:tc>
        <w:tc>
          <w:tcPr>
            <w:tcW w:w="1469" w:type="dxa"/>
            <w:vAlign w:val="center"/>
          </w:tcPr>
          <w:p w14:paraId="0BCC24A6">
            <w:pPr>
              <w:autoSpaceDE w:val="0"/>
              <w:autoSpaceDN w:val="0"/>
              <w:jc w:val="center"/>
              <w:rPr>
                <w:rFonts w:ascii="Calibri" w:hAnsi="Calibri"/>
                <w:szCs w:val="21"/>
                <w:lang w:eastAsia="en-US"/>
              </w:rPr>
            </w:pPr>
            <w:r>
              <w:rPr>
                <w:rFonts w:ascii="Calibri" w:hAnsi="Calibri"/>
                <w:szCs w:val="21"/>
                <w:lang w:eastAsia="en-US"/>
              </w:rPr>
              <w:t>调查面积</w:t>
            </w:r>
          </w:p>
        </w:tc>
        <w:tc>
          <w:tcPr>
            <w:tcW w:w="6622" w:type="dxa"/>
            <w:gridSpan w:val="2"/>
            <w:vAlign w:val="center"/>
          </w:tcPr>
          <w:p w14:paraId="31A69F3D">
            <w:pPr>
              <w:autoSpaceDE w:val="0"/>
              <w:autoSpaceDN w:val="0"/>
              <w:rPr>
                <w:rFonts w:ascii="Calibri" w:hAnsi="Calibri"/>
                <w:szCs w:val="21"/>
                <w:lang w:eastAsia="en-US"/>
              </w:rPr>
            </w:pPr>
            <w:r>
              <w:rPr>
                <w:rFonts w:hint="eastAsia" w:ascii="宋体" w:hAnsi="宋体" w:cs="宋体"/>
                <w:spacing w:val="13"/>
                <w:sz w:val="32"/>
                <w:szCs w:val="32"/>
                <w:lang w:eastAsia="en-US"/>
              </w:rPr>
              <w:t>***</w:t>
            </w:r>
            <w:r>
              <w:rPr>
                <w:rFonts w:ascii="Calibri" w:hAnsi="Calibri"/>
                <w:szCs w:val="21"/>
                <w:lang w:eastAsia="en-US"/>
              </w:rPr>
              <w:t>km</w:t>
            </w:r>
            <w:r>
              <w:rPr>
                <w:rFonts w:ascii="Calibri" w:hAnsi="Calibri"/>
                <w:szCs w:val="21"/>
                <w:vertAlign w:val="superscript"/>
                <w:lang w:eastAsia="en-US"/>
              </w:rPr>
              <w:t>2</w:t>
            </w:r>
          </w:p>
        </w:tc>
      </w:tr>
      <w:tr w14:paraId="4C425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20" w:type="dxa"/>
            <w:vMerge w:val="continue"/>
            <w:vAlign w:val="center"/>
          </w:tcPr>
          <w:p w14:paraId="5669C95E">
            <w:pPr>
              <w:autoSpaceDE w:val="0"/>
              <w:autoSpaceDN w:val="0"/>
              <w:jc w:val="center"/>
              <w:rPr>
                <w:rFonts w:ascii="Calibri" w:hAnsi="Calibri"/>
                <w:szCs w:val="21"/>
                <w:lang w:eastAsia="en-US"/>
              </w:rPr>
            </w:pPr>
          </w:p>
        </w:tc>
        <w:tc>
          <w:tcPr>
            <w:tcW w:w="1469" w:type="dxa"/>
            <w:vAlign w:val="center"/>
          </w:tcPr>
          <w:p w14:paraId="335F0B64">
            <w:pPr>
              <w:autoSpaceDE w:val="0"/>
              <w:autoSpaceDN w:val="0"/>
              <w:jc w:val="center"/>
              <w:rPr>
                <w:rFonts w:ascii="Calibri" w:hAnsi="Calibri"/>
                <w:szCs w:val="21"/>
                <w:lang w:eastAsia="en-US"/>
              </w:rPr>
            </w:pPr>
            <w:r>
              <w:rPr>
                <w:rFonts w:ascii="Calibri" w:hAnsi="Calibri"/>
                <w:szCs w:val="21"/>
                <w:lang w:eastAsia="en-US"/>
              </w:rPr>
              <w:t>地形地貌</w:t>
            </w:r>
          </w:p>
        </w:tc>
        <w:tc>
          <w:tcPr>
            <w:tcW w:w="6622" w:type="dxa"/>
            <w:gridSpan w:val="2"/>
            <w:vAlign w:val="center"/>
          </w:tcPr>
          <w:p w14:paraId="6044D8E9">
            <w:pPr>
              <w:autoSpaceDE w:val="0"/>
              <w:autoSpaceDN w:val="0"/>
              <w:rPr>
                <w:rFonts w:ascii="Calibri" w:hAnsi="Calibri"/>
                <w:szCs w:val="21"/>
                <w:lang w:eastAsia="en-US"/>
              </w:rPr>
            </w:pPr>
            <w:r>
              <w:rPr>
                <w:rFonts w:ascii="Calibri" w:hAnsi="Calibri"/>
                <w:szCs w:val="21"/>
                <w:lang w:eastAsia="en-US"/>
              </w:rPr>
              <w:t>包括地形坡度、坡向、第四系覆盖比例及厚度，地表水系调查。</w:t>
            </w:r>
          </w:p>
        </w:tc>
      </w:tr>
      <w:tr w14:paraId="7BD3F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20" w:type="dxa"/>
            <w:vMerge w:val="continue"/>
            <w:vAlign w:val="center"/>
          </w:tcPr>
          <w:p w14:paraId="2916592C">
            <w:pPr>
              <w:autoSpaceDE w:val="0"/>
              <w:autoSpaceDN w:val="0"/>
              <w:jc w:val="center"/>
              <w:rPr>
                <w:rFonts w:ascii="Calibri" w:hAnsi="Calibri"/>
                <w:szCs w:val="21"/>
                <w:lang w:eastAsia="en-US"/>
              </w:rPr>
            </w:pPr>
          </w:p>
        </w:tc>
        <w:tc>
          <w:tcPr>
            <w:tcW w:w="1469" w:type="dxa"/>
            <w:vAlign w:val="center"/>
          </w:tcPr>
          <w:p w14:paraId="5967A794">
            <w:pPr>
              <w:autoSpaceDE w:val="0"/>
              <w:autoSpaceDN w:val="0"/>
              <w:jc w:val="center"/>
              <w:rPr>
                <w:rFonts w:ascii="Calibri" w:hAnsi="Calibri"/>
                <w:szCs w:val="21"/>
                <w:lang w:eastAsia="en-US"/>
              </w:rPr>
            </w:pPr>
            <w:r>
              <w:rPr>
                <w:rFonts w:ascii="Calibri" w:hAnsi="Calibri"/>
                <w:szCs w:val="21"/>
                <w:lang w:eastAsia="en-US"/>
              </w:rPr>
              <w:t>自然条件</w:t>
            </w:r>
          </w:p>
        </w:tc>
        <w:tc>
          <w:tcPr>
            <w:tcW w:w="6622" w:type="dxa"/>
            <w:gridSpan w:val="2"/>
            <w:vAlign w:val="center"/>
          </w:tcPr>
          <w:p w14:paraId="7894B440">
            <w:pPr>
              <w:autoSpaceDE w:val="0"/>
              <w:autoSpaceDN w:val="0"/>
              <w:rPr>
                <w:rFonts w:ascii="Calibri" w:hAnsi="Calibri"/>
                <w:szCs w:val="21"/>
                <w:lang w:eastAsia="en-US"/>
              </w:rPr>
            </w:pPr>
            <w:r>
              <w:rPr>
                <w:rFonts w:ascii="Calibri" w:hAnsi="Calibri"/>
                <w:szCs w:val="21"/>
                <w:lang w:eastAsia="en-US"/>
              </w:rPr>
              <w:t>矿区植被组成、结构、分布、覆盖度等，矿区土壤类型、土体结构、有效土层厚度等</w:t>
            </w:r>
          </w:p>
        </w:tc>
      </w:tr>
      <w:tr w14:paraId="19994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20" w:type="dxa"/>
            <w:vMerge w:val="continue"/>
            <w:vAlign w:val="center"/>
          </w:tcPr>
          <w:p w14:paraId="0D23512C">
            <w:pPr>
              <w:autoSpaceDE w:val="0"/>
              <w:autoSpaceDN w:val="0"/>
              <w:jc w:val="center"/>
              <w:rPr>
                <w:rFonts w:ascii="Calibri" w:hAnsi="Calibri"/>
                <w:szCs w:val="21"/>
                <w:lang w:eastAsia="en-US"/>
              </w:rPr>
            </w:pPr>
          </w:p>
        </w:tc>
        <w:tc>
          <w:tcPr>
            <w:tcW w:w="1469" w:type="dxa"/>
            <w:vAlign w:val="center"/>
          </w:tcPr>
          <w:p w14:paraId="1EEDB52A">
            <w:pPr>
              <w:autoSpaceDE w:val="0"/>
              <w:autoSpaceDN w:val="0"/>
              <w:jc w:val="center"/>
              <w:rPr>
                <w:rFonts w:ascii="Calibri" w:hAnsi="Calibri"/>
                <w:szCs w:val="21"/>
                <w:lang w:eastAsia="en-US"/>
              </w:rPr>
            </w:pPr>
            <w:r>
              <w:rPr>
                <w:rFonts w:ascii="Calibri" w:hAnsi="Calibri"/>
                <w:szCs w:val="21"/>
                <w:lang w:eastAsia="en-US"/>
              </w:rPr>
              <w:t>土地现状核实</w:t>
            </w:r>
          </w:p>
        </w:tc>
        <w:tc>
          <w:tcPr>
            <w:tcW w:w="6622" w:type="dxa"/>
            <w:gridSpan w:val="2"/>
            <w:vAlign w:val="center"/>
          </w:tcPr>
          <w:p w14:paraId="204BDE3B">
            <w:pPr>
              <w:autoSpaceDE w:val="0"/>
              <w:autoSpaceDN w:val="0"/>
              <w:rPr>
                <w:rFonts w:ascii="Calibri" w:hAnsi="Calibri"/>
                <w:szCs w:val="21"/>
                <w:lang w:eastAsia="en-US"/>
              </w:rPr>
            </w:pPr>
            <w:r>
              <w:rPr>
                <w:rFonts w:ascii="Calibri" w:hAnsi="Calibri"/>
                <w:szCs w:val="21"/>
                <w:lang w:eastAsia="en-US"/>
              </w:rPr>
              <w:t xml:space="preserve">对照土地利用现状图，对主要地块进行地类核实 </w:t>
            </w:r>
          </w:p>
        </w:tc>
      </w:tr>
      <w:tr w14:paraId="0CA6E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20" w:type="dxa"/>
            <w:vMerge w:val="continue"/>
            <w:vAlign w:val="center"/>
          </w:tcPr>
          <w:p w14:paraId="29123CFC">
            <w:pPr>
              <w:autoSpaceDE w:val="0"/>
              <w:autoSpaceDN w:val="0"/>
              <w:jc w:val="center"/>
              <w:rPr>
                <w:rFonts w:ascii="Calibri" w:hAnsi="Calibri"/>
                <w:szCs w:val="21"/>
                <w:lang w:eastAsia="en-US"/>
              </w:rPr>
            </w:pPr>
          </w:p>
        </w:tc>
        <w:tc>
          <w:tcPr>
            <w:tcW w:w="1469" w:type="dxa"/>
            <w:vAlign w:val="center"/>
          </w:tcPr>
          <w:p w14:paraId="3BBA5CCC">
            <w:pPr>
              <w:autoSpaceDE w:val="0"/>
              <w:autoSpaceDN w:val="0"/>
              <w:jc w:val="center"/>
              <w:rPr>
                <w:rFonts w:ascii="Calibri" w:hAnsi="Calibri"/>
                <w:szCs w:val="21"/>
                <w:lang w:eastAsia="en-US"/>
              </w:rPr>
            </w:pPr>
            <w:r>
              <w:rPr>
                <w:rFonts w:ascii="Calibri" w:hAnsi="Calibri"/>
                <w:szCs w:val="21"/>
                <w:lang w:eastAsia="en-US"/>
              </w:rPr>
              <w:t>生态状况</w:t>
            </w:r>
          </w:p>
        </w:tc>
        <w:tc>
          <w:tcPr>
            <w:tcW w:w="6622" w:type="dxa"/>
            <w:gridSpan w:val="2"/>
            <w:vAlign w:val="center"/>
          </w:tcPr>
          <w:p w14:paraId="7786E25C">
            <w:pPr>
              <w:autoSpaceDE w:val="0"/>
              <w:autoSpaceDN w:val="0"/>
              <w:rPr>
                <w:rFonts w:ascii="Calibri" w:hAnsi="Calibri"/>
                <w:szCs w:val="21"/>
                <w:lang w:eastAsia="en-US"/>
              </w:rPr>
            </w:pPr>
            <w:r>
              <w:rPr>
                <w:rFonts w:ascii="Calibri" w:hAnsi="Calibri"/>
                <w:szCs w:val="21"/>
                <w:lang w:eastAsia="en-US"/>
              </w:rPr>
              <w:t>生物多样性状况、生态本底状况</w:t>
            </w:r>
          </w:p>
        </w:tc>
      </w:tr>
      <w:tr w14:paraId="58C4F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20" w:type="dxa"/>
            <w:vMerge w:val="continue"/>
            <w:vAlign w:val="center"/>
          </w:tcPr>
          <w:p w14:paraId="79AB008A">
            <w:pPr>
              <w:autoSpaceDE w:val="0"/>
              <w:autoSpaceDN w:val="0"/>
              <w:jc w:val="center"/>
              <w:rPr>
                <w:rFonts w:ascii="Calibri" w:hAnsi="Calibri"/>
                <w:szCs w:val="21"/>
                <w:lang w:eastAsia="en-US"/>
              </w:rPr>
            </w:pPr>
          </w:p>
        </w:tc>
        <w:tc>
          <w:tcPr>
            <w:tcW w:w="1469" w:type="dxa"/>
            <w:vAlign w:val="center"/>
          </w:tcPr>
          <w:p w14:paraId="3040B767">
            <w:pPr>
              <w:autoSpaceDE w:val="0"/>
              <w:autoSpaceDN w:val="0"/>
              <w:jc w:val="center"/>
              <w:rPr>
                <w:rFonts w:ascii="Calibri" w:hAnsi="Calibri"/>
                <w:szCs w:val="21"/>
                <w:lang w:eastAsia="en-US"/>
              </w:rPr>
            </w:pPr>
            <w:r>
              <w:rPr>
                <w:rFonts w:ascii="Calibri" w:hAnsi="Calibri"/>
                <w:szCs w:val="21"/>
                <w:lang w:eastAsia="en-US"/>
              </w:rPr>
              <w:t>损毁场地</w:t>
            </w:r>
          </w:p>
        </w:tc>
        <w:tc>
          <w:tcPr>
            <w:tcW w:w="6622" w:type="dxa"/>
            <w:gridSpan w:val="2"/>
            <w:vAlign w:val="center"/>
          </w:tcPr>
          <w:p w14:paraId="3DC8BB44">
            <w:pPr>
              <w:autoSpaceDE w:val="0"/>
              <w:autoSpaceDN w:val="0"/>
              <w:rPr>
                <w:rFonts w:ascii="Calibri" w:hAnsi="Calibri"/>
                <w:szCs w:val="21"/>
                <w:lang w:eastAsia="en-US"/>
              </w:rPr>
            </w:pPr>
            <w:r>
              <w:rPr>
                <w:rFonts w:hint="eastAsia" w:ascii="Calibri" w:hAnsi="Calibri"/>
                <w:szCs w:val="21"/>
                <w:lang w:eastAsia="en-US"/>
              </w:rPr>
              <w:t>露天采场、3处废石场、工业场地、钻机平台、生活区、办公区、门卫、矿区道路、遗留露天采场、遗留废石场、双盈工业场地、双盈检斤房</w:t>
            </w:r>
          </w:p>
        </w:tc>
      </w:tr>
      <w:tr w14:paraId="3746C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20" w:type="dxa"/>
            <w:vMerge w:val="continue"/>
            <w:vAlign w:val="center"/>
          </w:tcPr>
          <w:p w14:paraId="1797BBD1">
            <w:pPr>
              <w:autoSpaceDE w:val="0"/>
              <w:autoSpaceDN w:val="0"/>
              <w:jc w:val="center"/>
              <w:rPr>
                <w:rFonts w:ascii="Calibri" w:hAnsi="Calibri"/>
                <w:szCs w:val="21"/>
                <w:lang w:eastAsia="en-US"/>
              </w:rPr>
            </w:pPr>
          </w:p>
        </w:tc>
        <w:tc>
          <w:tcPr>
            <w:tcW w:w="1469" w:type="dxa"/>
            <w:vAlign w:val="center"/>
          </w:tcPr>
          <w:p w14:paraId="330D088F">
            <w:pPr>
              <w:autoSpaceDE w:val="0"/>
              <w:autoSpaceDN w:val="0"/>
              <w:jc w:val="center"/>
              <w:rPr>
                <w:rFonts w:ascii="Calibri" w:hAnsi="Calibri"/>
                <w:szCs w:val="21"/>
                <w:lang w:eastAsia="en-US"/>
              </w:rPr>
            </w:pPr>
            <w:r>
              <w:rPr>
                <w:rFonts w:ascii="Calibri" w:hAnsi="Calibri"/>
                <w:szCs w:val="21"/>
                <w:lang w:eastAsia="en-US"/>
              </w:rPr>
              <w:t>公众参与</w:t>
            </w:r>
          </w:p>
        </w:tc>
        <w:tc>
          <w:tcPr>
            <w:tcW w:w="6622" w:type="dxa"/>
            <w:gridSpan w:val="2"/>
            <w:vAlign w:val="center"/>
          </w:tcPr>
          <w:p w14:paraId="160E224E">
            <w:pPr>
              <w:autoSpaceDE w:val="0"/>
              <w:autoSpaceDN w:val="0"/>
              <w:rPr>
                <w:rFonts w:ascii="Calibri" w:hAnsi="Calibri"/>
                <w:szCs w:val="21"/>
                <w:lang w:eastAsia="en-US"/>
              </w:rPr>
            </w:pPr>
            <w:r>
              <w:rPr>
                <w:rFonts w:ascii="Calibri" w:hAnsi="Calibri"/>
                <w:szCs w:val="21"/>
                <w:lang w:eastAsia="en-US"/>
              </w:rPr>
              <w:t>广泛的与当地村民（</w:t>
            </w:r>
            <w:r>
              <w:rPr>
                <w:rFonts w:hint="eastAsia" w:ascii="Calibri" w:hAnsi="Calibri"/>
                <w:szCs w:val="21"/>
                <w:lang w:eastAsia="en-US"/>
              </w:rPr>
              <w:t>5</w:t>
            </w:r>
            <w:r>
              <w:rPr>
                <w:rFonts w:ascii="Calibri" w:hAnsi="Calibri"/>
                <w:szCs w:val="21"/>
                <w:lang w:eastAsia="en-US"/>
              </w:rPr>
              <w:t>人）沟通矿区生态修复政策及实施过程</w:t>
            </w:r>
          </w:p>
        </w:tc>
      </w:tr>
      <w:tr w14:paraId="10FB7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20" w:type="dxa"/>
            <w:vMerge w:val="continue"/>
            <w:vAlign w:val="center"/>
          </w:tcPr>
          <w:p w14:paraId="3073C028">
            <w:pPr>
              <w:autoSpaceDE w:val="0"/>
              <w:autoSpaceDN w:val="0"/>
              <w:jc w:val="center"/>
              <w:rPr>
                <w:rFonts w:ascii="Calibri" w:hAnsi="Calibri"/>
                <w:szCs w:val="21"/>
                <w:lang w:eastAsia="en-US"/>
              </w:rPr>
            </w:pPr>
          </w:p>
        </w:tc>
        <w:tc>
          <w:tcPr>
            <w:tcW w:w="1469" w:type="dxa"/>
            <w:vAlign w:val="center"/>
          </w:tcPr>
          <w:p w14:paraId="639F960C">
            <w:pPr>
              <w:autoSpaceDE w:val="0"/>
              <w:autoSpaceDN w:val="0"/>
              <w:jc w:val="center"/>
              <w:rPr>
                <w:rFonts w:ascii="Calibri" w:hAnsi="Calibri"/>
                <w:szCs w:val="21"/>
                <w:lang w:eastAsia="en-US"/>
              </w:rPr>
            </w:pPr>
            <w:r>
              <w:rPr>
                <w:rFonts w:ascii="Calibri" w:hAnsi="Calibri"/>
                <w:szCs w:val="21"/>
                <w:lang w:eastAsia="en-US"/>
              </w:rPr>
              <w:t>水井</w:t>
            </w:r>
          </w:p>
        </w:tc>
        <w:tc>
          <w:tcPr>
            <w:tcW w:w="6622" w:type="dxa"/>
            <w:gridSpan w:val="2"/>
            <w:vAlign w:val="center"/>
          </w:tcPr>
          <w:p w14:paraId="7C4C2A30">
            <w:pPr>
              <w:autoSpaceDE w:val="0"/>
              <w:autoSpaceDN w:val="0"/>
              <w:rPr>
                <w:rFonts w:ascii="Calibri" w:hAnsi="Calibri"/>
                <w:szCs w:val="21"/>
                <w:lang w:eastAsia="en-US"/>
              </w:rPr>
            </w:pPr>
            <w:r>
              <w:rPr>
                <w:rFonts w:ascii="Calibri" w:hAnsi="Calibri"/>
                <w:szCs w:val="21"/>
                <w:lang w:eastAsia="en-US"/>
              </w:rPr>
              <w:t>调查走访井深、静水位、供水量</w:t>
            </w:r>
          </w:p>
        </w:tc>
      </w:tr>
      <w:tr w14:paraId="0EA67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20" w:type="dxa"/>
            <w:vMerge w:val="continue"/>
            <w:vAlign w:val="center"/>
          </w:tcPr>
          <w:p w14:paraId="1B64B752">
            <w:pPr>
              <w:autoSpaceDE w:val="0"/>
              <w:autoSpaceDN w:val="0"/>
              <w:jc w:val="center"/>
              <w:rPr>
                <w:rFonts w:ascii="Calibri" w:hAnsi="Calibri"/>
                <w:szCs w:val="21"/>
                <w:lang w:eastAsia="en-US"/>
              </w:rPr>
            </w:pPr>
          </w:p>
        </w:tc>
        <w:tc>
          <w:tcPr>
            <w:tcW w:w="1469" w:type="dxa"/>
            <w:vAlign w:val="center"/>
          </w:tcPr>
          <w:p w14:paraId="01D99890">
            <w:pPr>
              <w:autoSpaceDE w:val="0"/>
              <w:autoSpaceDN w:val="0"/>
              <w:jc w:val="center"/>
              <w:rPr>
                <w:rFonts w:ascii="Calibri" w:hAnsi="Calibri"/>
                <w:szCs w:val="21"/>
                <w:lang w:eastAsia="en-US"/>
              </w:rPr>
            </w:pPr>
            <w:r>
              <w:rPr>
                <w:rFonts w:ascii="Calibri" w:hAnsi="Calibri"/>
                <w:szCs w:val="21"/>
                <w:lang w:eastAsia="en-US"/>
              </w:rPr>
              <w:t>其它</w:t>
            </w:r>
          </w:p>
        </w:tc>
        <w:tc>
          <w:tcPr>
            <w:tcW w:w="6622" w:type="dxa"/>
            <w:gridSpan w:val="2"/>
            <w:vAlign w:val="center"/>
          </w:tcPr>
          <w:p w14:paraId="13BE82A3">
            <w:pPr>
              <w:autoSpaceDE w:val="0"/>
              <w:autoSpaceDN w:val="0"/>
              <w:rPr>
                <w:rFonts w:ascii="Calibri" w:hAnsi="Calibri"/>
                <w:szCs w:val="21"/>
                <w:lang w:eastAsia="en-US"/>
              </w:rPr>
            </w:pPr>
            <w:r>
              <w:rPr>
                <w:rFonts w:ascii="Calibri" w:hAnsi="Calibri"/>
                <w:szCs w:val="21"/>
                <w:lang w:eastAsia="en-US"/>
              </w:rPr>
              <w:t>包括人文景观、重要交通、重要水利设施</w:t>
            </w:r>
          </w:p>
        </w:tc>
      </w:tr>
      <w:tr w14:paraId="752A6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20" w:type="dxa"/>
            <w:vMerge w:val="restart"/>
            <w:vAlign w:val="center"/>
          </w:tcPr>
          <w:p w14:paraId="22E8D353">
            <w:pPr>
              <w:autoSpaceDE w:val="0"/>
              <w:autoSpaceDN w:val="0"/>
              <w:jc w:val="center"/>
              <w:rPr>
                <w:rFonts w:ascii="Calibri" w:hAnsi="Calibri"/>
                <w:szCs w:val="21"/>
                <w:lang w:eastAsia="en-US"/>
              </w:rPr>
            </w:pPr>
            <w:r>
              <w:rPr>
                <w:rFonts w:ascii="Calibri" w:hAnsi="Calibri"/>
                <w:szCs w:val="21"/>
                <w:lang w:eastAsia="en-US"/>
              </w:rPr>
              <w:t>成果提交</w:t>
            </w:r>
          </w:p>
        </w:tc>
        <w:tc>
          <w:tcPr>
            <w:tcW w:w="1469" w:type="dxa"/>
            <w:vAlign w:val="center"/>
          </w:tcPr>
          <w:p w14:paraId="58FFEA8C">
            <w:pPr>
              <w:autoSpaceDE w:val="0"/>
              <w:autoSpaceDN w:val="0"/>
              <w:jc w:val="center"/>
              <w:rPr>
                <w:rFonts w:ascii="Calibri" w:hAnsi="Calibri"/>
                <w:szCs w:val="21"/>
                <w:lang w:eastAsia="en-US"/>
              </w:rPr>
            </w:pPr>
            <w:r>
              <w:rPr>
                <w:rFonts w:ascii="Calibri" w:hAnsi="Calibri"/>
                <w:szCs w:val="21"/>
                <w:lang w:eastAsia="en-US"/>
              </w:rPr>
              <w:t>文本</w:t>
            </w:r>
          </w:p>
        </w:tc>
        <w:tc>
          <w:tcPr>
            <w:tcW w:w="727" w:type="dxa"/>
            <w:vAlign w:val="center"/>
          </w:tcPr>
          <w:p w14:paraId="6CD5DD11">
            <w:pPr>
              <w:autoSpaceDE w:val="0"/>
              <w:autoSpaceDN w:val="0"/>
              <w:jc w:val="center"/>
              <w:rPr>
                <w:rFonts w:ascii="Calibri" w:hAnsi="Calibri"/>
                <w:szCs w:val="21"/>
                <w:lang w:eastAsia="en-US"/>
              </w:rPr>
            </w:pPr>
            <w:r>
              <w:rPr>
                <w:rFonts w:ascii="Calibri" w:hAnsi="Calibri"/>
                <w:szCs w:val="21"/>
                <w:lang w:eastAsia="en-US"/>
              </w:rPr>
              <w:t>1份</w:t>
            </w:r>
          </w:p>
        </w:tc>
        <w:tc>
          <w:tcPr>
            <w:tcW w:w="5895" w:type="dxa"/>
            <w:vAlign w:val="center"/>
          </w:tcPr>
          <w:p w14:paraId="638EB7B4">
            <w:pPr>
              <w:autoSpaceDE w:val="0"/>
              <w:autoSpaceDN w:val="0"/>
              <w:rPr>
                <w:rFonts w:ascii="Calibri" w:hAnsi="Calibri"/>
                <w:szCs w:val="21"/>
                <w:lang w:eastAsia="en-US"/>
              </w:rPr>
            </w:pPr>
            <w:r>
              <w:rPr>
                <w:rFonts w:ascii="Calibri" w:hAnsi="Calibri"/>
                <w:szCs w:val="21"/>
                <w:lang w:eastAsia="en-US"/>
              </w:rPr>
              <w:t>《赤峰国富玄武岩矿矿区生态修复方案》</w:t>
            </w:r>
          </w:p>
        </w:tc>
      </w:tr>
      <w:tr w14:paraId="72B5B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20" w:type="dxa"/>
            <w:vMerge w:val="continue"/>
            <w:vAlign w:val="center"/>
          </w:tcPr>
          <w:p w14:paraId="77F8C633">
            <w:pPr>
              <w:autoSpaceDE w:val="0"/>
              <w:autoSpaceDN w:val="0"/>
              <w:rPr>
                <w:rFonts w:ascii="Calibri" w:hAnsi="Calibri"/>
                <w:szCs w:val="21"/>
                <w:lang w:eastAsia="en-US"/>
              </w:rPr>
            </w:pPr>
          </w:p>
        </w:tc>
        <w:tc>
          <w:tcPr>
            <w:tcW w:w="1469" w:type="dxa"/>
            <w:vAlign w:val="center"/>
          </w:tcPr>
          <w:p w14:paraId="1DD8883E">
            <w:pPr>
              <w:autoSpaceDE w:val="0"/>
              <w:autoSpaceDN w:val="0"/>
              <w:jc w:val="center"/>
              <w:rPr>
                <w:rFonts w:ascii="Calibri" w:hAnsi="Calibri"/>
                <w:szCs w:val="21"/>
                <w:lang w:eastAsia="en-US"/>
              </w:rPr>
            </w:pPr>
            <w:r>
              <w:rPr>
                <w:rFonts w:ascii="Calibri" w:hAnsi="Calibri"/>
                <w:szCs w:val="21"/>
                <w:lang w:eastAsia="en-US"/>
              </w:rPr>
              <w:t>附图</w:t>
            </w:r>
          </w:p>
        </w:tc>
        <w:tc>
          <w:tcPr>
            <w:tcW w:w="727" w:type="dxa"/>
            <w:vAlign w:val="center"/>
          </w:tcPr>
          <w:p w14:paraId="16EF73CA">
            <w:pPr>
              <w:autoSpaceDE w:val="0"/>
              <w:autoSpaceDN w:val="0"/>
              <w:jc w:val="center"/>
              <w:rPr>
                <w:rFonts w:ascii="Calibri" w:hAnsi="Calibri"/>
                <w:szCs w:val="21"/>
                <w:lang w:eastAsia="en-US"/>
              </w:rPr>
            </w:pPr>
            <w:r>
              <w:rPr>
                <w:rFonts w:ascii="Calibri" w:hAnsi="Calibri"/>
                <w:szCs w:val="21"/>
                <w:lang w:eastAsia="en-US"/>
              </w:rPr>
              <w:t>7张</w:t>
            </w:r>
          </w:p>
        </w:tc>
        <w:tc>
          <w:tcPr>
            <w:tcW w:w="5895" w:type="dxa"/>
            <w:vAlign w:val="center"/>
          </w:tcPr>
          <w:p w14:paraId="7B39C7DF">
            <w:pPr>
              <w:autoSpaceDE w:val="0"/>
              <w:autoSpaceDN w:val="0"/>
              <w:rPr>
                <w:rFonts w:ascii="Calibri" w:hAnsi="Calibri"/>
                <w:szCs w:val="21"/>
                <w:lang w:eastAsia="en-US"/>
              </w:rPr>
            </w:pPr>
            <w:r>
              <w:rPr>
                <w:rFonts w:ascii="Calibri" w:hAnsi="Calibri"/>
                <w:szCs w:val="21"/>
                <w:lang w:eastAsia="en-US"/>
              </w:rPr>
              <w:t>《矿区正射影像图》《矿区土地利用现状图》《矿区地质环境问题现状图》《矿区土地损毁现状图》《矿区地质环境问题预测图》《矿区土地损毁预测图》《矿区生态修复工程部署图》</w:t>
            </w:r>
          </w:p>
        </w:tc>
      </w:tr>
    </w:tbl>
    <w:p w14:paraId="4163DEFC">
      <w:pPr>
        <w:pStyle w:val="115"/>
        <w:rPr>
          <w:rFonts w:ascii="Times New Roman" w:hAnsi="Times New Roman" w:eastAsia="黑体" w:cs="Times New Roman"/>
          <w:sz w:val="20"/>
        </w:rPr>
      </w:pPr>
    </w:p>
    <w:p w14:paraId="2F6E408A">
      <w:pPr>
        <w:spacing w:line="360" w:lineRule="auto"/>
        <w:ind w:firstLine="562" w:firstLineChars="200"/>
        <w:rPr>
          <w:b/>
          <w:bCs/>
          <w:sz w:val="28"/>
          <w:szCs w:val="28"/>
        </w:rPr>
      </w:pPr>
      <w:r>
        <w:rPr>
          <w:b/>
          <w:bCs/>
          <w:sz w:val="28"/>
          <w:szCs w:val="28"/>
        </w:rPr>
        <w:t>（四）编制依据</w:t>
      </w:r>
    </w:p>
    <w:p w14:paraId="33AEC38D">
      <w:pPr>
        <w:spacing w:line="360" w:lineRule="auto"/>
        <w:ind w:firstLine="560" w:firstLineChars="200"/>
        <w:rPr>
          <w:sz w:val="28"/>
          <w:szCs w:val="28"/>
        </w:rPr>
      </w:pPr>
      <w:bookmarkStart w:id="16" w:name="_Toc210478039"/>
      <w:bookmarkStart w:id="17" w:name="_Toc210478041"/>
      <w:bookmarkStart w:id="18" w:name="_Toc210478042"/>
      <w:r>
        <w:rPr>
          <w:sz w:val="28"/>
          <w:szCs w:val="28"/>
        </w:rPr>
        <w:t>1、法律、法规</w:t>
      </w:r>
      <w:bookmarkEnd w:id="16"/>
    </w:p>
    <w:p w14:paraId="5290D4C2">
      <w:pPr>
        <w:spacing w:line="360" w:lineRule="auto"/>
        <w:ind w:firstLine="560" w:firstLineChars="200"/>
        <w:rPr>
          <w:sz w:val="28"/>
          <w:szCs w:val="28"/>
        </w:rPr>
      </w:pPr>
      <w:bookmarkStart w:id="19" w:name="_Toc210478040"/>
      <w:r>
        <w:rPr>
          <w:sz w:val="28"/>
          <w:szCs w:val="28"/>
        </w:rPr>
        <w:t>（1）《中华人民共和国矿产资源法》（2024年11月08日）。</w:t>
      </w:r>
    </w:p>
    <w:p w14:paraId="193EFCD5">
      <w:pPr>
        <w:spacing w:line="360" w:lineRule="auto"/>
        <w:ind w:firstLine="560" w:firstLineChars="200"/>
        <w:rPr>
          <w:sz w:val="28"/>
          <w:szCs w:val="28"/>
        </w:rPr>
      </w:pPr>
      <w:r>
        <w:rPr>
          <w:rFonts w:hint="eastAsia"/>
          <w:sz w:val="28"/>
          <w:szCs w:val="28"/>
        </w:rPr>
        <w:t>（2）《中华人民共和国生态环境法典》（2026年8月15日施行）</w:t>
      </w:r>
    </w:p>
    <w:p w14:paraId="20762F81">
      <w:pPr>
        <w:spacing w:line="360" w:lineRule="auto"/>
        <w:ind w:firstLine="560" w:firstLineChars="200"/>
        <w:rPr>
          <w:sz w:val="28"/>
          <w:szCs w:val="28"/>
        </w:rPr>
      </w:pPr>
      <w:r>
        <w:rPr>
          <w:rFonts w:hint="eastAsia"/>
          <w:sz w:val="28"/>
          <w:szCs w:val="28"/>
        </w:rPr>
        <w:t>（3）《中华人民共和国矿产资源法实施条例》（2026年6月15日施行）</w:t>
      </w:r>
    </w:p>
    <w:p w14:paraId="71091D36">
      <w:pPr>
        <w:spacing w:line="360" w:lineRule="auto"/>
        <w:ind w:firstLine="560" w:firstLineChars="200"/>
        <w:rPr>
          <w:sz w:val="28"/>
          <w:szCs w:val="28"/>
        </w:rPr>
      </w:pPr>
      <w:r>
        <w:rPr>
          <w:sz w:val="28"/>
          <w:szCs w:val="28"/>
        </w:rPr>
        <w:t>2、政策性文件</w:t>
      </w:r>
    </w:p>
    <w:p w14:paraId="05B2870C">
      <w:pPr>
        <w:spacing w:line="360" w:lineRule="auto"/>
        <w:ind w:firstLine="560" w:firstLineChars="200"/>
        <w:rPr>
          <w:sz w:val="28"/>
          <w:szCs w:val="28"/>
        </w:rPr>
      </w:pPr>
      <w:r>
        <w:rPr>
          <w:sz w:val="28"/>
          <w:szCs w:val="28"/>
        </w:rPr>
        <w:t>（1）《自然资源部办公厅关于&lt;矿产资源法&gt;实施衔接过渡有关事项的通知》（自然资办函</w:t>
      </w:r>
      <w:r>
        <w:rPr>
          <w:rFonts w:hint="eastAsia"/>
          <w:sz w:val="28"/>
          <w:szCs w:val="28"/>
        </w:rPr>
        <w:t>〔2025〕</w:t>
      </w:r>
      <w:r>
        <w:rPr>
          <w:sz w:val="28"/>
          <w:szCs w:val="28"/>
        </w:rPr>
        <w:t>1704号）；</w:t>
      </w:r>
    </w:p>
    <w:p w14:paraId="2CF39687">
      <w:pPr>
        <w:spacing w:line="360" w:lineRule="auto"/>
        <w:ind w:firstLine="560" w:firstLineChars="200"/>
        <w:rPr>
          <w:sz w:val="28"/>
          <w:szCs w:val="28"/>
        </w:rPr>
      </w:pPr>
      <w:r>
        <w:rPr>
          <w:sz w:val="28"/>
          <w:szCs w:val="28"/>
        </w:rPr>
        <w:t>（2）《自然资源部办公厅关于做好&lt;矿产资源法&gt;实施过渡期内矿区生态修复方案编制评审有关工作的通知》（自然资办函</w:t>
      </w:r>
      <w:r>
        <w:rPr>
          <w:rFonts w:hint="eastAsia"/>
          <w:sz w:val="28"/>
          <w:szCs w:val="28"/>
        </w:rPr>
        <w:t>〔2025〕</w:t>
      </w:r>
      <w:r>
        <w:rPr>
          <w:sz w:val="28"/>
          <w:szCs w:val="28"/>
        </w:rPr>
        <w:t>2043号）;</w:t>
      </w:r>
    </w:p>
    <w:p w14:paraId="17E2713E">
      <w:pPr>
        <w:spacing w:line="360" w:lineRule="auto"/>
        <w:ind w:firstLine="560" w:firstLineChars="200"/>
        <w:rPr>
          <w:sz w:val="28"/>
          <w:szCs w:val="28"/>
        </w:rPr>
      </w:pPr>
      <w:r>
        <w:rPr>
          <w:sz w:val="28"/>
          <w:szCs w:val="28"/>
        </w:rPr>
        <w:t>（3）《自然资源部关于进一步完善矿产资源勘查开采登记管理的通知》（自然资规（2023）4号）；</w:t>
      </w:r>
    </w:p>
    <w:p w14:paraId="651F13D7">
      <w:pPr>
        <w:spacing w:line="360" w:lineRule="auto"/>
        <w:ind w:firstLine="560" w:firstLineChars="200"/>
        <w:rPr>
          <w:sz w:val="28"/>
          <w:szCs w:val="28"/>
        </w:rPr>
      </w:pPr>
      <w:r>
        <w:rPr>
          <w:sz w:val="28"/>
          <w:szCs w:val="28"/>
        </w:rPr>
        <w:t>（4）《自然资源部关于深化矿产资源管理改革若干事项的意见》（自然资规（2023）6号）；</w:t>
      </w:r>
    </w:p>
    <w:p w14:paraId="74490169">
      <w:pPr>
        <w:spacing w:line="360" w:lineRule="auto"/>
        <w:ind w:firstLine="560" w:firstLineChars="200"/>
        <w:rPr>
          <w:sz w:val="28"/>
          <w:szCs w:val="28"/>
        </w:rPr>
      </w:pPr>
      <w:r>
        <w:rPr>
          <w:sz w:val="28"/>
          <w:szCs w:val="28"/>
        </w:rPr>
        <w:t>（</w:t>
      </w:r>
      <w:r>
        <w:rPr>
          <w:rFonts w:hint="eastAsia"/>
          <w:sz w:val="28"/>
          <w:szCs w:val="28"/>
        </w:rPr>
        <w:t>5</w:t>
      </w:r>
      <w:r>
        <w:rPr>
          <w:sz w:val="28"/>
          <w:szCs w:val="28"/>
        </w:rPr>
        <w:t>）内蒙古自治区财政厅、自然资源厅和生态环境厅制定《内蒙古自治区矿山地质环境治理恢复基金管理办法（试行）》（内国土资规[2019]3号）；</w:t>
      </w:r>
    </w:p>
    <w:p w14:paraId="2FC7FEF9">
      <w:pPr>
        <w:spacing w:line="360" w:lineRule="auto"/>
        <w:ind w:firstLine="560" w:firstLineChars="200"/>
        <w:rPr>
          <w:sz w:val="28"/>
          <w:szCs w:val="28"/>
        </w:rPr>
      </w:pPr>
      <w:r>
        <w:rPr>
          <w:sz w:val="28"/>
          <w:szCs w:val="28"/>
        </w:rPr>
        <w:t>（</w:t>
      </w:r>
      <w:r>
        <w:rPr>
          <w:rFonts w:hint="eastAsia"/>
          <w:sz w:val="28"/>
          <w:szCs w:val="28"/>
        </w:rPr>
        <w:t>6</w:t>
      </w:r>
      <w:r>
        <w:rPr>
          <w:sz w:val="28"/>
          <w:szCs w:val="28"/>
        </w:rPr>
        <w:t>）《内蒙古自治区人民政府办公厅关于进一步加强耕地保护工作的实施意见》（内政办发〔2021〕32号）；</w:t>
      </w:r>
    </w:p>
    <w:p w14:paraId="268D6A9A">
      <w:pPr>
        <w:spacing w:line="360" w:lineRule="auto"/>
        <w:ind w:firstLine="560" w:firstLineChars="200"/>
        <w:rPr>
          <w:sz w:val="28"/>
          <w:szCs w:val="28"/>
        </w:rPr>
      </w:pPr>
      <w:r>
        <w:rPr>
          <w:sz w:val="28"/>
          <w:szCs w:val="28"/>
        </w:rPr>
        <w:t>（</w:t>
      </w:r>
      <w:r>
        <w:rPr>
          <w:rFonts w:hint="eastAsia"/>
          <w:sz w:val="28"/>
          <w:szCs w:val="28"/>
        </w:rPr>
        <w:t>7</w:t>
      </w:r>
      <w:r>
        <w:rPr>
          <w:sz w:val="28"/>
          <w:szCs w:val="28"/>
        </w:rPr>
        <w:t>）《永久基本农田保护红线管理办法》（中华人民共和国自然资源部、农业农村部联合发布，2025年10月1日起施行）；</w:t>
      </w:r>
    </w:p>
    <w:bookmarkEnd w:id="19"/>
    <w:p w14:paraId="1A3F6F1D">
      <w:pPr>
        <w:spacing w:line="360" w:lineRule="auto"/>
        <w:ind w:firstLine="560" w:firstLineChars="200"/>
        <w:rPr>
          <w:sz w:val="28"/>
          <w:szCs w:val="28"/>
        </w:rPr>
      </w:pPr>
      <w:r>
        <w:rPr>
          <w:sz w:val="28"/>
          <w:szCs w:val="28"/>
        </w:rPr>
        <w:t>3、规范及规程</w:t>
      </w:r>
    </w:p>
    <w:p w14:paraId="0E9664DC">
      <w:pPr>
        <w:spacing w:line="360" w:lineRule="auto"/>
        <w:ind w:firstLine="560" w:firstLineChars="200"/>
        <w:rPr>
          <w:sz w:val="28"/>
          <w:szCs w:val="28"/>
        </w:rPr>
      </w:pPr>
      <w:bookmarkStart w:id="20" w:name="_Hlt314558713"/>
      <w:bookmarkEnd w:id="20"/>
      <w:bookmarkStart w:id="21" w:name="OLE_LINK3"/>
      <w:r>
        <w:rPr>
          <w:sz w:val="28"/>
          <w:szCs w:val="28"/>
        </w:rPr>
        <w:t>（1）《矿区生态修复方案编制指南（临时）》；</w:t>
      </w:r>
    </w:p>
    <w:p w14:paraId="3AA7FDAD">
      <w:pPr>
        <w:spacing w:line="360" w:lineRule="auto"/>
        <w:ind w:firstLine="560" w:firstLineChars="200"/>
        <w:rPr>
          <w:sz w:val="28"/>
          <w:szCs w:val="28"/>
        </w:rPr>
      </w:pPr>
      <w:r>
        <w:rPr>
          <w:sz w:val="28"/>
          <w:szCs w:val="28"/>
        </w:rPr>
        <w:t>（2）《国土空间生态保护修复工程实施方案编制规程》（TD/T 1068-2022）；</w:t>
      </w:r>
    </w:p>
    <w:p w14:paraId="59BBA0B3">
      <w:pPr>
        <w:spacing w:line="360" w:lineRule="auto"/>
        <w:ind w:firstLine="560" w:firstLineChars="200"/>
        <w:rPr>
          <w:sz w:val="28"/>
          <w:szCs w:val="28"/>
        </w:rPr>
      </w:pPr>
      <w:r>
        <w:rPr>
          <w:sz w:val="28"/>
          <w:szCs w:val="28"/>
        </w:rPr>
        <w:t>（3）《金属矿土地复垦与生态修复技术规范》（GB/T 43933-2024）；</w:t>
      </w:r>
    </w:p>
    <w:p w14:paraId="0E10DE7A">
      <w:pPr>
        <w:spacing w:line="360" w:lineRule="auto"/>
        <w:ind w:firstLine="560" w:firstLineChars="200"/>
        <w:rPr>
          <w:sz w:val="28"/>
          <w:szCs w:val="28"/>
        </w:rPr>
      </w:pPr>
      <w:bookmarkStart w:id="22" w:name="dttl"/>
      <w:r>
        <w:rPr>
          <w:sz w:val="28"/>
          <w:szCs w:val="28"/>
        </w:rPr>
        <w:t>（4）《地质灾害危险性评估规范》（GB/T 40112-2021)；</w:t>
      </w:r>
    </w:p>
    <w:p w14:paraId="3833B3EE">
      <w:pPr>
        <w:spacing w:line="360" w:lineRule="auto"/>
        <w:ind w:firstLine="560" w:firstLineChars="200"/>
        <w:rPr>
          <w:sz w:val="28"/>
          <w:szCs w:val="28"/>
        </w:rPr>
      </w:pPr>
      <w:r>
        <w:rPr>
          <w:sz w:val="28"/>
          <w:szCs w:val="28"/>
        </w:rPr>
        <w:t>（5）《矿区水文地质工程地质勘查规范》（GB/T 12719-2021）；</w:t>
      </w:r>
    </w:p>
    <w:p w14:paraId="328A817C">
      <w:pPr>
        <w:spacing w:line="360" w:lineRule="auto"/>
        <w:ind w:firstLine="560" w:firstLineChars="200"/>
        <w:rPr>
          <w:sz w:val="28"/>
          <w:szCs w:val="28"/>
        </w:rPr>
      </w:pPr>
      <w:r>
        <w:rPr>
          <w:sz w:val="28"/>
          <w:szCs w:val="28"/>
        </w:rPr>
        <w:t>（6）《地下水质量标准》（GB/T 14848-2017）；</w:t>
      </w:r>
    </w:p>
    <w:p w14:paraId="06964B97">
      <w:pPr>
        <w:spacing w:line="360" w:lineRule="auto"/>
        <w:ind w:firstLine="560" w:firstLineChars="200"/>
        <w:rPr>
          <w:sz w:val="28"/>
          <w:szCs w:val="28"/>
        </w:rPr>
      </w:pPr>
      <w:r>
        <w:rPr>
          <w:sz w:val="28"/>
          <w:szCs w:val="28"/>
        </w:rPr>
        <w:t>（7）《矿区地下水监测规范》（DZ∕T 0388-2021）；</w:t>
      </w:r>
    </w:p>
    <w:p w14:paraId="4EDE95A7">
      <w:pPr>
        <w:spacing w:line="360" w:lineRule="auto"/>
        <w:ind w:firstLine="560" w:firstLineChars="200"/>
        <w:rPr>
          <w:sz w:val="28"/>
          <w:szCs w:val="28"/>
        </w:rPr>
      </w:pPr>
      <w:r>
        <w:rPr>
          <w:sz w:val="28"/>
          <w:szCs w:val="28"/>
        </w:rPr>
        <w:t>（</w:t>
      </w:r>
      <w:r>
        <w:rPr>
          <w:rFonts w:hint="eastAsia"/>
          <w:sz w:val="28"/>
          <w:szCs w:val="28"/>
        </w:rPr>
        <w:t>8</w:t>
      </w:r>
      <w:r>
        <w:rPr>
          <w:sz w:val="28"/>
          <w:szCs w:val="28"/>
        </w:rPr>
        <w:t>）《矿山地质环境监测技术规程》（DZ/T 0287-2015）；</w:t>
      </w:r>
    </w:p>
    <w:p w14:paraId="4C20118B">
      <w:pPr>
        <w:spacing w:line="360" w:lineRule="auto"/>
        <w:ind w:firstLine="560" w:firstLineChars="200"/>
        <w:rPr>
          <w:sz w:val="28"/>
          <w:szCs w:val="28"/>
        </w:rPr>
      </w:pPr>
      <w:r>
        <w:rPr>
          <w:sz w:val="28"/>
          <w:szCs w:val="28"/>
        </w:rPr>
        <w:t>（</w:t>
      </w:r>
      <w:r>
        <w:rPr>
          <w:rFonts w:hint="eastAsia"/>
          <w:sz w:val="28"/>
          <w:szCs w:val="28"/>
        </w:rPr>
        <w:t>9</w:t>
      </w:r>
      <w:r>
        <w:rPr>
          <w:sz w:val="28"/>
          <w:szCs w:val="28"/>
        </w:rPr>
        <w:t>）《矿区土地复垦基础信息调查规程》（TD/T 1049-2016）；</w:t>
      </w:r>
    </w:p>
    <w:p w14:paraId="054DCE3A">
      <w:pPr>
        <w:spacing w:line="360" w:lineRule="auto"/>
        <w:ind w:firstLine="560" w:firstLineChars="200"/>
        <w:rPr>
          <w:sz w:val="28"/>
          <w:szCs w:val="28"/>
        </w:rPr>
      </w:pPr>
      <w:r>
        <w:rPr>
          <w:sz w:val="28"/>
          <w:szCs w:val="28"/>
        </w:rPr>
        <w:t>（1</w:t>
      </w:r>
      <w:r>
        <w:rPr>
          <w:rFonts w:hint="eastAsia"/>
          <w:sz w:val="28"/>
          <w:szCs w:val="28"/>
        </w:rPr>
        <w:t>0</w:t>
      </w:r>
      <w:r>
        <w:rPr>
          <w:sz w:val="28"/>
          <w:szCs w:val="28"/>
        </w:rPr>
        <w:t>）《土地利用现状分类》（GB/T 21010-2017）；</w:t>
      </w:r>
    </w:p>
    <w:p w14:paraId="14ED3A8D">
      <w:pPr>
        <w:spacing w:line="360" w:lineRule="auto"/>
        <w:ind w:firstLine="560" w:firstLineChars="200"/>
        <w:rPr>
          <w:sz w:val="28"/>
          <w:szCs w:val="28"/>
        </w:rPr>
      </w:pPr>
      <w:r>
        <w:rPr>
          <w:sz w:val="28"/>
          <w:szCs w:val="28"/>
        </w:rPr>
        <w:t>（1</w:t>
      </w:r>
      <w:r>
        <w:rPr>
          <w:rFonts w:hint="eastAsia"/>
          <w:sz w:val="28"/>
          <w:szCs w:val="28"/>
        </w:rPr>
        <w:t>1</w:t>
      </w:r>
      <w:r>
        <w:rPr>
          <w:sz w:val="28"/>
          <w:szCs w:val="28"/>
        </w:rPr>
        <w:t>）《矿区地下水含水层破坏危害程度评价规范》（GB/T 42362-2023）；</w:t>
      </w:r>
    </w:p>
    <w:bookmarkEnd w:id="22"/>
    <w:p w14:paraId="6BEBDE87">
      <w:pPr>
        <w:spacing w:line="360" w:lineRule="auto"/>
        <w:ind w:firstLine="560" w:firstLineChars="200"/>
        <w:rPr>
          <w:sz w:val="28"/>
          <w:szCs w:val="28"/>
        </w:rPr>
      </w:pPr>
      <w:r>
        <w:rPr>
          <w:sz w:val="28"/>
          <w:szCs w:val="28"/>
        </w:rPr>
        <w:t>（1</w:t>
      </w:r>
      <w:r>
        <w:rPr>
          <w:rFonts w:hint="eastAsia"/>
          <w:sz w:val="28"/>
          <w:szCs w:val="28"/>
        </w:rPr>
        <w:t>2</w:t>
      </w:r>
      <w:r>
        <w:rPr>
          <w:sz w:val="28"/>
          <w:szCs w:val="28"/>
        </w:rPr>
        <w:t>）《第三次全国国土</w:t>
      </w:r>
      <w:r>
        <w:rPr>
          <w:rFonts w:hint="eastAsia"/>
          <w:sz w:val="28"/>
          <w:szCs w:val="28"/>
        </w:rPr>
        <w:t>调查</w:t>
      </w:r>
      <w:r>
        <w:rPr>
          <w:sz w:val="28"/>
          <w:szCs w:val="28"/>
        </w:rPr>
        <w:t>技术规程》（TD/T 1055-2019）；</w:t>
      </w:r>
    </w:p>
    <w:p w14:paraId="52C4E0CB">
      <w:pPr>
        <w:spacing w:line="360" w:lineRule="auto"/>
        <w:ind w:firstLine="560" w:firstLineChars="200"/>
        <w:rPr>
          <w:sz w:val="28"/>
          <w:szCs w:val="28"/>
        </w:rPr>
      </w:pPr>
      <w:r>
        <w:rPr>
          <w:sz w:val="28"/>
          <w:szCs w:val="28"/>
        </w:rPr>
        <w:t>（1</w:t>
      </w:r>
      <w:r>
        <w:rPr>
          <w:rFonts w:hint="eastAsia"/>
          <w:sz w:val="28"/>
          <w:szCs w:val="28"/>
        </w:rPr>
        <w:t>3</w:t>
      </w:r>
      <w:r>
        <w:rPr>
          <w:sz w:val="28"/>
          <w:szCs w:val="28"/>
        </w:rPr>
        <w:t>）《</w:t>
      </w:r>
      <w:r>
        <w:rPr>
          <w:rFonts w:hint="eastAsia"/>
          <w:sz w:val="28"/>
          <w:szCs w:val="28"/>
        </w:rPr>
        <w:t>内蒙古自治区矿山生态修复工程预算定额标准（试行）</w:t>
      </w:r>
      <w:r>
        <w:rPr>
          <w:sz w:val="28"/>
          <w:szCs w:val="28"/>
        </w:rPr>
        <w:t>》（</w:t>
      </w:r>
      <w:r>
        <w:rPr>
          <w:rFonts w:hint="eastAsia"/>
          <w:sz w:val="28"/>
          <w:szCs w:val="28"/>
        </w:rPr>
        <w:t>内蒙古自治区地质调查研究院</w:t>
      </w:r>
      <w:r>
        <w:rPr>
          <w:sz w:val="28"/>
          <w:szCs w:val="28"/>
        </w:rPr>
        <w:t>202</w:t>
      </w:r>
      <w:r>
        <w:rPr>
          <w:rFonts w:hint="eastAsia"/>
          <w:sz w:val="28"/>
          <w:szCs w:val="28"/>
        </w:rPr>
        <w:t>6</w:t>
      </w:r>
      <w:r>
        <w:rPr>
          <w:sz w:val="28"/>
          <w:szCs w:val="28"/>
        </w:rPr>
        <w:t>.</w:t>
      </w:r>
      <w:r>
        <w:rPr>
          <w:rFonts w:hint="eastAsia"/>
          <w:sz w:val="28"/>
          <w:szCs w:val="28"/>
        </w:rPr>
        <w:t>3</w:t>
      </w:r>
      <w:r>
        <w:rPr>
          <w:sz w:val="28"/>
          <w:szCs w:val="28"/>
        </w:rPr>
        <w:t>）；</w:t>
      </w:r>
    </w:p>
    <w:p w14:paraId="65F0C068">
      <w:pPr>
        <w:spacing w:line="360" w:lineRule="auto"/>
        <w:ind w:firstLine="560" w:firstLineChars="200"/>
        <w:rPr>
          <w:sz w:val="28"/>
          <w:szCs w:val="28"/>
        </w:rPr>
      </w:pPr>
      <w:r>
        <w:rPr>
          <w:sz w:val="28"/>
          <w:szCs w:val="28"/>
        </w:rPr>
        <w:t>（1</w:t>
      </w:r>
      <w:r>
        <w:rPr>
          <w:rFonts w:hint="eastAsia"/>
          <w:sz w:val="28"/>
          <w:szCs w:val="28"/>
        </w:rPr>
        <w:t>4</w:t>
      </w:r>
      <w:r>
        <w:rPr>
          <w:sz w:val="28"/>
          <w:szCs w:val="28"/>
        </w:rPr>
        <w:t>）《煤矿土地复垦与生态修复技术规范》</w:t>
      </w:r>
      <w:r>
        <w:rPr>
          <w:rFonts w:hint="eastAsia"/>
          <w:sz w:val="28"/>
          <w:szCs w:val="28"/>
        </w:rPr>
        <w:t>（</w:t>
      </w:r>
      <w:r>
        <w:rPr>
          <w:sz w:val="28"/>
          <w:szCs w:val="28"/>
        </w:rPr>
        <w:t>GB/T 43934-2024</w:t>
      </w:r>
      <w:r>
        <w:rPr>
          <w:rFonts w:hint="eastAsia"/>
          <w:sz w:val="28"/>
          <w:szCs w:val="28"/>
        </w:rPr>
        <w:t>）</w:t>
      </w:r>
      <w:r>
        <w:rPr>
          <w:sz w:val="28"/>
          <w:szCs w:val="28"/>
        </w:rPr>
        <w:t>；</w:t>
      </w:r>
    </w:p>
    <w:p w14:paraId="60124EDD">
      <w:pPr>
        <w:spacing w:line="360" w:lineRule="auto"/>
        <w:ind w:firstLine="560" w:firstLineChars="200"/>
        <w:rPr>
          <w:sz w:val="28"/>
          <w:szCs w:val="28"/>
        </w:rPr>
      </w:pPr>
      <w:r>
        <w:rPr>
          <w:sz w:val="28"/>
          <w:szCs w:val="28"/>
        </w:rPr>
        <w:t>（1</w:t>
      </w:r>
      <w:r>
        <w:rPr>
          <w:rFonts w:hint="eastAsia"/>
          <w:sz w:val="28"/>
          <w:szCs w:val="28"/>
        </w:rPr>
        <w:t>5</w:t>
      </w:r>
      <w:r>
        <w:rPr>
          <w:sz w:val="28"/>
          <w:szCs w:val="28"/>
        </w:rPr>
        <w:t>）《矿山地质环境保护与恢复治理方案编制规范》</w:t>
      </w:r>
      <w:r>
        <w:rPr>
          <w:rFonts w:hint="eastAsia"/>
          <w:sz w:val="28"/>
          <w:szCs w:val="28"/>
        </w:rPr>
        <w:t>（</w:t>
      </w:r>
      <w:r>
        <w:rPr>
          <w:sz w:val="28"/>
          <w:szCs w:val="28"/>
        </w:rPr>
        <w:t>DZ/T 0223-2011</w:t>
      </w:r>
      <w:r>
        <w:rPr>
          <w:rFonts w:hint="eastAsia"/>
          <w:sz w:val="28"/>
          <w:szCs w:val="28"/>
        </w:rPr>
        <w:t>）</w:t>
      </w:r>
      <w:r>
        <w:rPr>
          <w:sz w:val="28"/>
          <w:szCs w:val="28"/>
        </w:rPr>
        <w:t>；</w:t>
      </w:r>
    </w:p>
    <w:p w14:paraId="39686281">
      <w:pPr>
        <w:spacing w:line="360" w:lineRule="auto"/>
        <w:ind w:firstLine="560" w:firstLineChars="200"/>
        <w:rPr>
          <w:sz w:val="28"/>
          <w:szCs w:val="28"/>
        </w:rPr>
      </w:pPr>
      <w:r>
        <w:rPr>
          <w:sz w:val="28"/>
          <w:szCs w:val="28"/>
        </w:rPr>
        <w:t>（1</w:t>
      </w:r>
      <w:r>
        <w:rPr>
          <w:rFonts w:hint="eastAsia"/>
          <w:sz w:val="28"/>
          <w:szCs w:val="28"/>
        </w:rPr>
        <w:t>6</w:t>
      </w:r>
      <w:r>
        <w:rPr>
          <w:sz w:val="28"/>
          <w:szCs w:val="28"/>
        </w:rPr>
        <w:t>）《矿山土地复垦与生态修复监测评价技术规范》（GB/T 43935-2024）；</w:t>
      </w:r>
    </w:p>
    <w:p w14:paraId="7497D01E">
      <w:pPr>
        <w:spacing w:line="360" w:lineRule="auto"/>
        <w:ind w:firstLine="560" w:firstLineChars="200"/>
        <w:rPr>
          <w:sz w:val="28"/>
          <w:szCs w:val="28"/>
        </w:rPr>
      </w:pPr>
      <w:r>
        <w:rPr>
          <w:sz w:val="28"/>
          <w:szCs w:val="28"/>
        </w:rPr>
        <w:t>（1</w:t>
      </w:r>
      <w:r>
        <w:rPr>
          <w:rFonts w:hint="eastAsia"/>
          <w:sz w:val="28"/>
          <w:szCs w:val="28"/>
        </w:rPr>
        <w:t>7</w:t>
      </w:r>
      <w:r>
        <w:rPr>
          <w:sz w:val="28"/>
          <w:szCs w:val="28"/>
        </w:rPr>
        <w:t>）《土地复垦质量控制标准》（TD/T 1036-2013）；</w:t>
      </w:r>
    </w:p>
    <w:p w14:paraId="7F180641">
      <w:pPr>
        <w:spacing w:line="360" w:lineRule="auto"/>
        <w:ind w:firstLine="560" w:firstLineChars="200"/>
        <w:rPr>
          <w:sz w:val="28"/>
          <w:szCs w:val="28"/>
        </w:rPr>
      </w:pPr>
      <w:r>
        <w:rPr>
          <w:sz w:val="28"/>
          <w:szCs w:val="28"/>
        </w:rPr>
        <w:t>（1</w:t>
      </w:r>
      <w:r>
        <w:rPr>
          <w:rFonts w:hint="eastAsia"/>
          <w:sz w:val="28"/>
          <w:szCs w:val="28"/>
        </w:rPr>
        <w:t>8</w:t>
      </w:r>
      <w:r>
        <w:rPr>
          <w:sz w:val="28"/>
          <w:szCs w:val="28"/>
        </w:rPr>
        <w:t>）《矿山生态修复技术规范 第1部分：通则》（TD/T</w:t>
      </w:r>
      <w:r>
        <w:rPr>
          <w:rFonts w:hint="eastAsia"/>
          <w:sz w:val="28"/>
          <w:szCs w:val="28"/>
        </w:rPr>
        <w:t xml:space="preserve"> </w:t>
      </w:r>
      <w:r>
        <w:rPr>
          <w:sz w:val="28"/>
          <w:szCs w:val="28"/>
        </w:rPr>
        <w:t>1070.1-2022）；</w:t>
      </w:r>
    </w:p>
    <w:p w14:paraId="57B4F974">
      <w:pPr>
        <w:spacing w:line="360" w:lineRule="auto"/>
        <w:ind w:firstLine="560" w:firstLineChars="200"/>
        <w:rPr>
          <w:sz w:val="28"/>
          <w:szCs w:val="28"/>
        </w:rPr>
      </w:pPr>
      <w:r>
        <w:rPr>
          <w:sz w:val="28"/>
          <w:szCs w:val="28"/>
        </w:rPr>
        <w:t>（</w:t>
      </w:r>
      <w:r>
        <w:rPr>
          <w:rFonts w:hint="eastAsia"/>
          <w:sz w:val="28"/>
          <w:szCs w:val="28"/>
        </w:rPr>
        <w:t>19</w:t>
      </w:r>
      <w:r>
        <w:rPr>
          <w:sz w:val="28"/>
          <w:szCs w:val="28"/>
        </w:rPr>
        <w:t>）《矿山生态修复技术规范 第3部分：金属矿山》（TD/T 1070.3-2024）；</w:t>
      </w:r>
    </w:p>
    <w:p w14:paraId="54D2AB22">
      <w:pPr>
        <w:spacing w:line="360" w:lineRule="auto"/>
        <w:ind w:firstLine="560" w:firstLineChars="200"/>
        <w:rPr>
          <w:sz w:val="28"/>
          <w:szCs w:val="28"/>
        </w:rPr>
      </w:pPr>
      <w:bookmarkStart w:id="23" w:name="OLE_LINK5"/>
      <w:r>
        <w:rPr>
          <w:sz w:val="28"/>
          <w:szCs w:val="28"/>
        </w:rPr>
        <w:t>（</w:t>
      </w:r>
      <w:r>
        <w:rPr>
          <w:rFonts w:hint="eastAsia"/>
          <w:sz w:val="28"/>
          <w:szCs w:val="28"/>
        </w:rPr>
        <w:t>20</w:t>
      </w:r>
      <w:r>
        <w:rPr>
          <w:sz w:val="28"/>
          <w:szCs w:val="28"/>
        </w:rPr>
        <w:t>）《建筑抗震设计标准（2024年版）》（GB/T 50011-2010）</w:t>
      </w:r>
      <w:bookmarkEnd w:id="23"/>
      <w:r>
        <w:rPr>
          <w:sz w:val="28"/>
          <w:szCs w:val="28"/>
        </w:rPr>
        <w:t>；</w:t>
      </w:r>
    </w:p>
    <w:p w14:paraId="30FC28F2">
      <w:pPr>
        <w:spacing w:line="360" w:lineRule="auto"/>
        <w:ind w:firstLine="560" w:firstLineChars="200"/>
        <w:rPr>
          <w:sz w:val="28"/>
          <w:szCs w:val="28"/>
        </w:rPr>
      </w:pPr>
      <w:r>
        <w:rPr>
          <w:sz w:val="28"/>
          <w:szCs w:val="28"/>
        </w:rPr>
        <w:t>（2</w:t>
      </w:r>
      <w:r>
        <w:rPr>
          <w:rFonts w:hint="eastAsia"/>
          <w:sz w:val="28"/>
          <w:szCs w:val="28"/>
        </w:rPr>
        <w:t>1</w:t>
      </w:r>
      <w:r>
        <w:rPr>
          <w:sz w:val="28"/>
          <w:szCs w:val="28"/>
        </w:rPr>
        <w:t>）《生活饮用水卫生标准》（GB 5749-2022）；</w:t>
      </w:r>
    </w:p>
    <w:p w14:paraId="54BB8D7A">
      <w:pPr>
        <w:spacing w:line="360" w:lineRule="auto"/>
        <w:ind w:firstLine="560" w:firstLineChars="200"/>
        <w:rPr>
          <w:bCs/>
          <w:sz w:val="28"/>
          <w:szCs w:val="28"/>
        </w:rPr>
      </w:pPr>
      <w:r>
        <w:rPr>
          <w:sz w:val="28"/>
          <w:szCs w:val="28"/>
        </w:rPr>
        <w:t>（2</w:t>
      </w:r>
      <w:r>
        <w:rPr>
          <w:rFonts w:hint="eastAsia"/>
          <w:sz w:val="28"/>
          <w:szCs w:val="28"/>
        </w:rPr>
        <w:t>2</w:t>
      </w:r>
      <w:r>
        <w:rPr>
          <w:sz w:val="28"/>
          <w:szCs w:val="28"/>
        </w:rPr>
        <w:t>）</w:t>
      </w:r>
      <w:r>
        <w:rPr>
          <w:bCs/>
          <w:sz w:val="28"/>
          <w:szCs w:val="28"/>
        </w:rPr>
        <w:t>《土壤环境质量 农用地土壤污染风险管控标准（试行）》（</w:t>
      </w:r>
      <w:r>
        <w:rPr>
          <w:sz w:val="28"/>
          <w:szCs w:val="28"/>
        </w:rPr>
        <w:t>GB 15618-2018</w:t>
      </w:r>
      <w:r>
        <w:rPr>
          <w:bCs/>
          <w:sz w:val="28"/>
          <w:szCs w:val="28"/>
        </w:rPr>
        <w:t>）；</w:t>
      </w:r>
    </w:p>
    <w:p w14:paraId="3A2F58B0">
      <w:pPr>
        <w:spacing w:line="360" w:lineRule="auto"/>
        <w:ind w:firstLine="560" w:firstLineChars="200"/>
        <w:rPr>
          <w:bCs/>
          <w:sz w:val="28"/>
          <w:szCs w:val="28"/>
        </w:rPr>
      </w:pPr>
      <w:r>
        <w:rPr>
          <w:bCs/>
          <w:sz w:val="28"/>
          <w:szCs w:val="28"/>
        </w:rPr>
        <w:t>（2</w:t>
      </w:r>
      <w:r>
        <w:rPr>
          <w:rFonts w:hint="eastAsia"/>
          <w:bCs/>
          <w:sz w:val="28"/>
          <w:szCs w:val="28"/>
        </w:rPr>
        <w:t>3</w:t>
      </w:r>
      <w:r>
        <w:rPr>
          <w:bCs/>
          <w:sz w:val="28"/>
          <w:szCs w:val="28"/>
        </w:rPr>
        <w:t>）《土壤环境质量 建设用地土壤污染风险管控标准（试行）</w:t>
      </w:r>
      <w:r>
        <w:rPr>
          <w:rFonts w:hint="eastAsia"/>
          <w:bCs/>
          <w:sz w:val="28"/>
          <w:szCs w:val="28"/>
        </w:rPr>
        <w:t>》</w:t>
      </w:r>
      <w:r>
        <w:rPr>
          <w:sz w:val="28"/>
          <w:szCs w:val="28"/>
        </w:rPr>
        <w:t>（GB 36600-2018）</w:t>
      </w:r>
      <w:r>
        <w:rPr>
          <w:bCs/>
          <w:sz w:val="28"/>
          <w:szCs w:val="28"/>
        </w:rPr>
        <w:t>。</w:t>
      </w:r>
    </w:p>
    <w:p w14:paraId="456A29D6">
      <w:pPr>
        <w:spacing w:line="360" w:lineRule="auto"/>
        <w:ind w:firstLine="560" w:firstLineChars="200"/>
        <w:rPr>
          <w:bCs/>
          <w:sz w:val="28"/>
          <w:szCs w:val="28"/>
        </w:rPr>
      </w:pPr>
      <w:r>
        <w:rPr>
          <w:rFonts w:hint="eastAsia"/>
          <w:bCs/>
          <w:sz w:val="28"/>
          <w:szCs w:val="28"/>
        </w:rPr>
        <w:t>（24）</w:t>
      </w:r>
      <w:r>
        <w:rPr>
          <w:bCs/>
          <w:sz w:val="28"/>
          <w:szCs w:val="28"/>
        </w:rPr>
        <w:t>《生态系统评估生态系统格局与质量评价方法》(GBT</w:t>
      </w:r>
      <w:r>
        <w:rPr>
          <w:rFonts w:hint="eastAsia"/>
          <w:bCs/>
          <w:sz w:val="28"/>
          <w:szCs w:val="28"/>
        </w:rPr>
        <w:t xml:space="preserve"> </w:t>
      </w:r>
      <w:r>
        <w:rPr>
          <w:bCs/>
          <w:sz w:val="28"/>
          <w:szCs w:val="28"/>
        </w:rPr>
        <w:t>42340-2023)；</w:t>
      </w:r>
    </w:p>
    <w:p w14:paraId="14D3BEAD">
      <w:pPr>
        <w:spacing w:line="360" w:lineRule="auto"/>
        <w:ind w:firstLine="560" w:firstLineChars="200"/>
        <w:rPr>
          <w:bCs/>
          <w:sz w:val="28"/>
          <w:szCs w:val="28"/>
        </w:rPr>
      </w:pPr>
      <w:r>
        <w:rPr>
          <w:rFonts w:hint="eastAsia"/>
          <w:bCs/>
          <w:sz w:val="28"/>
          <w:szCs w:val="28"/>
        </w:rPr>
        <w:t>（25）</w:t>
      </w:r>
      <w:r>
        <w:rPr>
          <w:bCs/>
          <w:sz w:val="28"/>
          <w:szCs w:val="28"/>
        </w:rPr>
        <w:t>《全国生态状况调查评估技术规范—生态系统遥感解译与野外核查》(HJ 1166-2021)；</w:t>
      </w:r>
    </w:p>
    <w:p w14:paraId="1A46B4B6">
      <w:pPr>
        <w:spacing w:line="360" w:lineRule="auto"/>
        <w:ind w:firstLine="560" w:firstLineChars="200"/>
        <w:rPr>
          <w:bCs/>
          <w:sz w:val="28"/>
          <w:szCs w:val="28"/>
        </w:rPr>
      </w:pPr>
      <w:r>
        <w:rPr>
          <w:rFonts w:hint="eastAsia"/>
          <w:bCs/>
          <w:sz w:val="28"/>
          <w:szCs w:val="28"/>
        </w:rPr>
        <w:t>（26）</w:t>
      </w:r>
      <w:r>
        <w:rPr>
          <w:bCs/>
          <w:sz w:val="28"/>
          <w:szCs w:val="28"/>
        </w:rPr>
        <w:t>《全国生态状况调查评估技术规范—生态问题评估》(HJ 1174-2021)；</w:t>
      </w:r>
    </w:p>
    <w:p w14:paraId="258F76FF">
      <w:pPr>
        <w:spacing w:line="360" w:lineRule="auto"/>
        <w:ind w:firstLine="560" w:firstLineChars="200"/>
        <w:rPr>
          <w:bCs/>
          <w:sz w:val="28"/>
          <w:szCs w:val="28"/>
        </w:rPr>
      </w:pPr>
      <w:r>
        <w:rPr>
          <w:rFonts w:hint="eastAsia"/>
          <w:bCs/>
          <w:sz w:val="28"/>
          <w:szCs w:val="28"/>
        </w:rPr>
        <w:t>（27）</w:t>
      </w:r>
      <w:r>
        <w:rPr>
          <w:bCs/>
          <w:sz w:val="28"/>
          <w:szCs w:val="28"/>
        </w:rPr>
        <w:t>《一般工业固体废物贮存和填埋污染控制标准》（GB 18599-2020）。</w:t>
      </w:r>
    </w:p>
    <w:bookmarkEnd w:id="17"/>
    <w:bookmarkEnd w:id="21"/>
    <w:p w14:paraId="0BD4D60D">
      <w:pPr>
        <w:spacing w:line="360" w:lineRule="auto"/>
        <w:ind w:firstLine="560" w:firstLineChars="200"/>
        <w:rPr>
          <w:sz w:val="28"/>
          <w:szCs w:val="28"/>
        </w:rPr>
      </w:pPr>
      <w:r>
        <w:rPr>
          <w:sz w:val="28"/>
          <w:szCs w:val="28"/>
        </w:rPr>
        <w:t>4、技术资料</w:t>
      </w:r>
    </w:p>
    <w:p w14:paraId="7F247A26">
      <w:pPr>
        <w:spacing w:line="360" w:lineRule="auto"/>
        <w:ind w:firstLine="548" w:firstLineChars="200"/>
        <w:rPr>
          <w:spacing w:val="-3"/>
          <w:sz w:val="28"/>
          <w:szCs w:val="28"/>
        </w:rPr>
      </w:pPr>
      <w:r>
        <w:rPr>
          <w:rFonts w:hint="eastAsia"/>
          <w:spacing w:val="-3"/>
          <w:sz w:val="28"/>
          <w:szCs w:val="28"/>
        </w:rPr>
        <w:t>（1）</w:t>
      </w:r>
      <w:r>
        <w:rPr>
          <w:spacing w:val="-3"/>
          <w:sz w:val="28"/>
          <w:szCs w:val="28"/>
        </w:rPr>
        <w:t>2016年5月，赤峰宏远地质勘查有限公司</w:t>
      </w:r>
      <w:r>
        <w:rPr>
          <w:rFonts w:hint="eastAsia"/>
          <w:spacing w:val="-3"/>
          <w:sz w:val="28"/>
          <w:szCs w:val="28"/>
        </w:rPr>
        <w:t>编制的</w:t>
      </w:r>
      <w:r>
        <w:rPr>
          <w:spacing w:val="-3"/>
          <w:sz w:val="28"/>
          <w:szCs w:val="28"/>
        </w:rPr>
        <w:t>《内蒙古自治区赤峰市松山区赤峰国富玄武岩碎石矿普查报告》</w:t>
      </w:r>
    </w:p>
    <w:p w14:paraId="356F044F">
      <w:pPr>
        <w:spacing w:line="360" w:lineRule="auto"/>
        <w:ind w:firstLine="548" w:firstLineChars="200"/>
        <w:rPr>
          <w:spacing w:val="-3"/>
          <w:sz w:val="28"/>
          <w:szCs w:val="28"/>
        </w:rPr>
      </w:pPr>
      <w:r>
        <w:rPr>
          <w:rFonts w:hint="eastAsia"/>
          <w:spacing w:val="-3"/>
          <w:sz w:val="28"/>
          <w:szCs w:val="28"/>
        </w:rPr>
        <w:t>（2）</w:t>
      </w:r>
      <w:r>
        <w:rPr>
          <w:spacing w:val="-3"/>
          <w:sz w:val="28"/>
          <w:szCs w:val="28"/>
        </w:rPr>
        <w:t>2016年5月，赤峰国富玄武岩矿编制的《内蒙古自治区赤峰市松山区赤峰国富玄武岩碎石矿矿产资源开发利用方案》（赤国土资评审字（2016）第56号）；</w:t>
      </w:r>
    </w:p>
    <w:p w14:paraId="7F0511F4">
      <w:pPr>
        <w:spacing w:line="360" w:lineRule="auto"/>
        <w:ind w:firstLine="548" w:firstLineChars="200"/>
        <w:rPr>
          <w:spacing w:val="-3"/>
          <w:sz w:val="28"/>
          <w:szCs w:val="28"/>
        </w:rPr>
      </w:pPr>
      <w:r>
        <w:rPr>
          <w:rFonts w:hint="eastAsia"/>
          <w:spacing w:val="-3"/>
          <w:sz w:val="28"/>
          <w:szCs w:val="28"/>
        </w:rPr>
        <w:t>（3）</w:t>
      </w:r>
      <w:r>
        <w:rPr>
          <w:spacing w:val="-3"/>
          <w:sz w:val="28"/>
          <w:szCs w:val="28"/>
        </w:rPr>
        <w:t>2017年6月，内蒙古龙旺地质勘探有限责任公司编制的《内蒙古自治区赤峰市松山区（赤峰国富玄武岩碎石矿）矿山地质环境治理方案》（赤矿治字（2017）030号）；</w:t>
      </w:r>
    </w:p>
    <w:p w14:paraId="008EB3E2">
      <w:pPr>
        <w:spacing w:line="360" w:lineRule="auto"/>
        <w:ind w:firstLine="548" w:firstLineChars="200"/>
        <w:rPr>
          <w:spacing w:val="-3"/>
          <w:sz w:val="28"/>
          <w:szCs w:val="28"/>
        </w:rPr>
      </w:pPr>
      <w:r>
        <w:rPr>
          <w:rFonts w:hint="eastAsia"/>
          <w:spacing w:val="-3"/>
          <w:sz w:val="28"/>
          <w:szCs w:val="28"/>
        </w:rPr>
        <w:t>（4）</w:t>
      </w:r>
      <w:r>
        <w:rPr>
          <w:spacing w:val="-3"/>
          <w:sz w:val="28"/>
          <w:szCs w:val="28"/>
        </w:rPr>
        <w:t>2018年4月，内蒙古久顺地质勘查有限公司编制的《赤峰市松山区赤峰国富玄武岩碎石矿矿山地质环境分期治理方案（2012.1.1-2014.7.31）（赤分治字（2018）051号）；</w:t>
      </w:r>
    </w:p>
    <w:p w14:paraId="7D978A7D">
      <w:pPr>
        <w:spacing w:line="360" w:lineRule="auto"/>
        <w:ind w:firstLine="548" w:firstLineChars="200"/>
        <w:rPr>
          <w:spacing w:val="-3"/>
          <w:sz w:val="28"/>
          <w:szCs w:val="28"/>
        </w:rPr>
      </w:pPr>
      <w:r>
        <w:rPr>
          <w:rFonts w:hint="eastAsia"/>
          <w:spacing w:val="-3"/>
          <w:sz w:val="28"/>
          <w:szCs w:val="28"/>
        </w:rPr>
        <w:t>（5）</w:t>
      </w:r>
      <w:r>
        <w:rPr>
          <w:spacing w:val="-3"/>
          <w:sz w:val="28"/>
          <w:szCs w:val="28"/>
        </w:rPr>
        <w:t>内蒙古自治区矿山地质环境分期治理工程验收意见书（编号：</w:t>
      </w:r>
      <w:r>
        <w:rPr>
          <w:rFonts w:hint="eastAsia" w:ascii="宋体" w:hAnsi="宋体" w:cs="宋体"/>
          <w:spacing w:val="13"/>
          <w:sz w:val="32"/>
          <w:szCs w:val="32"/>
        </w:rPr>
        <w:t>***</w:t>
      </w:r>
      <w:r>
        <w:rPr>
          <w:spacing w:val="-3"/>
          <w:sz w:val="28"/>
          <w:szCs w:val="28"/>
        </w:rPr>
        <w:t>）（一分期）；</w:t>
      </w:r>
    </w:p>
    <w:p w14:paraId="39A8CFC1">
      <w:pPr>
        <w:spacing w:line="360" w:lineRule="auto"/>
        <w:ind w:firstLine="548" w:firstLineChars="200"/>
        <w:rPr>
          <w:spacing w:val="-3"/>
          <w:sz w:val="28"/>
          <w:szCs w:val="28"/>
        </w:rPr>
      </w:pPr>
      <w:r>
        <w:rPr>
          <w:rFonts w:hint="eastAsia"/>
          <w:spacing w:val="-3"/>
          <w:sz w:val="28"/>
          <w:szCs w:val="28"/>
        </w:rPr>
        <w:t>（6）</w:t>
      </w:r>
      <w:r>
        <w:rPr>
          <w:spacing w:val="-3"/>
          <w:sz w:val="28"/>
          <w:szCs w:val="28"/>
        </w:rPr>
        <w:t>《内蒙古自治区矿山地质环境治理工程现场核查意见书》（2020年度治理计划书）；</w:t>
      </w:r>
    </w:p>
    <w:p w14:paraId="1C36E52C">
      <w:pPr>
        <w:spacing w:line="360" w:lineRule="auto"/>
        <w:ind w:firstLine="548" w:firstLineChars="200"/>
        <w:rPr>
          <w:spacing w:val="-3"/>
          <w:sz w:val="28"/>
          <w:szCs w:val="28"/>
        </w:rPr>
      </w:pPr>
      <w:r>
        <w:rPr>
          <w:rFonts w:hint="eastAsia"/>
          <w:spacing w:val="-3"/>
          <w:sz w:val="28"/>
          <w:szCs w:val="28"/>
        </w:rPr>
        <w:t>（7）</w:t>
      </w:r>
      <w:r>
        <w:rPr>
          <w:spacing w:val="-3"/>
          <w:sz w:val="28"/>
          <w:szCs w:val="28"/>
        </w:rPr>
        <w:t>《内蒙古自治区矿山地质环境治理工程现场核查意见书》（2021年度治理计划书）；</w:t>
      </w:r>
    </w:p>
    <w:p w14:paraId="01029C75">
      <w:pPr>
        <w:spacing w:line="360" w:lineRule="auto"/>
        <w:ind w:firstLine="548" w:firstLineChars="200"/>
        <w:rPr>
          <w:spacing w:val="-3"/>
          <w:sz w:val="28"/>
          <w:szCs w:val="28"/>
        </w:rPr>
      </w:pPr>
      <w:r>
        <w:rPr>
          <w:rFonts w:hint="eastAsia"/>
          <w:spacing w:val="-3"/>
          <w:sz w:val="28"/>
          <w:szCs w:val="28"/>
        </w:rPr>
        <w:t>（8）2022年1月，</w:t>
      </w:r>
      <w:r>
        <w:rPr>
          <w:spacing w:val="-3"/>
          <w:sz w:val="28"/>
          <w:szCs w:val="28"/>
        </w:rPr>
        <w:t>赤峰市青云规划测绘有限责任公司编制的</w:t>
      </w:r>
      <w:r>
        <w:rPr>
          <w:rFonts w:hint="eastAsia"/>
          <w:spacing w:val="-3"/>
          <w:sz w:val="28"/>
          <w:szCs w:val="28"/>
        </w:rPr>
        <w:t>《内蒙古自治区赤峰市松山区赤峰国富玄武岩石材矿资源储量2021年度变化表》</w:t>
      </w:r>
    </w:p>
    <w:p w14:paraId="5C38F551">
      <w:pPr>
        <w:spacing w:line="360" w:lineRule="auto"/>
        <w:ind w:firstLine="548" w:firstLineChars="200"/>
        <w:rPr>
          <w:spacing w:val="-3"/>
          <w:sz w:val="28"/>
          <w:szCs w:val="28"/>
        </w:rPr>
      </w:pPr>
      <w:r>
        <w:rPr>
          <w:rFonts w:hint="eastAsia"/>
          <w:spacing w:val="-3"/>
          <w:sz w:val="28"/>
          <w:szCs w:val="28"/>
        </w:rPr>
        <w:t>（9）2023年1月，</w:t>
      </w:r>
      <w:r>
        <w:rPr>
          <w:spacing w:val="-3"/>
          <w:sz w:val="28"/>
          <w:szCs w:val="28"/>
        </w:rPr>
        <w:t>赤峰市青云规划测绘有限责任公司编制的</w:t>
      </w:r>
      <w:r>
        <w:rPr>
          <w:rFonts w:hint="eastAsia"/>
          <w:spacing w:val="-3"/>
          <w:sz w:val="28"/>
          <w:szCs w:val="28"/>
        </w:rPr>
        <w:t>《内蒙古自治区赤峰市松山区赤峰国富玄武岩石材矿资源储量2022年度变化表》（</w:t>
      </w:r>
      <w:r>
        <w:rPr>
          <w:spacing w:val="-3"/>
          <w:sz w:val="28"/>
          <w:szCs w:val="28"/>
        </w:rPr>
        <w:t>赤松年报审字［2022］D015号</w:t>
      </w:r>
      <w:r>
        <w:rPr>
          <w:rFonts w:hint="eastAsia"/>
          <w:spacing w:val="-3"/>
          <w:sz w:val="28"/>
          <w:szCs w:val="28"/>
        </w:rPr>
        <w:t>）</w:t>
      </w:r>
    </w:p>
    <w:p w14:paraId="102802D7">
      <w:pPr>
        <w:spacing w:line="360" w:lineRule="auto"/>
        <w:ind w:firstLine="548" w:firstLineChars="200"/>
        <w:rPr>
          <w:spacing w:val="-3"/>
          <w:sz w:val="28"/>
          <w:szCs w:val="28"/>
        </w:rPr>
      </w:pPr>
      <w:r>
        <w:rPr>
          <w:rFonts w:hint="eastAsia"/>
          <w:spacing w:val="-3"/>
          <w:sz w:val="28"/>
          <w:szCs w:val="28"/>
        </w:rPr>
        <w:t>（10）</w:t>
      </w:r>
      <w:r>
        <w:rPr>
          <w:spacing w:val="-3"/>
          <w:sz w:val="28"/>
          <w:szCs w:val="28"/>
        </w:rPr>
        <w:t>《内蒙古自治区矿山地质环境治理工程现场核查意见书》（202</w:t>
      </w:r>
      <w:r>
        <w:rPr>
          <w:rFonts w:hint="eastAsia"/>
          <w:spacing w:val="-3"/>
          <w:sz w:val="28"/>
          <w:szCs w:val="28"/>
        </w:rPr>
        <w:t>4</w:t>
      </w:r>
      <w:r>
        <w:rPr>
          <w:spacing w:val="-3"/>
          <w:sz w:val="28"/>
          <w:szCs w:val="28"/>
        </w:rPr>
        <w:t>年度治理计划书）；</w:t>
      </w:r>
    </w:p>
    <w:p w14:paraId="6A01ABF3">
      <w:pPr>
        <w:spacing w:line="360" w:lineRule="auto"/>
        <w:ind w:firstLine="548" w:firstLineChars="200"/>
        <w:rPr>
          <w:spacing w:val="-3"/>
          <w:sz w:val="28"/>
          <w:szCs w:val="28"/>
        </w:rPr>
      </w:pPr>
      <w:r>
        <w:rPr>
          <w:rFonts w:hint="eastAsia"/>
          <w:spacing w:val="-3"/>
          <w:sz w:val="28"/>
          <w:szCs w:val="28"/>
        </w:rPr>
        <w:t>（11）</w:t>
      </w:r>
      <w:r>
        <w:rPr>
          <w:spacing w:val="-3"/>
          <w:sz w:val="28"/>
          <w:szCs w:val="28"/>
        </w:rPr>
        <w:t>《内蒙古自治区矿山地质环境治理工程现场核查意见书》（202</w:t>
      </w:r>
      <w:r>
        <w:rPr>
          <w:rFonts w:hint="eastAsia"/>
          <w:spacing w:val="-3"/>
          <w:sz w:val="28"/>
          <w:szCs w:val="28"/>
        </w:rPr>
        <w:t>5</w:t>
      </w:r>
      <w:r>
        <w:rPr>
          <w:spacing w:val="-3"/>
          <w:sz w:val="28"/>
          <w:szCs w:val="28"/>
        </w:rPr>
        <w:t>年度治理计划书）；</w:t>
      </w:r>
    </w:p>
    <w:p w14:paraId="5D2E6BCE">
      <w:pPr>
        <w:spacing w:line="360" w:lineRule="auto"/>
        <w:ind w:firstLine="560" w:firstLineChars="200"/>
        <w:jc w:val="left"/>
        <w:rPr>
          <w:sz w:val="28"/>
          <w:szCs w:val="28"/>
        </w:rPr>
      </w:pPr>
      <w:r>
        <w:rPr>
          <w:sz w:val="28"/>
          <w:szCs w:val="28"/>
        </w:rPr>
        <w:t>（12）202</w:t>
      </w:r>
      <w:r>
        <w:rPr>
          <w:rFonts w:hint="eastAsia"/>
          <w:sz w:val="28"/>
          <w:szCs w:val="28"/>
        </w:rPr>
        <w:t>3</w:t>
      </w:r>
      <w:r>
        <w:rPr>
          <w:sz w:val="28"/>
          <w:szCs w:val="28"/>
        </w:rPr>
        <w:t>年1月，松山区人民政府提交的《松山区矿产资源</w:t>
      </w:r>
      <w:r>
        <w:rPr>
          <w:rFonts w:hint="eastAsia"/>
          <w:sz w:val="28"/>
          <w:szCs w:val="28"/>
        </w:rPr>
        <w:t>总体</w:t>
      </w:r>
      <w:r>
        <w:rPr>
          <w:sz w:val="28"/>
          <w:szCs w:val="28"/>
        </w:rPr>
        <w:t>规划（2021-2025年）》；</w:t>
      </w:r>
    </w:p>
    <w:p w14:paraId="58EAB891">
      <w:pPr>
        <w:spacing w:line="360" w:lineRule="auto"/>
        <w:ind w:firstLine="560" w:firstLineChars="200"/>
        <w:rPr>
          <w:sz w:val="28"/>
          <w:szCs w:val="28"/>
          <w:lang w:val="zh-CN"/>
        </w:rPr>
      </w:pPr>
      <w:r>
        <w:rPr>
          <w:sz w:val="28"/>
          <w:szCs w:val="28"/>
        </w:rPr>
        <w:t>（13）</w:t>
      </w:r>
      <w:r>
        <w:rPr>
          <w:sz w:val="28"/>
          <w:szCs w:val="28"/>
          <w:lang w:val="zh-CN"/>
        </w:rPr>
        <w:t>第三次土地利用现状1:10000调查资料</w:t>
      </w:r>
      <w:r>
        <w:rPr>
          <w:rFonts w:hint="eastAsia"/>
          <w:sz w:val="28"/>
          <w:szCs w:val="28"/>
          <w:lang w:val="zh-CN"/>
        </w:rPr>
        <w:t>，图幅号[</w:t>
      </w:r>
      <w:r>
        <w:rPr>
          <w:rFonts w:hint="eastAsia" w:ascii="宋体" w:hAnsi="宋体" w:cs="宋体"/>
          <w:spacing w:val="13"/>
          <w:sz w:val="32"/>
          <w:szCs w:val="32"/>
        </w:rPr>
        <w:t>***</w:t>
      </w:r>
      <w:r>
        <w:rPr>
          <w:rFonts w:hint="eastAsia"/>
          <w:sz w:val="28"/>
          <w:szCs w:val="28"/>
          <w:lang w:val="zh-CN"/>
        </w:rPr>
        <w:t>]</w:t>
      </w:r>
      <w:r>
        <w:rPr>
          <w:sz w:val="28"/>
          <w:szCs w:val="28"/>
          <w:lang w:val="zh-CN"/>
        </w:rPr>
        <w:t>；</w:t>
      </w:r>
    </w:p>
    <w:p w14:paraId="3FB780BF">
      <w:pPr>
        <w:spacing w:line="360" w:lineRule="auto"/>
        <w:ind w:firstLine="560" w:firstLineChars="200"/>
        <w:jc w:val="left"/>
        <w:rPr>
          <w:sz w:val="28"/>
          <w:szCs w:val="28"/>
          <w:lang w:val="zh-CN"/>
        </w:rPr>
      </w:pPr>
      <w:r>
        <w:rPr>
          <w:sz w:val="28"/>
          <w:szCs w:val="28"/>
          <w:lang w:val="zh-CN"/>
        </w:rPr>
        <w:t>（14）松山区2024年国土变更调查数据；</w:t>
      </w:r>
    </w:p>
    <w:p w14:paraId="7DD2F2B4">
      <w:pPr>
        <w:spacing w:line="360" w:lineRule="auto"/>
        <w:ind w:firstLine="560" w:firstLineChars="200"/>
        <w:jc w:val="left"/>
        <w:rPr>
          <w:sz w:val="28"/>
          <w:szCs w:val="28"/>
          <w:lang w:val="zh-CN"/>
        </w:rPr>
      </w:pPr>
      <w:bookmarkStart w:id="24" w:name="OLE_LINK6"/>
      <w:r>
        <w:rPr>
          <w:sz w:val="28"/>
          <w:szCs w:val="28"/>
          <w:lang w:val="zh-CN"/>
        </w:rPr>
        <w:t>（15）《内蒙古自治区生态功能区划报告》；</w:t>
      </w:r>
    </w:p>
    <w:bookmarkEnd w:id="24"/>
    <w:p w14:paraId="20B5E2FF">
      <w:pPr>
        <w:spacing w:line="360" w:lineRule="auto"/>
        <w:ind w:firstLine="560" w:firstLineChars="200"/>
        <w:jc w:val="left"/>
        <w:rPr>
          <w:sz w:val="28"/>
          <w:szCs w:val="28"/>
          <w:lang w:val="zh-CN"/>
        </w:rPr>
      </w:pPr>
      <w:r>
        <w:rPr>
          <w:sz w:val="28"/>
          <w:szCs w:val="28"/>
          <w:lang w:val="zh-CN"/>
        </w:rPr>
        <w:t>（16）《赤峰市国土空间生态修复规划（2021-2035）》；</w:t>
      </w:r>
    </w:p>
    <w:p w14:paraId="7CD210FF">
      <w:pPr>
        <w:spacing w:line="360" w:lineRule="auto"/>
        <w:ind w:firstLine="548" w:firstLineChars="200"/>
        <w:jc w:val="left"/>
        <w:rPr>
          <w:spacing w:val="-3"/>
          <w:sz w:val="28"/>
          <w:szCs w:val="28"/>
        </w:rPr>
      </w:pPr>
      <w:r>
        <w:rPr>
          <w:spacing w:val="-3"/>
          <w:sz w:val="28"/>
          <w:szCs w:val="28"/>
        </w:rPr>
        <w:t>（17）《赤峰市国土空间总体规划（2021-2035年）》；</w:t>
      </w:r>
    </w:p>
    <w:p w14:paraId="21E307F7">
      <w:pPr>
        <w:spacing w:line="360" w:lineRule="auto"/>
        <w:ind w:firstLine="560" w:firstLineChars="200"/>
        <w:jc w:val="left"/>
        <w:rPr>
          <w:sz w:val="28"/>
          <w:szCs w:val="28"/>
          <w:lang w:val="zh-CN"/>
        </w:rPr>
      </w:pPr>
      <w:r>
        <w:rPr>
          <w:sz w:val="28"/>
          <w:szCs w:val="28"/>
          <w:lang w:val="zh-CN"/>
        </w:rPr>
        <w:t>（18）《松山区国土空间总体规划（2021-2035年）》；</w:t>
      </w:r>
    </w:p>
    <w:p w14:paraId="1DB555FD">
      <w:pPr>
        <w:spacing w:line="360" w:lineRule="auto"/>
        <w:ind w:firstLine="560" w:firstLineChars="200"/>
        <w:jc w:val="left"/>
        <w:rPr>
          <w:sz w:val="28"/>
          <w:szCs w:val="28"/>
        </w:rPr>
      </w:pPr>
      <w:r>
        <w:rPr>
          <w:sz w:val="28"/>
          <w:szCs w:val="28"/>
          <w:lang w:val="zh-CN"/>
        </w:rPr>
        <w:t>（</w:t>
      </w:r>
      <w:r>
        <w:rPr>
          <w:sz w:val="28"/>
          <w:szCs w:val="28"/>
        </w:rPr>
        <w:t>19</w:t>
      </w:r>
      <w:r>
        <w:rPr>
          <w:sz w:val="28"/>
          <w:szCs w:val="28"/>
          <w:lang w:val="zh-CN"/>
        </w:rPr>
        <w:t>）</w:t>
      </w:r>
      <w:r>
        <w:rPr>
          <w:sz w:val="28"/>
          <w:szCs w:val="28"/>
        </w:rPr>
        <w:t>赤峰市松山区</w:t>
      </w:r>
      <w:r>
        <w:rPr>
          <w:sz w:val="28"/>
          <w:szCs w:val="28"/>
          <w:lang w:val="zh-CN"/>
        </w:rPr>
        <w:t>气象资料</w:t>
      </w:r>
      <w:r>
        <w:rPr>
          <w:rFonts w:hint="eastAsia"/>
          <w:sz w:val="28"/>
          <w:szCs w:val="28"/>
          <w:lang w:val="zh-CN"/>
        </w:rPr>
        <w:t>（2016-2025）</w:t>
      </w:r>
      <w:r>
        <w:rPr>
          <w:sz w:val="28"/>
          <w:szCs w:val="28"/>
          <w:lang w:val="zh-CN"/>
        </w:rPr>
        <w:t>；</w:t>
      </w:r>
    </w:p>
    <w:p w14:paraId="50B09AC8">
      <w:pPr>
        <w:spacing w:line="360" w:lineRule="auto"/>
        <w:ind w:firstLine="560" w:firstLineChars="200"/>
        <w:jc w:val="left"/>
        <w:rPr>
          <w:spacing w:val="-3"/>
          <w:sz w:val="28"/>
          <w:szCs w:val="28"/>
          <w:lang w:val="zh-CN"/>
        </w:rPr>
      </w:pPr>
      <w:r>
        <w:rPr>
          <w:sz w:val="28"/>
          <w:szCs w:val="28"/>
        </w:rPr>
        <w:t>（20）</w:t>
      </w:r>
      <w:r>
        <w:rPr>
          <w:sz w:val="28"/>
          <w:szCs w:val="28"/>
          <w:lang w:val="zh-CN"/>
        </w:rPr>
        <w:t>矿</w:t>
      </w:r>
      <w:r>
        <w:rPr>
          <w:spacing w:val="-3"/>
          <w:sz w:val="28"/>
          <w:szCs w:val="28"/>
          <w:lang w:val="zh-CN"/>
        </w:rPr>
        <w:t>山提供的其他资料；</w:t>
      </w:r>
    </w:p>
    <w:bookmarkEnd w:id="18"/>
    <w:p w14:paraId="222EDCA0">
      <w:pPr>
        <w:adjustRightInd w:val="0"/>
        <w:snapToGrid w:val="0"/>
        <w:spacing w:line="360" w:lineRule="auto"/>
        <w:ind w:firstLine="562" w:firstLineChars="200"/>
        <w:outlineLvl w:val="2"/>
      </w:pPr>
      <w:r>
        <w:rPr>
          <w:b/>
          <w:bCs/>
          <w:sz w:val="28"/>
          <w:szCs w:val="28"/>
        </w:rPr>
        <w:t>二、服务年限</w:t>
      </w:r>
    </w:p>
    <w:p w14:paraId="7AD2A42A">
      <w:pPr>
        <w:spacing w:line="360" w:lineRule="auto"/>
        <w:ind w:firstLine="562" w:firstLineChars="200"/>
        <w:rPr>
          <w:b/>
          <w:bCs/>
          <w:sz w:val="28"/>
          <w:szCs w:val="28"/>
        </w:rPr>
      </w:pPr>
      <w:r>
        <w:rPr>
          <w:b/>
          <w:bCs/>
          <w:sz w:val="28"/>
          <w:szCs w:val="28"/>
        </w:rPr>
        <w:t>（一）生产服务年限</w:t>
      </w:r>
    </w:p>
    <w:p w14:paraId="7DF0C861">
      <w:pPr>
        <w:spacing w:line="360" w:lineRule="auto"/>
        <w:ind w:firstLine="548" w:firstLineChars="200"/>
        <w:rPr>
          <w:spacing w:val="-3"/>
          <w:sz w:val="28"/>
          <w:szCs w:val="28"/>
        </w:rPr>
      </w:pPr>
      <w:r>
        <w:rPr>
          <w:spacing w:val="-3"/>
          <w:sz w:val="28"/>
          <w:szCs w:val="28"/>
        </w:rPr>
        <w:t>2016年5月，赤峰国富玄武岩矿自行编制了《内蒙古自治区赤峰市松山区赤峰国富玄武岩碎石矿矿产资源开发利用方案》（赤国土资评审字（2016）第56号），《开发利用方案》采用的储量依据为2016年5月矿山提交的《普查报告》，</w:t>
      </w:r>
      <w:r>
        <w:rPr>
          <w:sz w:val="28"/>
          <w:szCs w:val="28"/>
        </w:rPr>
        <w:t>累计查明资源量</w:t>
      </w:r>
      <w:r>
        <w:rPr>
          <w:bCs/>
          <w:sz w:val="28"/>
          <w:szCs w:val="28"/>
        </w:rPr>
        <w:t>矿石体积：</w:t>
      </w:r>
      <w:r>
        <w:rPr>
          <w:rFonts w:hint="eastAsia" w:ascii="宋体" w:hAnsi="宋体" w:cs="宋体"/>
          <w:spacing w:val="13"/>
          <w:sz w:val="32"/>
          <w:szCs w:val="32"/>
        </w:rPr>
        <w:t>***</w:t>
      </w:r>
      <w:r>
        <w:rPr>
          <w:bCs/>
          <w:sz w:val="28"/>
          <w:szCs w:val="28"/>
        </w:rPr>
        <w:t>m</w:t>
      </w:r>
      <w:r>
        <w:rPr>
          <w:bCs/>
          <w:sz w:val="28"/>
          <w:szCs w:val="28"/>
          <w:vertAlign w:val="superscript"/>
        </w:rPr>
        <w:t>3</w:t>
      </w:r>
      <w:r>
        <w:rPr>
          <w:bCs/>
          <w:sz w:val="28"/>
          <w:szCs w:val="28"/>
        </w:rPr>
        <w:t>，矿石量：</w:t>
      </w:r>
      <w:r>
        <w:rPr>
          <w:rFonts w:hint="eastAsia" w:ascii="宋体" w:hAnsi="宋体" w:cs="宋体"/>
          <w:spacing w:val="13"/>
          <w:sz w:val="32"/>
          <w:szCs w:val="32"/>
        </w:rPr>
        <w:t>***</w:t>
      </w:r>
      <w:r>
        <w:rPr>
          <w:bCs/>
          <w:sz w:val="28"/>
          <w:szCs w:val="28"/>
        </w:rPr>
        <w:t>t。</w:t>
      </w:r>
      <w:r>
        <w:rPr>
          <w:spacing w:val="-3"/>
          <w:sz w:val="28"/>
          <w:szCs w:val="28"/>
        </w:rPr>
        <w:t>《开发利用方案》</w:t>
      </w:r>
      <w:r>
        <w:rPr>
          <w:bCs/>
          <w:spacing w:val="-3"/>
          <w:sz w:val="28"/>
          <w:szCs w:val="28"/>
        </w:rPr>
        <w:t>采用的资源储量(333)矿石体积</w:t>
      </w:r>
      <w:r>
        <w:rPr>
          <w:rFonts w:hint="eastAsia" w:ascii="宋体" w:hAnsi="宋体" w:cs="宋体"/>
          <w:spacing w:val="13"/>
          <w:sz w:val="32"/>
          <w:szCs w:val="32"/>
        </w:rPr>
        <w:t>***</w:t>
      </w:r>
      <w:r>
        <w:rPr>
          <w:bCs/>
          <w:spacing w:val="-3"/>
          <w:sz w:val="28"/>
          <w:szCs w:val="28"/>
        </w:rPr>
        <w:t>m</w:t>
      </w:r>
      <w:r>
        <w:rPr>
          <w:bCs/>
          <w:spacing w:val="-3"/>
          <w:sz w:val="28"/>
          <w:szCs w:val="28"/>
          <w:vertAlign w:val="superscript"/>
        </w:rPr>
        <w:t>3</w:t>
      </w:r>
      <w:r>
        <w:rPr>
          <w:bCs/>
          <w:spacing w:val="-3"/>
          <w:sz w:val="28"/>
          <w:szCs w:val="28"/>
        </w:rPr>
        <w:t>，矿石量：</w:t>
      </w:r>
      <w:r>
        <w:rPr>
          <w:rFonts w:hint="eastAsia" w:ascii="宋体" w:hAnsi="宋体" w:cs="宋体"/>
          <w:spacing w:val="13"/>
          <w:sz w:val="32"/>
          <w:szCs w:val="32"/>
        </w:rPr>
        <w:t>***</w:t>
      </w:r>
      <w:r>
        <w:rPr>
          <w:bCs/>
          <w:spacing w:val="-3"/>
          <w:sz w:val="28"/>
          <w:szCs w:val="28"/>
        </w:rPr>
        <w:t>t。生产规模为</w:t>
      </w:r>
      <w:r>
        <w:rPr>
          <w:rFonts w:hint="eastAsia" w:ascii="宋体" w:hAnsi="宋体" w:cs="宋体"/>
          <w:spacing w:val="13"/>
          <w:sz w:val="32"/>
          <w:szCs w:val="32"/>
        </w:rPr>
        <w:t>***</w:t>
      </w:r>
      <w:r>
        <w:rPr>
          <w:rFonts w:hint="eastAsia"/>
          <w:bCs/>
          <w:spacing w:val="-3"/>
          <w:sz w:val="28"/>
          <w:szCs w:val="28"/>
        </w:rPr>
        <w:t>万吨/年。</w:t>
      </w:r>
    </w:p>
    <w:p w14:paraId="19442B73">
      <w:pPr>
        <w:spacing w:line="360" w:lineRule="auto"/>
        <w:ind w:firstLine="548" w:firstLineChars="200"/>
        <w:rPr>
          <w:spacing w:val="-3"/>
          <w:sz w:val="28"/>
          <w:szCs w:val="28"/>
        </w:rPr>
      </w:pPr>
      <w:r>
        <w:rPr>
          <w:rFonts w:hint="eastAsia"/>
          <w:spacing w:val="-3"/>
          <w:sz w:val="28"/>
          <w:szCs w:val="28"/>
        </w:rPr>
        <w:t>根据</w:t>
      </w:r>
      <w:r>
        <w:rPr>
          <w:rFonts w:hint="eastAsia"/>
          <w:sz w:val="28"/>
          <w:szCs w:val="28"/>
        </w:rPr>
        <w:t>2025年1月采矿权人提交了《内蒙古自治区赤峰市松山区赤峰国富建筑用玄武岩矿资源储量核实报告》（赤自然资松储备字〔2025〕001号），核实工作查明</w:t>
      </w:r>
      <w:r>
        <w:rPr>
          <w:sz w:val="28"/>
          <w:szCs w:val="28"/>
        </w:rPr>
        <w:t>截止20</w:t>
      </w:r>
      <w:r>
        <w:rPr>
          <w:rFonts w:hint="eastAsia"/>
          <w:sz w:val="28"/>
          <w:szCs w:val="28"/>
        </w:rPr>
        <w:t>24</w:t>
      </w:r>
      <w:r>
        <w:rPr>
          <w:sz w:val="28"/>
          <w:szCs w:val="28"/>
        </w:rPr>
        <w:t>年</w:t>
      </w:r>
      <w:r>
        <w:rPr>
          <w:rFonts w:hint="eastAsia"/>
          <w:sz w:val="28"/>
          <w:szCs w:val="28"/>
        </w:rPr>
        <w:t>10</w:t>
      </w:r>
      <w:r>
        <w:rPr>
          <w:sz w:val="28"/>
          <w:szCs w:val="28"/>
        </w:rPr>
        <w:t>月</w:t>
      </w:r>
      <w:r>
        <w:rPr>
          <w:rFonts w:hint="eastAsia"/>
          <w:sz w:val="28"/>
          <w:szCs w:val="28"/>
        </w:rPr>
        <w:t>31</w:t>
      </w:r>
      <w:r>
        <w:rPr>
          <w:sz w:val="28"/>
          <w:szCs w:val="28"/>
        </w:rPr>
        <w:t>日</w:t>
      </w:r>
      <w:r>
        <w:rPr>
          <w:rFonts w:hint="eastAsia"/>
          <w:sz w:val="28"/>
          <w:szCs w:val="28"/>
        </w:rPr>
        <w:t>保有资源量（TM）</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t)，全部为保有探明资源量（TM）</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t)。</w:t>
      </w:r>
    </w:p>
    <w:p w14:paraId="67439824">
      <w:pPr>
        <w:spacing w:line="360" w:lineRule="auto"/>
        <w:ind w:firstLine="548" w:firstLineChars="200"/>
        <w:rPr>
          <w:bCs/>
          <w:spacing w:val="-3"/>
          <w:sz w:val="28"/>
          <w:szCs w:val="28"/>
        </w:rPr>
      </w:pPr>
      <w:r>
        <w:rPr>
          <w:rFonts w:hint="eastAsia"/>
          <w:spacing w:val="-3"/>
          <w:sz w:val="28"/>
          <w:szCs w:val="28"/>
        </w:rPr>
        <w:t>矿山</w:t>
      </w:r>
      <w:r>
        <w:rPr>
          <w:spacing w:val="-3"/>
          <w:sz w:val="28"/>
          <w:szCs w:val="28"/>
        </w:rPr>
        <w:t>可采</w:t>
      </w:r>
      <w:r>
        <w:rPr>
          <w:rFonts w:hint="eastAsia"/>
          <w:spacing w:val="-3"/>
          <w:sz w:val="28"/>
          <w:szCs w:val="28"/>
        </w:rPr>
        <w:t>（可利用的）保有资源量（TM）</w:t>
      </w:r>
      <w:r>
        <w:rPr>
          <w:rFonts w:hint="eastAsia" w:ascii="宋体" w:hAnsi="宋体" w:cs="宋体"/>
          <w:spacing w:val="13"/>
          <w:sz w:val="32"/>
          <w:szCs w:val="32"/>
        </w:rPr>
        <w:t>***</w:t>
      </w:r>
      <w:r>
        <w:rPr>
          <w:rFonts w:hint="eastAsia"/>
          <w:spacing w:val="-3"/>
          <w:sz w:val="28"/>
          <w:szCs w:val="28"/>
        </w:rPr>
        <w:t>×10</w:t>
      </w:r>
      <w:r>
        <w:rPr>
          <w:rFonts w:hint="eastAsia"/>
          <w:spacing w:val="-3"/>
          <w:sz w:val="28"/>
          <w:szCs w:val="28"/>
          <w:vertAlign w:val="superscript"/>
        </w:rPr>
        <w:t>4</w:t>
      </w:r>
      <w:r>
        <w:rPr>
          <w:rFonts w:hint="eastAsia"/>
          <w:spacing w:val="-3"/>
          <w:sz w:val="28"/>
          <w:szCs w:val="28"/>
        </w:rPr>
        <w:t>m</w:t>
      </w:r>
      <w:r>
        <w:rPr>
          <w:spacing w:val="-3"/>
          <w:sz w:val="28"/>
          <w:szCs w:val="28"/>
          <w:vertAlign w:val="superscript"/>
        </w:rPr>
        <w:t>3</w:t>
      </w:r>
      <w:r>
        <w:rPr>
          <w:rFonts w:hint="eastAsia"/>
          <w:spacing w:val="-3"/>
          <w:sz w:val="28"/>
          <w:szCs w:val="28"/>
        </w:rPr>
        <w:t>（</w:t>
      </w:r>
      <w:r>
        <w:rPr>
          <w:rFonts w:hint="eastAsia" w:ascii="宋体" w:hAnsi="宋体" w:cs="宋体"/>
          <w:spacing w:val="13"/>
          <w:sz w:val="32"/>
          <w:szCs w:val="32"/>
        </w:rPr>
        <w:t>***</w:t>
      </w:r>
      <w:r>
        <w:rPr>
          <w:rFonts w:hint="eastAsia"/>
          <w:spacing w:val="-3"/>
          <w:sz w:val="28"/>
          <w:szCs w:val="28"/>
        </w:rPr>
        <w:t>×10</w:t>
      </w:r>
      <w:r>
        <w:rPr>
          <w:rFonts w:hint="eastAsia"/>
          <w:spacing w:val="-3"/>
          <w:sz w:val="28"/>
          <w:szCs w:val="28"/>
          <w:vertAlign w:val="superscript"/>
        </w:rPr>
        <w:t>4</w:t>
      </w:r>
      <w:r>
        <w:rPr>
          <w:rFonts w:hint="eastAsia"/>
          <w:spacing w:val="-3"/>
          <w:sz w:val="28"/>
          <w:szCs w:val="28"/>
        </w:rPr>
        <w:t>t）。</w:t>
      </w:r>
      <w:r>
        <w:rPr>
          <w:bCs/>
          <w:spacing w:val="-3"/>
          <w:sz w:val="28"/>
          <w:szCs w:val="28"/>
        </w:rPr>
        <w:t>开采回采率为</w:t>
      </w:r>
      <w:r>
        <w:rPr>
          <w:rFonts w:hint="eastAsia" w:ascii="宋体" w:hAnsi="宋体" w:cs="宋体"/>
          <w:spacing w:val="13"/>
          <w:sz w:val="32"/>
          <w:szCs w:val="32"/>
        </w:rPr>
        <w:t>***</w:t>
      </w:r>
      <w:r>
        <w:rPr>
          <w:bCs/>
          <w:spacing w:val="-3"/>
          <w:sz w:val="28"/>
          <w:szCs w:val="28"/>
        </w:rPr>
        <w:t>%</w:t>
      </w:r>
      <w:r>
        <w:rPr>
          <w:rFonts w:hint="eastAsia"/>
          <w:bCs/>
          <w:spacing w:val="-3"/>
          <w:sz w:val="28"/>
          <w:szCs w:val="28"/>
        </w:rPr>
        <w:t>。经计算，设计采出的资源量矿石量约为</w:t>
      </w:r>
      <w:r>
        <w:rPr>
          <w:rFonts w:hint="eastAsia" w:ascii="宋体" w:hAnsi="宋体" w:cs="宋体"/>
          <w:spacing w:val="13"/>
          <w:sz w:val="32"/>
          <w:szCs w:val="32"/>
        </w:rPr>
        <w:t>***</w:t>
      </w:r>
      <w:r>
        <w:rPr>
          <w:rFonts w:hint="eastAsia"/>
          <w:spacing w:val="-3"/>
          <w:sz w:val="28"/>
          <w:szCs w:val="28"/>
        </w:rPr>
        <w:t>×10</w:t>
      </w:r>
      <w:r>
        <w:rPr>
          <w:rFonts w:hint="eastAsia"/>
          <w:spacing w:val="-3"/>
          <w:sz w:val="28"/>
          <w:szCs w:val="28"/>
          <w:vertAlign w:val="superscript"/>
        </w:rPr>
        <w:t>4</w:t>
      </w:r>
      <w:r>
        <w:rPr>
          <w:rFonts w:hint="eastAsia"/>
          <w:spacing w:val="-3"/>
          <w:sz w:val="28"/>
          <w:szCs w:val="28"/>
        </w:rPr>
        <w:t>m</w:t>
      </w:r>
      <w:r>
        <w:rPr>
          <w:spacing w:val="-3"/>
          <w:sz w:val="28"/>
          <w:szCs w:val="28"/>
          <w:vertAlign w:val="superscript"/>
        </w:rPr>
        <w:t>3</w:t>
      </w:r>
      <w:r>
        <w:rPr>
          <w:rFonts w:hint="eastAsia"/>
          <w:spacing w:val="-3"/>
          <w:sz w:val="28"/>
          <w:szCs w:val="28"/>
        </w:rPr>
        <w:t>（</w:t>
      </w:r>
      <w:r>
        <w:rPr>
          <w:rFonts w:hint="eastAsia" w:ascii="宋体" w:hAnsi="宋体" w:cs="宋体"/>
          <w:spacing w:val="13"/>
          <w:sz w:val="32"/>
          <w:szCs w:val="32"/>
        </w:rPr>
        <w:t>***</w:t>
      </w:r>
      <w:r>
        <w:rPr>
          <w:rFonts w:hint="eastAsia"/>
          <w:spacing w:val="-3"/>
          <w:sz w:val="28"/>
          <w:szCs w:val="28"/>
        </w:rPr>
        <w:t>×10</w:t>
      </w:r>
      <w:r>
        <w:rPr>
          <w:rFonts w:hint="eastAsia"/>
          <w:spacing w:val="-3"/>
          <w:sz w:val="28"/>
          <w:szCs w:val="28"/>
          <w:vertAlign w:val="superscript"/>
        </w:rPr>
        <w:t>4</w:t>
      </w:r>
      <w:r>
        <w:rPr>
          <w:rFonts w:hint="eastAsia"/>
          <w:spacing w:val="-3"/>
          <w:sz w:val="28"/>
          <w:szCs w:val="28"/>
        </w:rPr>
        <w:t>t）。</w:t>
      </w:r>
    </w:p>
    <w:p w14:paraId="27309437">
      <w:pPr>
        <w:spacing w:line="360" w:lineRule="auto"/>
        <w:ind w:firstLine="548" w:firstLineChars="200"/>
        <w:rPr>
          <w:spacing w:val="-3"/>
          <w:sz w:val="28"/>
          <w:szCs w:val="28"/>
        </w:rPr>
      </w:pPr>
      <w:bookmarkStart w:id="25" w:name="_Hlk240277579"/>
      <w:r>
        <w:rPr>
          <w:rFonts w:hint="eastAsia"/>
          <w:spacing w:val="-3"/>
          <w:sz w:val="28"/>
          <w:szCs w:val="28"/>
        </w:rPr>
        <w:t>根据松山区发展和改革委员会审批的《项目备案告知书》（</w:t>
      </w:r>
      <w:r>
        <w:rPr>
          <w:rFonts w:hint="eastAsia" w:ascii="宋体" w:hAnsi="宋体" w:cs="宋体"/>
          <w:spacing w:val="13"/>
          <w:sz w:val="32"/>
          <w:szCs w:val="32"/>
        </w:rPr>
        <w:t>***</w:t>
      </w:r>
      <w:r>
        <w:rPr>
          <w:rFonts w:hint="eastAsia"/>
          <w:spacing w:val="-3"/>
          <w:sz w:val="28"/>
          <w:szCs w:val="28"/>
        </w:rPr>
        <w:t>-150</w:t>
      </w:r>
      <w:r>
        <w:rPr>
          <w:rFonts w:hint="eastAsia" w:ascii="宋体" w:hAnsi="宋体" w:cs="宋体"/>
          <w:spacing w:val="13"/>
          <w:sz w:val="32"/>
          <w:szCs w:val="32"/>
        </w:rPr>
        <w:t>***</w:t>
      </w:r>
      <w:r>
        <w:rPr>
          <w:rFonts w:hint="eastAsia"/>
          <w:spacing w:val="-3"/>
          <w:sz w:val="28"/>
          <w:szCs w:val="28"/>
        </w:rPr>
        <w:t>-04-01-</w:t>
      </w:r>
      <w:r>
        <w:rPr>
          <w:rFonts w:hint="eastAsia" w:ascii="宋体" w:hAnsi="宋体" w:cs="宋体"/>
          <w:spacing w:val="13"/>
          <w:sz w:val="32"/>
          <w:szCs w:val="32"/>
        </w:rPr>
        <w:t>***</w:t>
      </w:r>
      <w:r>
        <w:rPr>
          <w:rFonts w:hint="eastAsia"/>
          <w:spacing w:val="-3"/>
          <w:sz w:val="28"/>
          <w:szCs w:val="28"/>
        </w:rPr>
        <w:t>），矿山拟建生产规模为</w:t>
      </w:r>
      <w:r>
        <w:rPr>
          <w:rFonts w:hint="eastAsia" w:ascii="宋体" w:hAnsi="宋体" w:cs="宋体"/>
          <w:spacing w:val="13"/>
          <w:sz w:val="32"/>
          <w:szCs w:val="32"/>
        </w:rPr>
        <w:t>***</w:t>
      </w:r>
      <w:r>
        <w:rPr>
          <w:rFonts w:hint="eastAsia"/>
          <w:spacing w:val="-3"/>
          <w:sz w:val="28"/>
          <w:szCs w:val="28"/>
        </w:rPr>
        <w:t>万立方米/年（</w:t>
      </w:r>
      <w:r>
        <w:rPr>
          <w:rFonts w:hint="eastAsia" w:ascii="宋体" w:hAnsi="宋体" w:cs="宋体"/>
          <w:spacing w:val="13"/>
          <w:sz w:val="32"/>
          <w:szCs w:val="32"/>
        </w:rPr>
        <w:t>***</w:t>
      </w:r>
      <w:r>
        <w:rPr>
          <w:rFonts w:hint="eastAsia"/>
          <w:spacing w:val="-3"/>
          <w:sz w:val="28"/>
          <w:szCs w:val="28"/>
        </w:rPr>
        <w:t>万吨/年）</w:t>
      </w:r>
      <w:bookmarkEnd w:id="25"/>
      <w:r>
        <w:rPr>
          <w:rFonts w:hint="eastAsia"/>
          <w:spacing w:val="-3"/>
          <w:sz w:val="28"/>
          <w:szCs w:val="28"/>
        </w:rPr>
        <w:t>，</w:t>
      </w:r>
      <w:r>
        <w:rPr>
          <w:rFonts w:hint="eastAsia"/>
          <w:bCs/>
          <w:spacing w:val="-3"/>
          <w:sz w:val="28"/>
          <w:szCs w:val="28"/>
        </w:rPr>
        <w:t>矿山生产剩余服务年限为：</w:t>
      </w:r>
    </w:p>
    <w:p w14:paraId="0DB2D47B">
      <w:pPr>
        <w:spacing w:line="360" w:lineRule="auto"/>
        <w:ind w:firstLine="548" w:firstLineChars="200"/>
        <w:rPr>
          <w:bCs/>
          <w:spacing w:val="-3"/>
          <w:sz w:val="28"/>
          <w:szCs w:val="28"/>
        </w:rPr>
      </w:pPr>
      <w:r>
        <w:rPr>
          <w:bCs/>
          <w:spacing w:val="-3"/>
          <w:sz w:val="28"/>
          <w:szCs w:val="28"/>
        </w:rPr>
        <w:t>T=Q/[A(1-ρ)]≈</w:t>
      </w:r>
      <w:r>
        <w:rPr>
          <w:rFonts w:hint="eastAsia"/>
          <w:bCs/>
          <w:spacing w:val="-3"/>
          <w:sz w:val="28"/>
          <w:szCs w:val="28"/>
        </w:rPr>
        <w:t>5.34</w:t>
      </w:r>
      <w:r>
        <w:rPr>
          <w:bCs/>
          <w:spacing w:val="-3"/>
          <w:sz w:val="28"/>
          <w:szCs w:val="28"/>
        </w:rPr>
        <w:t>a</w:t>
      </w:r>
    </w:p>
    <w:p w14:paraId="208E25A3">
      <w:pPr>
        <w:spacing w:line="360" w:lineRule="auto"/>
        <w:ind w:firstLine="548" w:firstLineChars="200"/>
        <w:rPr>
          <w:bCs/>
          <w:spacing w:val="-3"/>
          <w:sz w:val="28"/>
          <w:szCs w:val="28"/>
        </w:rPr>
      </w:pPr>
      <w:r>
        <w:rPr>
          <w:bCs/>
          <w:spacing w:val="-3"/>
          <w:sz w:val="28"/>
          <w:szCs w:val="28"/>
        </w:rPr>
        <w:t>式中：Q—</w:t>
      </w:r>
      <w:r>
        <w:rPr>
          <w:rFonts w:hint="eastAsia"/>
          <w:bCs/>
          <w:spacing w:val="-3"/>
          <w:sz w:val="28"/>
          <w:szCs w:val="28"/>
        </w:rPr>
        <w:t>设计采出的资源量</w:t>
      </w:r>
      <w:r>
        <w:rPr>
          <w:bCs/>
          <w:spacing w:val="-3"/>
          <w:sz w:val="28"/>
          <w:szCs w:val="28"/>
        </w:rPr>
        <w:t>矿石量</w:t>
      </w:r>
      <w:r>
        <w:rPr>
          <w:rFonts w:hint="eastAsia"/>
          <w:bCs/>
          <w:spacing w:val="-3"/>
          <w:sz w:val="28"/>
          <w:szCs w:val="28"/>
        </w:rPr>
        <w:t>：</w:t>
      </w:r>
      <w:r>
        <w:rPr>
          <w:rFonts w:hint="eastAsia" w:ascii="宋体" w:hAnsi="宋体" w:cs="宋体"/>
          <w:spacing w:val="13"/>
          <w:sz w:val="32"/>
          <w:szCs w:val="32"/>
        </w:rPr>
        <w:t>***</w:t>
      </w:r>
      <w:r>
        <w:rPr>
          <w:rFonts w:hint="eastAsia"/>
          <w:spacing w:val="-3"/>
          <w:sz w:val="28"/>
          <w:szCs w:val="28"/>
        </w:rPr>
        <w:t>×10</w:t>
      </w:r>
      <w:r>
        <w:rPr>
          <w:rFonts w:hint="eastAsia"/>
          <w:spacing w:val="-3"/>
          <w:sz w:val="28"/>
          <w:szCs w:val="28"/>
          <w:vertAlign w:val="superscript"/>
        </w:rPr>
        <w:t>4</w:t>
      </w:r>
      <w:r>
        <w:rPr>
          <w:rFonts w:hint="eastAsia"/>
          <w:spacing w:val="-3"/>
          <w:sz w:val="28"/>
          <w:szCs w:val="28"/>
        </w:rPr>
        <w:t>m</w:t>
      </w:r>
      <w:r>
        <w:rPr>
          <w:spacing w:val="-3"/>
          <w:sz w:val="28"/>
          <w:szCs w:val="28"/>
          <w:vertAlign w:val="superscript"/>
        </w:rPr>
        <w:t>3</w:t>
      </w:r>
      <w:r>
        <w:rPr>
          <w:rFonts w:hint="eastAsia"/>
          <w:spacing w:val="-3"/>
          <w:sz w:val="28"/>
          <w:szCs w:val="28"/>
        </w:rPr>
        <w:t>（</w:t>
      </w:r>
      <w:r>
        <w:rPr>
          <w:rFonts w:hint="eastAsia" w:ascii="宋体" w:hAnsi="宋体" w:cs="宋体"/>
          <w:spacing w:val="13"/>
          <w:sz w:val="32"/>
          <w:szCs w:val="32"/>
        </w:rPr>
        <w:t>***</w:t>
      </w:r>
      <w:r>
        <w:rPr>
          <w:rFonts w:hint="eastAsia"/>
          <w:spacing w:val="-3"/>
          <w:sz w:val="28"/>
          <w:szCs w:val="28"/>
        </w:rPr>
        <w:t>×10</w:t>
      </w:r>
      <w:r>
        <w:rPr>
          <w:rFonts w:hint="eastAsia"/>
          <w:spacing w:val="-3"/>
          <w:sz w:val="28"/>
          <w:szCs w:val="28"/>
          <w:vertAlign w:val="superscript"/>
        </w:rPr>
        <w:t>4</w:t>
      </w:r>
      <w:r>
        <w:rPr>
          <w:rFonts w:hint="eastAsia"/>
          <w:spacing w:val="-3"/>
          <w:sz w:val="28"/>
          <w:szCs w:val="28"/>
        </w:rPr>
        <w:t>t）。</w:t>
      </w:r>
    </w:p>
    <w:p w14:paraId="0846A57A">
      <w:pPr>
        <w:spacing w:line="360" w:lineRule="auto"/>
        <w:ind w:firstLine="1416" w:firstLineChars="517"/>
        <w:rPr>
          <w:bCs/>
          <w:spacing w:val="-3"/>
          <w:sz w:val="28"/>
          <w:szCs w:val="28"/>
        </w:rPr>
      </w:pPr>
      <w:r>
        <w:rPr>
          <w:bCs/>
          <w:spacing w:val="-3"/>
          <w:sz w:val="28"/>
          <w:szCs w:val="28"/>
        </w:rPr>
        <w:t>A—年生产能力，</w:t>
      </w:r>
      <w:r>
        <w:rPr>
          <w:rFonts w:hint="eastAsia" w:ascii="宋体" w:hAnsi="宋体" w:cs="宋体"/>
          <w:spacing w:val="13"/>
          <w:sz w:val="32"/>
          <w:szCs w:val="32"/>
        </w:rPr>
        <w:t>***</w:t>
      </w:r>
      <w:r>
        <w:rPr>
          <w:bCs/>
          <w:spacing w:val="-3"/>
          <w:sz w:val="28"/>
          <w:szCs w:val="28"/>
        </w:rPr>
        <w:t>×10</w:t>
      </w:r>
      <w:r>
        <w:rPr>
          <w:bCs/>
          <w:spacing w:val="-3"/>
          <w:sz w:val="28"/>
          <w:szCs w:val="28"/>
          <w:vertAlign w:val="superscript"/>
        </w:rPr>
        <w:t>4</w:t>
      </w:r>
      <w:r>
        <w:rPr>
          <w:rFonts w:hint="eastAsia"/>
          <w:spacing w:val="-3"/>
          <w:sz w:val="28"/>
          <w:szCs w:val="28"/>
        </w:rPr>
        <w:t>m</w:t>
      </w:r>
      <w:r>
        <w:rPr>
          <w:spacing w:val="-3"/>
          <w:sz w:val="28"/>
          <w:szCs w:val="28"/>
          <w:vertAlign w:val="superscript"/>
        </w:rPr>
        <w:t>3</w:t>
      </w:r>
      <w:r>
        <w:rPr>
          <w:rFonts w:hint="eastAsia"/>
          <w:bCs/>
          <w:spacing w:val="-3"/>
          <w:sz w:val="28"/>
          <w:szCs w:val="28"/>
        </w:rPr>
        <w:t>/a</w:t>
      </w:r>
      <w:r>
        <w:rPr>
          <w:rFonts w:hint="eastAsia"/>
          <w:spacing w:val="-3"/>
          <w:sz w:val="28"/>
          <w:szCs w:val="28"/>
        </w:rPr>
        <w:t>（</w:t>
      </w:r>
      <w:r>
        <w:rPr>
          <w:rFonts w:hint="eastAsia" w:ascii="宋体" w:hAnsi="宋体" w:cs="宋体"/>
          <w:spacing w:val="13"/>
          <w:sz w:val="32"/>
          <w:szCs w:val="32"/>
        </w:rPr>
        <w:t>***</w:t>
      </w:r>
      <w:r>
        <w:rPr>
          <w:rFonts w:hint="eastAsia"/>
          <w:spacing w:val="-3"/>
          <w:sz w:val="28"/>
          <w:szCs w:val="28"/>
        </w:rPr>
        <w:t>×10</w:t>
      </w:r>
      <w:r>
        <w:rPr>
          <w:rFonts w:hint="eastAsia"/>
          <w:spacing w:val="-3"/>
          <w:sz w:val="28"/>
          <w:szCs w:val="28"/>
          <w:vertAlign w:val="superscript"/>
        </w:rPr>
        <w:t>4</w:t>
      </w:r>
      <w:r>
        <w:rPr>
          <w:rFonts w:hint="eastAsia"/>
          <w:spacing w:val="-3"/>
          <w:sz w:val="28"/>
          <w:szCs w:val="28"/>
        </w:rPr>
        <w:t>t/a）</w:t>
      </w:r>
      <w:r>
        <w:rPr>
          <w:bCs/>
          <w:spacing w:val="-3"/>
          <w:sz w:val="28"/>
          <w:szCs w:val="28"/>
        </w:rPr>
        <w:t>；</w:t>
      </w:r>
    </w:p>
    <w:p w14:paraId="1946E2D5">
      <w:pPr>
        <w:spacing w:line="360" w:lineRule="auto"/>
        <w:ind w:firstLine="1416" w:firstLineChars="517"/>
        <w:rPr>
          <w:bCs/>
          <w:spacing w:val="-3"/>
          <w:sz w:val="28"/>
          <w:szCs w:val="28"/>
        </w:rPr>
      </w:pPr>
      <w:r>
        <w:rPr>
          <w:bCs/>
          <w:spacing w:val="-3"/>
          <w:sz w:val="28"/>
          <w:szCs w:val="28"/>
        </w:rPr>
        <w:t>ρ—矿石贫化率，</w:t>
      </w:r>
      <w:r>
        <w:rPr>
          <w:rFonts w:hint="eastAsia" w:ascii="宋体" w:hAnsi="宋体" w:cs="宋体"/>
          <w:spacing w:val="13"/>
          <w:sz w:val="32"/>
          <w:szCs w:val="32"/>
        </w:rPr>
        <w:t>***</w:t>
      </w:r>
      <w:r>
        <w:rPr>
          <w:bCs/>
          <w:spacing w:val="-3"/>
          <w:sz w:val="28"/>
          <w:szCs w:val="28"/>
        </w:rPr>
        <w:t>%；</w:t>
      </w:r>
    </w:p>
    <w:p w14:paraId="4F78D0FB">
      <w:pPr>
        <w:spacing w:line="360" w:lineRule="auto"/>
        <w:ind w:firstLine="1416" w:firstLineChars="517"/>
        <w:rPr>
          <w:bCs/>
          <w:spacing w:val="-3"/>
          <w:sz w:val="28"/>
          <w:szCs w:val="28"/>
        </w:rPr>
      </w:pPr>
      <w:r>
        <w:rPr>
          <w:bCs/>
          <w:spacing w:val="-3"/>
          <w:sz w:val="28"/>
          <w:szCs w:val="28"/>
        </w:rPr>
        <w:t>T—</w:t>
      </w:r>
      <w:r>
        <w:rPr>
          <w:rFonts w:hint="eastAsia"/>
          <w:bCs/>
          <w:spacing w:val="-3"/>
          <w:sz w:val="28"/>
          <w:szCs w:val="28"/>
        </w:rPr>
        <w:t>剩余</w:t>
      </w:r>
      <w:r>
        <w:rPr>
          <w:bCs/>
          <w:spacing w:val="-3"/>
          <w:sz w:val="28"/>
          <w:szCs w:val="28"/>
        </w:rPr>
        <w:t>服务年限，a。</w:t>
      </w:r>
    </w:p>
    <w:p w14:paraId="68F61196">
      <w:pPr>
        <w:spacing w:line="360" w:lineRule="auto"/>
        <w:ind w:firstLine="548" w:firstLineChars="200"/>
        <w:rPr>
          <w:bCs/>
          <w:spacing w:val="-3"/>
          <w:sz w:val="28"/>
          <w:szCs w:val="28"/>
        </w:rPr>
      </w:pPr>
      <w:r>
        <w:rPr>
          <w:bCs/>
          <w:spacing w:val="-3"/>
          <w:sz w:val="28"/>
          <w:szCs w:val="28"/>
        </w:rPr>
        <w:t>经计算</w:t>
      </w:r>
      <w:r>
        <w:rPr>
          <w:rFonts w:hint="eastAsia"/>
          <w:bCs/>
          <w:spacing w:val="-3"/>
          <w:sz w:val="28"/>
          <w:szCs w:val="28"/>
        </w:rPr>
        <w:t>，</w:t>
      </w:r>
      <w:r>
        <w:rPr>
          <w:bCs/>
          <w:spacing w:val="-3"/>
          <w:sz w:val="28"/>
          <w:szCs w:val="28"/>
        </w:rPr>
        <w:t>矿山</w:t>
      </w:r>
      <w:r>
        <w:rPr>
          <w:rFonts w:hint="eastAsia"/>
          <w:bCs/>
          <w:spacing w:val="-3"/>
          <w:sz w:val="28"/>
          <w:szCs w:val="28"/>
        </w:rPr>
        <w:t>剩余</w:t>
      </w:r>
      <w:r>
        <w:rPr>
          <w:bCs/>
          <w:spacing w:val="-3"/>
          <w:sz w:val="28"/>
          <w:szCs w:val="28"/>
        </w:rPr>
        <w:t>服务年限</w:t>
      </w:r>
      <w:r>
        <w:rPr>
          <w:rFonts w:hint="eastAsia"/>
          <w:bCs/>
          <w:spacing w:val="-3"/>
          <w:sz w:val="28"/>
          <w:szCs w:val="28"/>
        </w:rPr>
        <w:t>为</w:t>
      </w:r>
      <w:r>
        <w:rPr>
          <w:rFonts w:hint="eastAsia" w:ascii="宋体" w:hAnsi="宋体" w:cs="宋体"/>
          <w:spacing w:val="13"/>
          <w:sz w:val="32"/>
          <w:szCs w:val="32"/>
        </w:rPr>
        <w:t>***</w:t>
      </w:r>
      <w:r>
        <w:rPr>
          <w:bCs/>
          <w:spacing w:val="-3"/>
          <w:sz w:val="28"/>
          <w:szCs w:val="28"/>
        </w:rPr>
        <w:t>年</w:t>
      </w:r>
      <w:r>
        <w:rPr>
          <w:rFonts w:hint="eastAsia"/>
          <w:bCs/>
          <w:spacing w:val="-3"/>
          <w:sz w:val="28"/>
          <w:szCs w:val="28"/>
        </w:rPr>
        <w:t>。</w:t>
      </w:r>
    </w:p>
    <w:p w14:paraId="430D909E">
      <w:pPr>
        <w:spacing w:line="360" w:lineRule="auto"/>
        <w:ind w:firstLine="560" w:firstLineChars="200"/>
        <w:rPr>
          <w:bCs/>
          <w:sz w:val="28"/>
          <w:szCs w:val="28"/>
        </w:rPr>
      </w:pPr>
      <w:r>
        <w:rPr>
          <w:rFonts w:hint="eastAsia"/>
          <w:bCs/>
          <w:sz w:val="28"/>
          <w:szCs w:val="28"/>
        </w:rPr>
        <w:t>根据赤峰市自然资源局松山区分局最新开具的停产证明，矿山自2025年1月至今未生产，因此</w:t>
      </w:r>
      <w:r>
        <w:rPr>
          <w:bCs/>
          <w:sz w:val="28"/>
          <w:szCs w:val="28"/>
        </w:rPr>
        <w:t>，矿山</w:t>
      </w:r>
      <w:r>
        <w:rPr>
          <w:rFonts w:hint="eastAsia"/>
          <w:bCs/>
          <w:sz w:val="28"/>
          <w:szCs w:val="28"/>
        </w:rPr>
        <w:t>生产</w:t>
      </w:r>
      <w:r>
        <w:rPr>
          <w:bCs/>
          <w:sz w:val="28"/>
          <w:szCs w:val="28"/>
        </w:rPr>
        <w:t>剩余服务年限为</w:t>
      </w:r>
      <w:r>
        <w:rPr>
          <w:rFonts w:hint="eastAsia" w:ascii="宋体" w:hAnsi="宋体" w:cs="宋体"/>
          <w:spacing w:val="13"/>
          <w:sz w:val="32"/>
          <w:szCs w:val="32"/>
        </w:rPr>
        <w:t>***</w:t>
      </w:r>
      <w:r>
        <w:rPr>
          <w:bCs/>
          <w:sz w:val="28"/>
          <w:szCs w:val="28"/>
        </w:rPr>
        <w:t>年。</w:t>
      </w:r>
    </w:p>
    <w:p w14:paraId="7A71D12A">
      <w:pPr>
        <w:spacing w:line="360" w:lineRule="auto"/>
        <w:ind w:firstLine="562" w:firstLineChars="200"/>
        <w:rPr>
          <w:b/>
          <w:bCs/>
          <w:sz w:val="28"/>
          <w:szCs w:val="28"/>
        </w:rPr>
      </w:pPr>
      <w:r>
        <w:rPr>
          <w:b/>
          <w:bCs/>
          <w:sz w:val="28"/>
          <w:szCs w:val="28"/>
        </w:rPr>
        <w:t>（二）方案服务年限</w:t>
      </w:r>
    </w:p>
    <w:p w14:paraId="7B723B4E">
      <w:pPr>
        <w:spacing w:line="360" w:lineRule="auto"/>
        <w:ind w:firstLine="560" w:firstLineChars="200"/>
        <w:rPr>
          <w:sz w:val="28"/>
          <w:szCs w:val="28"/>
        </w:rPr>
      </w:pPr>
      <w:bookmarkStart w:id="26" w:name="_Hlk239009947"/>
      <w:r>
        <w:rPr>
          <w:sz w:val="28"/>
          <w:szCs w:val="28"/>
        </w:rPr>
        <w:t>矿山</w:t>
      </w:r>
      <w:r>
        <w:rPr>
          <w:rFonts w:hint="eastAsia"/>
          <w:sz w:val="28"/>
          <w:szCs w:val="28"/>
        </w:rPr>
        <w:t>生产</w:t>
      </w:r>
      <w:r>
        <w:rPr>
          <w:sz w:val="28"/>
          <w:szCs w:val="28"/>
        </w:rPr>
        <w:t>服务年限</w:t>
      </w:r>
      <w:r>
        <w:rPr>
          <w:rFonts w:hint="eastAsia" w:ascii="宋体" w:hAnsi="宋体" w:cs="宋体"/>
          <w:spacing w:val="13"/>
          <w:sz w:val="32"/>
          <w:szCs w:val="32"/>
        </w:rPr>
        <w:t>***</w:t>
      </w:r>
      <w:r>
        <w:rPr>
          <w:sz w:val="28"/>
          <w:szCs w:val="28"/>
        </w:rPr>
        <w:t>年</w:t>
      </w:r>
      <w:r>
        <w:rPr>
          <w:rFonts w:hint="eastAsia"/>
          <w:sz w:val="28"/>
          <w:szCs w:val="28"/>
        </w:rPr>
        <w:t>，</w:t>
      </w:r>
      <w:r>
        <w:rPr>
          <w:sz w:val="28"/>
          <w:szCs w:val="28"/>
        </w:rPr>
        <w:t>依据《金属矿土地复垦与生态修复技术规范》（</w:t>
      </w:r>
      <w:r>
        <w:rPr>
          <w:rFonts w:hint="eastAsia" w:ascii="宋体" w:hAnsi="宋体" w:cs="宋体"/>
          <w:spacing w:val="13"/>
          <w:sz w:val="32"/>
          <w:szCs w:val="32"/>
        </w:rPr>
        <w:t>***</w:t>
      </w:r>
      <w:r>
        <w:rPr>
          <w:sz w:val="28"/>
          <w:szCs w:val="28"/>
        </w:rPr>
        <w:t>43933-2024</w:t>
      </w:r>
      <w:r>
        <w:rPr>
          <w:rFonts w:hint="eastAsia" w:ascii="宋体" w:hAnsi="宋体" w:cs="宋体"/>
          <w:spacing w:val="13"/>
          <w:sz w:val="32"/>
          <w:szCs w:val="32"/>
        </w:rPr>
        <w:t>***</w:t>
      </w:r>
      <w:r>
        <w:rPr>
          <w:sz w:val="28"/>
          <w:szCs w:val="28"/>
        </w:rPr>
        <w:t>矿山后续管护期一般宜为</w:t>
      </w:r>
      <w:r>
        <w:rPr>
          <w:rFonts w:hint="eastAsia" w:ascii="宋体" w:hAnsi="宋体" w:cs="宋体"/>
          <w:spacing w:val="13"/>
          <w:sz w:val="32"/>
          <w:szCs w:val="32"/>
        </w:rPr>
        <w:t>***</w:t>
      </w:r>
      <w:r>
        <w:rPr>
          <w:sz w:val="28"/>
          <w:szCs w:val="28"/>
        </w:rPr>
        <w:t>年～</w:t>
      </w:r>
      <w:r>
        <w:rPr>
          <w:rFonts w:hint="eastAsia" w:ascii="宋体" w:hAnsi="宋体" w:cs="宋体"/>
          <w:spacing w:val="13"/>
          <w:sz w:val="32"/>
          <w:szCs w:val="32"/>
        </w:rPr>
        <w:t>***</w:t>
      </w:r>
      <w:r>
        <w:rPr>
          <w:sz w:val="28"/>
          <w:szCs w:val="28"/>
        </w:rPr>
        <w:t>年，本方案计划后续修复管护期为</w:t>
      </w:r>
      <w:r>
        <w:rPr>
          <w:rFonts w:hint="eastAsia" w:ascii="宋体" w:hAnsi="宋体" w:cs="宋体"/>
          <w:spacing w:val="13"/>
          <w:sz w:val="32"/>
          <w:szCs w:val="32"/>
        </w:rPr>
        <w:t>***</w:t>
      </w:r>
      <w:r>
        <w:rPr>
          <w:sz w:val="28"/>
          <w:szCs w:val="28"/>
        </w:rPr>
        <w:t>年，据此确定本方案服务年限为</w:t>
      </w:r>
      <w:r>
        <w:rPr>
          <w:rFonts w:hint="eastAsia" w:ascii="宋体" w:hAnsi="宋体" w:cs="宋体"/>
          <w:spacing w:val="13"/>
          <w:sz w:val="32"/>
          <w:szCs w:val="32"/>
        </w:rPr>
        <w:t>***</w:t>
      </w:r>
      <w:r>
        <w:rPr>
          <w:sz w:val="28"/>
          <w:szCs w:val="28"/>
        </w:rPr>
        <w:t>年，即202</w:t>
      </w:r>
      <w:r>
        <w:rPr>
          <w:rFonts w:hint="eastAsia"/>
          <w:sz w:val="28"/>
          <w:szCs w:val="28"/>
        </w:rPr>
        <w:t>7</w:t>
      </w:r>
      <w:r>
        <w:rPr>
          <w:sz w:val="28"/>
          <w:szCs w:val="28"/>
        </w:rPr>
        <w:t>年</w:t>
      </w:r>
      <w:r>
        <w:rPr>
          <w:rFonts w:hint="eastAsia"/>
          <w:sz w:val="28"/>
          <w:szCs w:val="28"/>
        </w:rPr>
        <w:t>1</w:t>
      </w:r>
      <w:r>
        <w:rPr>
          <w:sz w:val="28"/>
          <w:szCs w:val="28"/>
        </w:rPr>
        <w:t>月至20</w:t>
      </w:r>
      <w:r>
        <w:rPr>
          <w:rFonts w:hint="eastAsia"/>
          <w:sz w:val="28"/>
          <w:szCs w:val="28"/>
        </w:rPr>
        <w:t>36</w:t>
      </w:r>
      <w:r>
        <w:rPr>
          <w:sz w:val="28"/>
          <w:szCs w:val="28"/>
        </w:rPr>
        <w:t>年</w:t>
      </w:r>
      <w:r>
        <w:rPr>
          <w:rFonts w:hint="eastAsia"/>
          <w:sz w:val="28"/>
          <w:szCs w:val="28"/>
        </w:rPr>
        <w:t>12</w:t>
      </w:r>
      <w:r>
        <w:rPr>
          <w:sz w:val="28"/>
          <w:szCs w:val="28"/>
        </w:rPr>
        <w:t>月。方案执行起始时间为2026年</w:t>
      </w:r>
      <w:r>
        <w:rPr>
          <w:rFonts w:hint="eastAsia"/>
          <w:sz w:val="28"/>
          <w:szCs w:val="28"/>
        </w:rPr>
        <w:t>10</w:t>
      </w:r>
      <w:r>
        <w:rPr>
          <w:sz w:val="28"/>
          <w:szCs w:val="28"/>
        </w:rPr>
        <w:t>月。</w:t>
      </w:r>
      <w:bookmarkEnd w:id="26"/>
    </w:p>
    <w:p w14:paraId="685A13B3">
      <w:pPr>
        <w:spacing w:line="360" w:lineRule="auto"/>
        <w:ind w:firstLine="560" w:firstLineChars="200"/>
        <w:rPr>
          <w:sz w:val="28"/>
          <w:szCs w:val="28"/>
        </w:rPr>
      </w:pPr>
      <w:r>
        <w:rPr>
          <w:sz w:val="28"/>
          <w:szCs w:val="28"/>
        </w:rPr>
        <w:t>依据《中华人民共和国矿产资源法》等法律规定，经评审通过的方案涉及方案服务到期，</w:t>
      </w:r>
      <w:bookmarkStart w:id="27" w:name="_Hlk231547575"/>
      <w:r>
        <w:rPr>
          <w:sz w:val="28"/>
          <w:szCs w:val="28"/>
        </w:rPr>
        <w:t>开采规模</w:t>
      </w:r>
      <w:bookmarkEnd w:id="27"/>
      <w:r>
        <w:rPr>
          <w:sz w:val="28"/>
          <w:szCs w:val="28"/>
        </w:rPr>
        <w:t>、开采布局、开采工艺等发生重大变化，方案不能与初步设计、安全设施设计、环评、水土保持方案以及用地安排等充分衔接的，应对《矿区生态修复方案》进行修编。当矿山扩大开采范围或缩小开采区域、变更开采方式、变更开采主矿种时，需重新编制《矿区生态修复方案》。</w:t>
      </w:r>
    </w:p>
    <w:bookmarkEnd w:id="14"/>
    <w:p w14:paraId="62B29750">
      <w:pPr>
        <w:pStyle w:val="3"/>
        <w:spacing w:line="360" w:lineRule="auto"/>
        <w:jc w:val="center"/>
        <w:rPr>
          <w:rFonts w:eastAsia="黑体"/>
          <w:bCs/>
        </w:rPr>
      </w:pPr>
      <w:bookmarkStart w:id="28" w:name="_Toc28254"/>
      <w:r>
        <w:rPr>
          <w:rFonts w:eastAsia="黑体"/>
          <w:bCs/>
        </w:rPr>
        <w:t>第一章  矿山基本情况</w:t>
      </w:r>
      <w:bookmarkEnd w:id="28"/>
    </w:p>
    <w:p w14:paraId="7863B75E">
      <w:pPr>
        <w:pStyle w:val="4"/>
        <w:spacing w:before="120" w:beforeLines="50"/>
        <w:rPr>
          <w:rFonts w:ascii="Times New Roman" w:hAnsi="Times New Roman"/>
        </w:rPr>
      </w:pPr>
      <w:bookmarkStart w:id="29" w:name="_Toc17940"/>
      <w:r>
        <w:rPr>
          <w:rFonts w:ascii="Times New Roman" w:hAnsi="Times New Roman"/>
        </w:rPr>
        <w:t>第一节  矿业权人基本情况</w:t>
      </w:r>
      <w:bookmarkEnd w:id="29"/>
    </w:p>
    <w:p w14:paraId="247E9327">
      <w:pPr>
        <w:adjustRightInd w:val="0"/>
        <w:snapToGrid w:val="0"/>
        <w:spacing w:line="360" w:lineRule="auto"/>
        <w:ind w:firstLine="562" w:firstLineChars="200"/>
        <w:outlineLvl w:val="2"/>
        <w:rPr>
          <w:b/>
          <w:bCs/>
        </w:rPr>
      </w:pPr>
      <w:r>
        <w:rPr>
          <w:b/>
          <w:bCs/>
          <w:sz w:val="28"/>
          <w:szCs w:val="28"/>
        </w:rPr>
        <w:t>一、</w:t>
      </w:r>
      <w:bookmarkStart w:id="30" w:name="_Hlk221092138"/>
      <w:r>
        <w:rPr>
          <w:b/>
          <w:bCs/>
          <w:sz w:val="28"/>
          <w:szCs w:val="28"/>
        </w:rPr>
        <w:t>矿业权人</w:t>
      </w:r>
      <w:bookmarkEnd w:id="30"/>
      <w:r>
        <w:rPr>
          <w:b/>
          <w:bCs/>
          <w:sz w:val="28"/>
          <w:szCs w:val="28"/>
        </w:rPr>
        <w:t>基本情况</w:t>
      </w:r>
    </w:p>
    <w:p w14:paraId="26DFF857">
      <w:pPr>
        <w:spacing w:line="360" w:lineRule="auto"/>
        <w:ind w:firstLine="560" w:firstLineChars="200"/>
        <w:rPr>
          <w:sz w:val="28"/>
          <w:szCs w:val="28"/>
        </w:rPr>
      </w:pPr>
      <w:r>
        <w:rPr>
          <w:sz w:val="28"/>
          <w:szCs w:val="28"/>
        </w:rPr>
        <w:t>赤峰国富玄武岩矿</w:t>
      </w:r>
      <w:r>
        <w:rPr>
          <w:rFonts w:hint="eastAsia"/>
          <w:sz w:val="28"/>
          <w:szCs w:val="28"/>
        </w:rPr>
        <w:t>行政区划隶属内蒙古自治区赤峰市松山区大庙镇管辖，企业归属属于赤峰国富玄武岩矿，企业性质为私营独资企业。</w:t>
      </w:r>
    </w:p>
    <w:p w14:paraId="7946EBC8">
      <w:pPr>
        <w:spacing w:line="360" w:lineRule="auto"/>
        <w:ind w:firstLine="560" w:firstLineChars="200"/>
        <w:rPr>
          <w:sz w:val="28"/>
          <w:szCs w:val="28"/>
        </w:rPr>
      </w:pPr>
      <w:r>
        <w:rPr>
          <w:rFonts w:hint="eastAsia"/>
          <w:sz w:val="28"/>
          <w:szCs w:val="28"/>
        </w:rPr>
        <w:t>公司名称：</w:t>
      </w:r>
      <w:r>
        <w:rPr>
          <w:rFonts w:hint="eastAsia" w:ascii="宋体" w:hAnsi="宋体" w:cs="宋体"/>
          <w:spacing w:val="13"/>
          <w:sz w:val="32"/>
          <w:szCs w:val="32"/>
        </w:rPr>
        <w:t>***</w:t>
      </w:r>
      <w:r>
        <w:rPr>
          <w:rFonts w:hint="eastAsia"/>
          <w:sz w:val="28"/>
          <w:szCs w:val="28"/>
        </w:rPr>
        <w:t>；</w:t>
      </w:r>
    </w:p>
    <w:p w14:paraId="30D0511E">
      <w:pPr>
        <w:spacing w:line="360" w:lineRule="auto"/>
        <w:ind w:firstLine="560" w:firstLineChars="200"/>
        <w:rPr>
          <w:sz w:val="28"/>
          <w:szCs w:val="28"/>
        </w:rPr>
      </w:pPr>
      <w:r>
        <w:rPr>
          <w:rFonts w:hint="eastAsia"/>
          <w:sz w:val="28"/>
          <w:szCs w:val="28"/>
        </w:rPr>
        <w:t>成立日期：</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w:t>
      </w:r>
      <w:r>
        <w:rPr>
          <w:rFonts w:hint="eastAsia" w:ascii="宋体" w:hAnsi="宋体" w:cs="宋体"/>
          <w:spacing w:val="13"/>
          <w:sz w:val="32"/>
          <w:szCs w:val="32"/>
        </w:rPr>
        <w:t>***</w:t>
      </w:r>
      <w:r>
        <w:rPr>
          <w:rFonts w:hint="eastAsia"/>
          <w:sz w:val="28"/>
          <w:szCs w:val="28"/>
        </w:rPr>
        <w:t>日；</w:t>
      </w:r>
    </w:p>
    <w:p w14:paraId="42C4B04F">
      <w:pPr>
        <w:spacing w:line="360" w:lineRule="auto"/>
        <w:ind w:firstLine="560" w:firstLineChars="200"/>
        <w:rPr>
          <w:sz w:val="28"/>
          <w:szCs w:val="28"/>
        </w:rPr>
      </w:pPr>
      <w:r>
        <w:rPr>
          <w:rFonts w:hint="eastAsia"/>
          <w:sz w:val="28"/>
          <w:szCs w:val="28"/>
        </w:rPr>
        <w:t>法人代表：</w:t>
      </w:r>
      <w:r>
        <w:rPr>
          <w:rFonts w:hint="eastAsia" w:ascii="宋体" w:hAnsi="宋体" w:cs="宋体"/>
          <w:spacing w:val="13"/>
          <w:sz w:val="32"/>
          <w:szCs w:val="32"/>
        </w:rPr>
        <w:t>***</w:t>
      </w:r>
      <w:r>
        <w:rPr>
          <w:rFonts w:hint="eastAsia"/>
          <w:sz w:val="28"/>
          <w:szCs w:val="28"/>
        </w:rPr>
        <w:t>；</w:t>
      </w:r>
    </w:p>
    <w:p w14:paraId="0EAC9A53">
      <w:pPr>
        <w:spacing w:line="360" w:lineRule="auto"/>
        <w:ind w:firstLine="560" w:firstLineChars="200"/>
        <w:rPr>
          <w:sz w:val="28"/>
          <w:szCs w:val="28"/>
        </w:rPr>
      </w:pPr>
      <w:r>
        <w:rPr>
          <w:rFonts w:hint="eastAsia"/>
          <w:sz w:val="28"/>
          <w:szCs w:val="28"/>
        </w:rPr>
        <w:t>注册资本：</w:t>
      </w:r>
      <w:r>
        <w:rPr>
          <w:rFonts w:hint="eastAsia" w:ascii="宋体" w:hAnsi="宋体" w:cs="宋体"/>
          <w:spacing w:val="13"/>
          <w:sz w:val="32"/>
          <w:szCs w:val="32"/>
        </w:rPr>
        <w:t>***</w:t>
      </w:r>
      <w:r>
        <w:rPr>
          <w:rFonts w:hint="eastAsia"/>
          <w:sz w:val="28"/>
          <w:szCs w:val="28"/>
        </w:rPr>
        <w:t>（元）；</w:t>
      </w:r>
    </w:p>
    <w:p w14:paraId="0EA90A8B">
      <w:pPr>
        <w:spacing w:line="360" w:lineRule="auto"/>
        <w:ind w:firstLine="560" w:firstLineChars="200"/>
        <w:rPr>
          <w:sz w:val="28"/>
          <w:szCs w:val="28"/>
        </w:rPr>
      </w:pPr>
      <w:r>
        <w:rPr>
          <w:rFonts w:hint="eastAsia"/>
          <w:sz w:val="28"/>
          <w:szCs w:val="28"/>
        </w:rPr>
        <w:t>公司地址：</w:t>
      </w:r>
      <w:r>
        <w:rPr>
          <w:rFonts w:hint="eastAsia" w:ascii="宋体" w:hAnsi="宋体" w:cs="宋体"/>
          <w:spacing w:val="13"/>
          <w:sz w:val="32"/>
          <w:szCs w:val="32"/>
        </w:rPr>
        <w:t>***</w:t>
      </w:r>
      <w:r>
        <w:rPr>
          <w:rFonts w:hint="eastAsia"/>
          <w:sz w:val="28"/>
          <w:szCs w:val="28"/>
        </w:rPr>
        <w:t>；</w:t>
      </w:r>
    </w:p>
    <w:p w14:paraId="0606264E">
      <w:pPr>
        <w:spacing w:line="360" w:lineRule="auto"/>
        <w:ind w:firstLine="560" w:firstLineChars="200"/>
        <w:rPr>
          <w:sz w:val="28"/>
          <w:szCs w:val="28"/>
        </w:rPr>
      </w:pPr>
      <w:r>
        <w:rPr>
          <w:rFonts w:hint="eastAsia"/>
          <w:sz w:val="28"/>
          <w:szCs w:val="28"/>
        </w:rPr>
        <w:t>企业类型：私营独资企业；</w:t>
      </w:r>
    </w:p>
    <w:p w14:paraId="34F82D78">
      <w:pPr>
        <w:spacing w:line="360" w:lineRule="auto"/>
        <w:ind w:firstLine="560" w:firstLineChars="200"/>
        <w:rPr>
          <w:sz w:val="28"/>
          <w:szCs w:val="28"/>
        </w:rPr>
      </w:pPr>
      <w:r>
        <w:rPr>
          <w:rFonts w:hint="eastAsia"/>
          <w:sz w:val="28"/>
          <w:szCs w:val="28"/>
        </w:rPr>
        <w:t>经营范围：一般经营项目：玄武岩开采、加工、销售（依法须经批准的项目，经相关部门批准后方可开展经营活动）</w:t>
      </w:r>
    </w:p>
    <w:p w14:paraId="2FF511BD">
      <w:pPr>
        <w:spacing w:line="360" w:lineRule="auto"/>
        <w:ind w:firstLine="560" w:firstLineChars="200"/>
        <w:rPr>
          <w:sz w:val="28"/>
          <w:szCs w:val="28"/>
        </w:rPr>
      </w:pPr>
      <w:r>
        <w:rPr>
          <w:sz w:val="28"/>
          <w:szCs w:val="28"/>
        </w:rPr>
        <w:t>统一社会信用代码</w:t>
      </w:r>
      <w:r>
        <w:rPr>
          <w:rFonts w:hint="eastAsia"/>
          <w:sz w:val="28"/>
          <w:szCs w:val="28"/>
        </w:rPr>
        <w:t>：</w:t>
      </w:r>
      <w:r>
        <w:rPr>
          <w:rFonts w:hint="eastAsia" w:ascii="宋体" w:hAnsi="宋体" w:cs="宋体"/>
          <w:spacing w:val="13"/>
          <w:sz w:val="32"/>
          <w:szCs w:val="32"/>
        </w:rPr>
        <w:t>***</w:t>
      </w:r>
      <w:r>
        <w:rPr>
          <w:sz w:val="28"/>
          <w:szCs w:val="28"/>
        </w:rPr>
        <w:t>。</w:t>
      </w:r>
    </w:p>
    <w:p w14:paraId="67B63B87">
      <w:pPr>
        <w:adjustRightInd w:val="0"/>
        <w:snapToGrid w:val="0"/>
        <w:spacing w:line="360" w:lineRule="auto"/>
        <w:ind w:firstLine="562" w:firstLineChars="200"/>
        <w:outlineLvl w:val="2"/>
      </w:pPr>
      <w:r>
        <w:rPr>
          <w:b/>
          <w:bCs/>
          <w:sz w:val="28"/>
          <w:szCs w:val="28"/>
        </w:rPr>
        <w:t>二、采矿权基本情况</w:t>
      </w:r>
    </w:p>
    <w:p w14:paraId="551688E7">
      <w:pPr>
        <w:adjustRightInd w:val="0"/>
        <w:snapToGrid w:val="0"/>
        <w:spacing w:line="360" w:lineRule="auto"/>
        <w:ind w:firstLine="560" w:firstLineChars="200"/>
        <w:rPr>
          <w:sz w:val="28"/>
          <w:szCs w:val="28"/>
        </w:rPr>
      </w:pPr>
      <w:r>
        <w:rPr>
          <w:sz w:val="28"/>
          <w:szCs w:val="28"/>
        </w:rPr>
        <w:t>赤峰国富玄武岩矿于2002年6月首次取得由原赤峰市国土资源局颁发的采矿许可证，期间经过多次延续。直至2015年9月22日，赤峰市国土资源局下发了《关于松山区漂移矿山企业进行纠错的批复》（赤国土资发[2015]605号）文件，批复同意对赤峰国富玄武岩矿范围进行调整。为满足矿山的生产需求，2016年1月13日，赤峰市国土资源局下发《关于国富玄武岩矿扩大生产规模的批复》（赤国土资发[2016]7号），批准了赤峰国富玄武岩矿生产规模由</w:t>
      </w:r>
      <w:r>
        <w:rPr>
          <w:rFonts w:hint="eastAsia" w:ascii="宋体" w:hAnsi="宋体" w:cs="宋体"/>
          <w:spacing w:val="13"/>
          <w:sz w:val="32"/>
          <w:szCs w:val="32"/>
        </w:rPr>
        <w:t>***</w:t>
      </w:r>
      <w:r>
        <w:rPr>
          <w:sz w:val="28"/>
          <w:szCs w:val="28"/>
        </w:rPr>
        <w:t>×10</w:t>
      </w:r>
      <w:r>
        <w:rPr>
          <w:sz w:val="28"/>
          <w:szCs w:val="28"/>
          <w:vertAlign w:val="superscript"/>
        </w:rPr>
        <w:t>4</w:t>
      </w:r>
      <w:r>
        <w:rPr>
          <w:sz w:val="28"/>
          <w:szCs w:val="28"/>
        </w:rPr>
        <w:t>t/a变更为</w:t>
      </w:r>
      <w:r>
        <w:rPr>
          <w:rFonts w:hint="eastAsia" w:ascii="宋体" w:hAnsi="宋体" w:cs="宋体"/>
          <w:spacing w:val="13"/>
          <w:sz w:val="32"/>
          <w:szCs w:val="32"/>
        </w:rPr>
        <w:t>***</w:t>
      </w:r>
      <w:r>
        <w:rPr>
          <w:sz w:val="28"/>
          <w:szCs w:val="28"/>
        </w:rPr>
        <w:t>×10</w:t>
      </w:r>
      <w:r>
        <w:rPr>
          <w:sz w:val="28"/>
          <w:szCs w:val="28"/>
          <w:vertAlign w:val="superscript"/>
        </w:rPr>
        <w:t>4</w:t>
      </w:r>
      <w:r>
        <w:rPr>
          <w:sz w:val="28"/>
          <w:szCs w:val="28"/>
        </w:rPr>
        <w:t>t/a。现矿山已取得变更后的采矿许可证，变更后的矿区面积、标高、开采方式等均未发生变化，现持有采矿许可证内容叙述如下：</w:t>
      </w:r>
    </w:p>
    <w:p w14:paraId="5C8EDE1B">
      <w:pPr>
        <w:adjustRightInd w:val="0"/>
        <w:snapToGrid w:val="0"/>
        <w:spacing w:line="360" w:lineRule="auto"/>
        <w:ind w:firstLine="560" w:firstLineChars="200"/>
        <w:rPr>
          <w:sz w:val="28"/>
          <w:szCs w:val="28"/>
        </w:rPr>
      </w:pPr>
      <w:r>
        <w:rPr>
          <w:sz w:val="28"/>
          <w:szCs w:val="28"/>
        </w:rPr>
        <w:t>证    号：</w:t>
      </w:r>
      <w:r>
        <w:rPr>
          <w:rFonts w:hint="eastAsia" w:ascii="宋体" w:hAnsi="宋体" w:cs="宋体"/>
          <w:spacing w:val="13"/>
          <w:sz w:val="32"/>
          <w:szCs w:val="32"/>
        </w:rPr>
        <w:t>***</w:t>
      </w:r>
    </w:p>
    <w:p w14:paraId="6FEBA9FE">
      <w:pPr>
        <w:adjustRightInd w:val="0"/>
        <w:snapToGrid w:val="0"/>
        <w:spacing w:line="360" w:lineRule="auto"/>
        <w:ind w:firstLine="560" w:firstLineChars="200"/>
        <w:rPr>
          <w:sz w:val="28"/>
          <w:szCs w:val="28"/>
        </w:rPr>
      </w:pPr>
      <w:r>
        <w:rPr>
          <w:sz w:val="28"/>
          <w:szCs w:val="28"/>
        </w:rPr>
        <w:t>采矿权人：</w:t>
      </w:r>
      <w:r>
        <w:rPr>
          <w:rFonts w:hint="eastAsia" w:ascii="宋体" w:hAnsi="宋体" w:cs="宋体"/>
          <w:spacing w:val="13"/>
          <w:sz w:val="32"/>
          <w:szCs w:val="32"/>
        </w:rPr>
        <w:t>***</w:t>
      </w:r>
    </w:p>
    <w:p w14:paraId="3EE55C9A">
      <w:pPr>
        <w:adjustRightInd w:val="0"/>
        <w:snapToGrid w:val="0"/>
        <w:spacing w:line="360" w:lineRule="auto"/>
        <w:ind w:firstLine="560" w:firstLineChars="200"/>
        <w:rPr>
          <w:sz w:val="28"/>
          <w:szCs w:val="28"/>
        </w:rPr>
      </w:pPr>
      <w:r>
        <w:rPr>
          <w:sz w:val="28"/>
          <w:szCs w:val="28"/>
        </w:rPr>
        <w:t>矿山名称：</w:t>
      </w:r>
      <w:r>
        <w:rPr>
          <w:rFonts w:hint="eastAsia" w:ascii="宋体" w:hAnsi="宋体" w:cs="宋体"/>
          <w:spacing w:val="13"/>
          <w:sz w:val="32"/>
          <w:szCs w:val="32"/>
        </w:rPr>
        <w:t>***</w:t>
      </w:r>
    </w:p>
    <w:p w14:paraId="001E4602">
      <w:pPr>
        <w:adjustRightInd w:val="0"/>
        <w:snapToGrid w:val="0"/>
        <w:spacing w:line="360" w:lineRule="auto"/>
        <w:ind w:firstLine="560" w:firstLineChars="200"/>
        <w:rPr>
          <w:sz w:val="28"/>
          <w:szCs w:val="28"/>
        </w:rPr>
      </w:pPr>
      <w:r>
        <w:rPr>
          <w:sz w:val="28"/>
          <w:szCs w:val="28"/>
        </w:rPr>
        <w:t>经济类型：私营独资企业</w:t>
      </w:r>
    </w:p>
    <w:p w14:paraId="247067D6">
      <w:pPr>
        <w:adjustRightInd w:val="0"/>
        <w:snapToGrid w:val="0"/>
        <w:spacing w:line="360" w:lineRule="auto"/>
        <w:ind w:firstLine="560" w:firstLineChars="200"/>
        <w:rPr>
          <w:sz w:val="28"/>
          <w:szCs w:val="28"/>
        </w:rPr>
      </w:pPr>
      <w:r>
        <w:rPr>
          <w:sz w:val="28"/>
          <w:szCs w:val="28"/>
        </w:rPr>
        <w:t>开采矿种：</w:t>
      </w:r>
      <w:bookmarkStart w:id="31" w:name="_Hlk239009852"/>
      <w:r>
        <w:rPr>
          <w:sz w:val="28"/>
          <w:szCs w:val="28"/>
        </w:rPr>
        <w:t>建筑用玄武岩</w:t>
      </w:r>
      <w:bookmarkEnd w:id="31"/>
    </w:p>
    <w:p w14:paraId="074C3D8F">
      <w:pPr>
        <w:adjustRightInd w:val="0"/>
        <w:snapToGrid w:val="0"/>
        <w:spacing w:line="360" w:lineRule="auto"/>
        <w:ind w:firstLine="560" w:firstLineChars="200"/>
        <w:rPr>
          <w:sz w:val="28"/>
          <w:szCs w:val="28"/>
        </w:rPr>
      </w:pPr>
      <w:r>
        <w:rPr>
          <w:sz w:val="28"/>
          <w:szCs w:val="28"/>
        </w:rPr>
        <w:t>开采方式：露天开采</w:t>
      </w:r>
    </w:p>
    <w:p w14:paraId="12E25D63">
      <w:pPr>
        <w:adjustRightInd w:val="0"/>
        <w:snapToGrid w:val="0"/>
        <w:spacing w:line="360" w:lineRule="auto"/>
        <w:ind w:firstLine="560" w:firstLineChars="200"/>
        <w:rPr>
          <w:sz w:val="28"/>
          <w:szCs w:val="28"/>
        </w:rPr>
      </w:pPr>
      <w:r>
        <w:rPr>
          <w:sz w:val="28"/>
          <w:szCs w:val="28"/>
        </w:rPr>
        <w:t>生产规模：</w:t>
      </w:r>
      <w:r>
        <w:rPr>
          <w:rFonts w:hint="eastAsia" w:ascii="宋体" w:hAnsi="宋体" w:cs="宋体"/>
          <w:spacing w:val="13"/>
          <w:sz w:val="32"/>
          <w:szCs w:val="32"/>
        </w:rPr>
        <w:t>***</w:t>
      </w:r>
      <w:r>
        <w:rPr>
          <w:sz w:val="28"/>
          <w:szCs w:val="28"/>
        </w:rPr>
        <w:t>×10</w:t>
      </w:r>
      <w:r>
        <w:rPr>
          <w:sz w:val="28"/>
          <w:szCs w:val="28"/>
          <w:vertAlign w:val="superscript"/>
        </w:rPr>
        <w:t>4</w:t>
      </w:r>
      <w:r>
        <w:rPr>
          <w:sz w:val="28"/>
          <w:szCs w:val="28"/>
        </w:rPr>
        <w:t>t/a</w:t>
      </w:r>
    </w:p>
    <w:p w14:paraId="1125488E">
      <w:pPr>
        <w:adjustRightInd w:val="0"/>
        <w:snapToGrid w:val="0"/>
        <w:spacing w:line="360" w:lineRule="auto"/>
        <w:ind w:firstLine="560" w:firstLineChars="200"/>
        <w:rPr>
          <w:sz w:val="28"/>
          <w:szCs w:val="28"/>
        </w:rPr>
      </w:pPr>
      <w:r>
        <w:rPr>
          <w:sz w:val="28"/>
          <w:szCs w:val="28"/>
        </w:rPr>
        <w:t>矿区面积：</w:t>
      </w:r>
      <w:r>
        <w:rPr>
          <w:rFonts w:hint="eastAsia" w:ascii="宋体" w:hAnsi="宋体" w:cs="宋体"/>
          <w:spacing w:val="13"/>
          <w:sz w:val="32"/>
          <w:szCs w:val="32"/>
        </w:rPr>
        <w:t>***</w:t>
      </w:r>
      <w:r>
        <w:rPr>
          <w:sz w:val="28"/>
          <w:szCs w:val="28"/>
        </w:rPr>
        <w:t>km</w:t>
      </w:r>
      <w:r>
        <w:rPr>
          <w:sz w:val="28"/>
          <w:szCs w:val="28"/>
          <w:vertAlign w:val="superscript"/>
        </w:rPr>
        <w:t>2</w:t>
      </w:r>
    </w:p>
    <w:p w14:paraId="5E5D1BCB">
      <w:pPr>
        <w:adjustRightInd w:val="0"/>
        <w:snapToGrid w:val="0"/>
        <w:spacing w:line="360" w:lineRule="auto"/>
        <w:ind w:firstLine="560" w:firstLineChars="200"/>
        <w:rPr>
          <w:sz w:val="28"/>
          <w:szCs w:val="28"/>
        </w:rPr>
      </w:pPr>
      <w:r>
        <w:rPr>
          <w:sz w:val="28"/>
          <w:szCs w:val="28"/>
        </w:rPr>
        <w:t>有效期限：</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w:t>
      </w:r>
      <w:r>
        <w:rPr>
          <w:rFonts w:hint="eastAsia" w:ascii="宋体" w:hAnsi="宋体" w:cs="宋体"/>
          <w:spacing w:val="13"/>
          <w:sz w:val="32"/>
          <w:szCs w:val="32"/>
        </w:rPr>
        <w:t>***</w:t>
      </w:r>
      <w:r>
        <w:rPr>
          <w:rFonts w:hint="eastAsia"/>
          <w:sz w:val="28"/>
          <w:szCs w:val="28"/>
        </w:rPr>
        <w:t>日至</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w:t>
      </w:r>
      <w:r>
        <w:rPr>
          <w:rFonts w:hint="eastAsia" w:ascii="宋体" w:hAnsi="宋体" w:cs="宋体"/>
          <w:spacing w:val="13"/>
          <w:sz w:val="32"/>
          <w:szCs w:val="32"/>
        </w:rPr>
        <w:t>***</w:t>
      </w:r>
      <w:r>
        <w:rPr>
          <w:rFonts w:hint="eastAsia"/>
          <w:sz w:val="28"/>
          <w:szCs w:val="28"/>
        </w:rPr>
        <w:t>日</w:t>
      </w:r>
    </w:p>
    <w:p w14:paraId="35001B08">
      <w:pPr>
        <w:adjustRightInd w:val="0"/>
        <w:snapToGrid w:val="0"/>
        <w:spacing w:line="360" w:lineRule="auto"/>
        <w:ind w:firstLine="560" w:firstLineChars="200"/>
        <w:rPr>
          <w:sz w:val="28"/>
          <w:szCs w:val="28"/>
        </w:rPr>
      </w:pPr>
      <w:r>
        <w:rPr>
          <w:sz w:val="28"/>
          <w:szCs w:val="28"/>
        </w:rPr>
        <w:t>开采深度：由</w:t>
      </w:r>
      <w:r>
        <w:rPr>
          <w:rFonts w:hint="eastAsia" w:ascii="宋体" w:hAnsi="宋体" w:cs="宋体"/>
          <w:spacing w:val="13"/>
          <w:sz w:val="32"/>
          <w:szCs w:val="32"/>
        </w:rPr>
        <w:t>***</w:t>
      </w:r>
      <w:r>
        <w:rPr>
          <w:sz w:val="28"/>
          <w:szCs w:val="28"/>
        </w:rPr>
        <w:t>m至</w:t>
      </w:r>
      <w:r>
        <w:rPr>
          <w:rFonts w:hint="eastAsia" w:ascii="宋体" w:hAnsi="宋体" w:cs="宋体"/>
          <w:spacing w:val="13"/>
          <w:sz w:val="32"/>
          <w:szCs w:val="32"/>
        </w:rPr>
        <w:t>***</w:t>
      </w:r>
      <w:r>
        <w:rPr>
          <w:sz w:val="28"/>
          <w:szCs w:val="28"/>
        </w:rPr>
        <w:t>m标高</w:t>
      </w:r>
    </w:p>
    <w:p w14:paraId="6019C50A">
      <w:pPr>
        <w:adjustRightInd w:val="0"/>
        <w:snapToGrid w:val="0"/>
        <w:spacing w:line="360" w:lineRule="auto"/>
        <w:ind w:firstLine="560" w:firstLineChars="200"/>
        <w:rPr>
          <w:sz w:val="28"/>
          <w:szCs w:val="28"/>
        </w:rPr>
      </w:pPr>
      <w:r>
        <w:rPr>
          <w:sz w:val="28"/>
          <w:szCs w:val="28"/>
        </w:rPr>
        <w:t>矿区范围由</w:t>
      </w:r>
      <w:r>
        <w:rPr>
          <w:rFonts w:hint="eastAsia" w:ascii="宋体" w:hAnsi="宋体" w:cs="宋体"/>
          <w:spacing w:val="13"/>
          <w:sz w:val="32"/>
          <w:szCs w:val="32"/>
        </w:rPr>
        <w:t>***</w:t>
      </w:r>
      <w:r>
        <w:rPr>
          <w:sz w:val="28"/>
          <w:szCs w:val="28"/>
        </w:rPr>
        <w:t>个拐点圈定（矿区范围拐点坐标见表1-</w:t>
      </w:r>
      <w:r>
        <w:rPr>
          <w:rFonts w:hint="eastAsia"/>
          <w:sz w:val="28"/>
          <w:szCs w:val="28"/>
        </w:rPr>
        <w:t>1</w:t>
      </w:r>
      <w:r>
        <w:rPr>
          <w:sz w:val="28"/>
          <w:szCs w:val="28"/>
        </w:rPr>
        <w:t>）。</w:t>
      </w:r>
    </w:p>
    <w:p w14:paraId="57A9073E">
      <w:pPr>
        <w:tabs>
          <w:tab w:val="left" w:pos="6120"/>
        </w:tabs>
        <w:spacing w:line="240" w:lineRule="atLeast"/>
        <w:jc w:val="center"/>
        <w:rPr>
          <w:rFonts w:hint="eastAsia" w:ascii="黑体" w:hAnsi="黑体" w:eastAsia="黑体" w:cs="宋体"/>
          <w:bCs/>
          <w:sz w:val="24"/>
          <w:szCs w:val="24"/>
        </w:rPr>
      </w:pPr>
      <w:r>
        <w:rPr>
          <w:rFonts w:ascii="黑体" w:hAnsi="黑体" w:eastAsia="黑体" w:cs="宋体"/>
          <w:bCs/>
          <w:sz w:val="24"/>
          <w:szCs w:val="24"/>
        </w:rPr>
        <w:t>表1-</w:t>
      </w:r>
      <w:r>
        <w:rPr>
          <w:rFonts w:hint="eastAsia" w:ascii="黑体" w:hAnsi="黑体" w:eastAsia="黑体" w:cs="宋体"/>
          <w:bCs/>
          <w:sz w:val="24"/>
          <w:szCs w:val="24"/>
        </w:rPr>
        <w:t>1</w:t>
      </w:r>
      <w:r>
        <w:rPr>
          <w:rFonts w:ascii="黑体" w:hAnsi="黑体" w:eastAsia="黑体" w:cs="宋体"/>
          <w:bCs/>
          <w:sz w:val="24"/>
          <w:szCs w:val="24"/>
        </w:rPr>
        <w:t xml:space="preserve">  矿区范围拐点坐标一览表（2000国家大地坐标系）</w:t>
      </w:r>
    </w:p>
    <w:p w14:paraId="0A87C3F9">
      <w:pPr>
        <w:ind w:firstLine="400" w:firstLineChars="200"/>
        <w:rPr>
          <w:bCs/>
          <w:sz w:val="20"/>
        </w:rPr>
      </w:pPr>
    </w:p>
    <w:p w14:paraId="1575D0E5">
      <w:pPr>
        <w:pStyle w:val="4"/>
        <w:spacing w:before="0" w:beforeLines="0"/>
        <w:rPr>
          <w:rFonts w:ascii="Times New Roman" w:hAnsi="Times New Roman"/>
        </w:rPr>
      </w:pPr>
      <w:bookmarkStart w:id="32" w:name="_Toc4000"/>
      <w:r>
        <w:rPr>
          <w:rFonts w:ascii="Times New Roman" w:hAnsi="Times New Roman"/>
        </w:rPr>
        <w:t>第二节  地理位置与区域概况</w:t>
      </w:r>
      <w:bookmarkEnd w:id="32"/>
    </w:p>
    <w:p w14:paraId="63DBA5D3">
      <w:pPr>
        <w:adjustRightInd w:val="0"/>
        <w:snapToGrid w:val="0"/>
        <w:spacing w:line="360" w:lineRule="auto"/>
        <w:ind w:firstLine="562" w:firstLineChars="200"/>
        <w:outlineLvl w:val="2"/>
        <w:rPr>
          <w:b/>
          <w:bCs/>
          <w:sz w:val="28"/>
          <w:szCs w:val="28"/>
        </w:rPr>
      </w:pPr>
      <w:r>
        <w:rPr>
          <w:b/>
          <w:bCs/>
          <w:sz w:val="28"/>
          <w:szCs w:val="28"/>
        </w:rPr>
        <w:t>一、地理位置</w:t>
      </w:r>
    </w:p>
    <w:p w14:paraId="7C75782D">
      <w:pPr>
        <w:pStyle w:val="31"/>
        <w:spacing w:line="360" w:lineRule="auto"/>
        <w:ind w:firstLine="560" w:firstLineChars="200"/>
        <w:rPr>
          <w:rFonts w:eastAsia="宋体"/>
          <w:szCs w:val="28"/>
        </w:rPr>
      </w:pPr>
      <w:r>
        <w:rPr>
          <w:rFonts w:eastAsia="宋体"/>
          <w:szCs w:val="28"/>
        </w:rPr>
        <w:t>1、位置</w:t>
      </w:r>
    </w:p>
    <w:p w14:paraId="41903F19">
      <w:pPr>
        <w:snapToGrid w:val="0"/>
        <w:spacing w:line="360" w:lineRule="auto"/>
        <w:ind w:firstLine="560" w:firstLineChars="200"/>
        <w:rPr>
          <w:sz w:val="28"/>
          <w:szCs w:val="28"/>
        </w:rPr>
      </w:pPr>
      <w:r>
        <w:rPr>
          <w:sz w:val="28"/>
          <w:szCs w:val="28"/>
        </w:rPr>
        <w:t>内蒙古自治区赤峰市松山区赤峰国富玄武岩矿位于内蒙古自治区赤峰市松山区政府所在地西约</w:t>
      </w:r>
      <w:r>
        <w:rPr>
          <w:rFonts w:hint="eastAsia" w:ascii="宋体" w:hAnsi="宋体" w:cs="宋体"/>
          <w:spacing w:val="13"/>
          <w:sz w:val="32"/>
          <w:szCs w:val="32"/>
        </w:rPr>
        <w:t>***</w:t>
      </w:r>
      <w:r>
        <w:rPr>
          <w:sz w:val="28"/>
          <w:szCs w:val="28"/>
        </w:rPr>
        <w:t>km，行政区划隶属</w:t>
      </w:r>
      <w:bookmarkStart w:id="33" w:name="_Hlk58247358"/>
      <w:r>
        <w:rPr>
          <w:sz w:val="28"/>
          <w:szCs w:val="28"/>
        </w:rPr>
        <w:t>赤峰市</w:t>
      </w:r>
      <w:bookmarkEnd w:id="33"/>
      <w:bookmarkStart w:id="34" w:name="_Hlk58247379"/>
      <w:r>
        <w:rPr>
          <w:sz w:val="28"/>
          <w:szCs w:val="28"/>
        </w:rPr>
        <w:t>松山区大庙镇管辖</w:t>
      </w:r>
      <w:bookmarkEnd w:id="34"/>
      <w:r>
        <w:rPr>
          <w:sz w:val="28"/>
          <w:szCs w:val="28"/>
        </w:rPr>
        <w:t>。矿区面积为</w:t>
      </w:r>
      <w:r>
        <w:rPr>
          <w:rFonts w:hint="eastAsia" w:ascii="宋体" w:hAnsi="宋体" w:cs="宋体"/>
          <w:spacing w:val="13"/>
          <w:sz w:val="32"/>
          <w:szCs w:val="32"/>
        </w:rPr>
        <w:t>***</w:t>
      </w:r>
      <w:r>
        <w:rPr>
          <w:sz w:val="28"/>
          <w:szCs w:val="28"/>
        </w:rPr>
        <w:t>km</w:t>
      </w:r>
      <w:r>
        <w:rPr>
          <w:sz w:val="28"/>
          <w:szCs w:val="28"/>
          <w:vertAlign w:val="superscript"/>
        </w:rPr>
        <w:t>2</w:t>
      </w:r>
      <w:r>
        <w:rPr>
          <w:sz w:val="28"/>
          <w:szCs w:val="28"/>
        </w:rPr>
        <w:t>。</w:t>
      </w:r>
    </w:p>
    <w:p w14:paraId="55D17986">
      <w:pPr>
        <w:snapToGrid w:val="0"/>
        <w:spacing w:line="360" w:lineRule="auto"/>
        <w:ind w:firstLine="560" w:firstLineChars="200"/>
        <w:rPr>
          <w:sz w:val="28"/>
          <w:szCs w:val="28"/>
        </w:rPr>
      </w:pPr>
      <w:r>
        <w:rPr>
          <w:sz w:val="28"/>
          <w:szCs w:val="28"/>
        </w:rPr>
        <w:t>矿区地理坐标：</w:t>
      </w:r>
    </w:p>
    <w:p w14:paraId="602FE28B">
      <w:pPr>
        <w:snapToGrid w:val="0"/>
        <w:spacing w:line="360" w:lineRule="auto"/>
        <w:ind w:firstLine="560" w:firstLineChars="200"/>
        <w:rPr>
          <w:sz w:val="28"/>
          <w:szCs w:val="28"/>
        </w:rPr>
      </w:pPr>
      <w:r>
        <w:rPr>
          <w:sz w:val="28"/>
          <w:szCs w:val="28"/>
        </w:rPr>
        <w:t>东经：</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p>
    <w:p w14:paraId="2812D8AC">
      <w:pPr>
        <w:snapToGrid w:val="0"/>
        <w:spacing w:line="360" w:lineRule="auto"/>
        <w:ind w:firstLine="560" w:firstLineChars="200"/>
        <w:rPr>
          <w:sz w:val="28"/>
          <w:szCs w:val="28"/>
        </w:rPr>
      </w:pPr>
      <w:r>
        <w:rPr>
          <w:sz w:val="28"/>
          <w:szCs w:val="28"/>
        </w:rPr>
        <w:t>北纬：</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w:t>
      </w:r>
    </w:p>
    <w:p w14:paraId="760F00B8">
      <w:pPr>
        <w:snapToGrid w:val="0"/>
        <w:spacing w:line="360" w:lineRule="auto"/>
        <w:ind w:firstLine="560" w:firstLineChars="200"/>
        <w:rPr>
          <w:sz w:val="28"/>
          <w:szCs w:val="28"/>
        </w:rPr>
      </w:pPr>
      <w:r>
        <w:rPr>
          <w:sz w:val="28"/>
          <w:szCs w:val="28"/>
        </w:rPr>
        <w:t>2、交通</w:t>
      </w:r>
    </w:p>
    <w:p w14:paraId="389B8290">
      <w:pPr>
        <w:snapToGrid w:val="0"/>
        <w:spacing w:line="360" w:lineRule="auto"/>
        <w:ind w:firstLine="560" w:firstLineChars="200"/>
        <w:rPr>
          <w:sz w:val="28"/>
          <w:szCs w:val="28"/>
        </w:rPr>
      </w:pPr>
      <w:r>
        <w:rPr>
          <w:rFonts w:hint="eastAsia"/>
          <w:sz w:val="28"/>
          <w:szCs w:val="28"/>
        </w:rPr>
        <w:t>矿区</w:t>
      </w:r>
      <w:r>
        <w:rPr>
          <w:sz w:val="28"/>
          <w:szCs w:val="28"/>
        </w:rPr>
        <w:t>位于松山区大庙镇和平营子村东约</w:t>
      </w:r>
      <w:r>
        <w:rPr>
          <w:rFonts w:hint="eastAsia" w:ascii="宋体" w:hAnsi="宋体" w:cs="宋体"/>
          <w:spacing w:val="13"/>
          <w:sz w:val="32"/>
          <w:szCs w:val="32"/>
        </w:rPr>
        <w:t>***</w:t>
      </w:r>
      <w:r>
        <w:rPr>
          <w:sz w:val="28"/>
          <w:szCs w:val="28"/>
        </w:rPr>
        <w:t>km，西北距大庙镇约</w:t>
      </w:r>
      <w:r>
        <w:rPr>
          <w:rFonts w:hint="eastAsia" w:ascii="宋体" w:hAnsi="宋体" w:cs="宋体"/>
          <w:spacing w:val="13"/>
          <w:sz w:val="32"/>
          <w:szCs w:val="32"/>
        </w:rPr>
        <w:t>***</w:t>
      </w:r>
      <w:r>
        <w:rPr>
          <w:sz w:val="28"/>
          <w:szCs w:val="28"/>
        </w:rPr>
        <w:t>km，南东距松山区政府所在地约</w:t>
      </w:r>
      <w:r>
        <w:rPr>
          <w:rFonts w:hint="eastAsia" w:ascii="宋体" w:hAnsi="宋体" w:cs="宋体"/>
          <w:spacing w:val="13"/>
          <w:sz w:val="32"/>
          <w:szCs w:val="32"/>
        </w:rPr>
        <w:t>***</w:t>
      </w:r>
      <w:r>
        <w:rPr>
          <w:sz w:val="28"/>
          <w:szCs w:val="28"/>
        </w:rPr>
        <w:t>km，南东距赤峰市约</w:t>
      </w:r>
      <w:r>
        <w:rPr>
          <w:rFonts w:hint="eastAsia" w:ascii="宋体" w:hAnsi="宋体" w:cs="宋体"/>
          <w:spacing w:val="13"/>
          <w:sz w:val="32"/>
          <w:szCs w:val="32"/>
        </w:rPr>
        <w:t>***</w:t>
      </w:r>
      <w:r>
        <w:rPr>
          <w:sz w:val="28"/>
          <w:szCs w:val="28"/>
        </w:rPr>
        <w:t>km，南距G111国道约</w:t>
      </w:r>
      <w:r>
        <w:rPr>
          <w:rFonts w:hint="eastAsia" w:ascii="宋体" w:hAnsi="宋体" w:cs="宋体"/>
          <w:spacing w:val="13"/>
          <w:sz w:val="32"/>
          <w:szCs w:val="32"/>
        </w:rPr>
        <w:t>***</w:t>
      </w:r>
      <w:r>
        <w:rPr>
          <w:sz w:val="28"/>
          <w:szCs w:val="28"/>
        </w:rPr>
        <w:t>km，南东距京通铁路赤峰火车站约</w:t>
      </w:r>
      <w:r>
        <w:rPr>
          <w:rFonts w:hint="eastAsia" w:ascii="宋体" w:hAnsi="宋体" w:cs="宋体"/>
          <w:spacing w:val="13"/>
          <w:sz w:val="32"/>
          <w:szCs w:val="32"/>
        </w:rPr>
        <w:t>***</w:t>
      </w:r>
      <w:r>
        <w:rPr>
          <w:sz w:val="28"/>
          <w:szCs w:val="28"/>
        </w:rPr>
        <w:t>km，大庙镇到赤峰市有柏油路相通，治理区到大庙镇有乡村公路相通，交通方便。（见交通位置图1-1）。</w:t>
      </w:r>
    </w:p>
    <w:p w14:paraId="40ECA18F">
      <w:pPr>
        <w:snapToGrid w:val="0"/>
        <w:spacing w:line="360" w:lineRule="auto"/>
        <w:rPr>
          <w:sz w:val="28"/>
          <w:szCs w:val="28"/>
        </w:rPr>
      </w:pPr>
    </w:p>
    <w:p w14:paraId="50FEBD38">
      <w:pPr>
        <w:snapToGrid w:val="0"/>
        <w:ind w:firstLine="480" w:firstLineChars="200"/>
        <w:jc w:val="center"/>
        <w:rPr>
          <w:rFonts w:eastAsia="黑体"/>
          <w:sz w:val="24"/>
          <w:szCs w:val="24"/>
        </w:rPr>
      </w:pPr>
      <w:r>
        <w:rPr>
          <w:rFonts w:eastAsia="黑体"/>
          <w:sz w:val="24"/>
          <w:szCs w:val="24"/>
        </w:rPr>
        <w:t>图1-</w:t>
      </w:r>
      <w:r>
        <w:rPr>
          <w:rFonts w:hint="eastAsia" w:eastAsia="黑体"/>
          <w:sz w:val="24"/>
          <w:szCs w:val="24"/>
        </w:rPr>
        <w:t>1</w:t>
      </w:r>
      <w:r>
        <w:rPr>
          <w:rFonts w:eastAsia="黑体"/>
          <w:sz w:val="24"/>
          <w:szCs w:val="24"/>
        </w:rPr>
        <w:t xml:space="preserve">  矿区交通位置图</w:t>
      </w:r>
    </w:p>
    <w:p w14:paraId="57ADF81E">
      <w:pPr>
        <w:snapToGrid w:val="0"/>
        <w:ind w:firstLine="480" w:firstLineChars="200"/>
        <w:jc w:val="center"/>
        <w:rPr>
          <w:rFonts w:eastAsia="黑体"/>
          <w:sz w:val="24"/>
          <w:szCs w:val="24"/>
        </w:rPr>
      </w:pPr>
    </w:p>
    <w:p w14:paraId="48146A85">
      <w:pPr>
        <w:adjustRightInd w:val="0"/>
        <w:snapToGrid w:val="0"/>
        <w:spacing w:line="360" w:lineRule="auto"/>
        <w:ind w:firstLine="562" w:firstLineChars="200"/>
        <w:outlineLvl w:val="2"/>
        <w:rPr>
          <w:sz w:val="28"/>
          <w:szCs w:val="28"/>
        </w:rPr>
      </w:pPr>
      <w:r>
        <w:rPr>
          <w:b/>
          <w:bCs/>
          <w:sz w:val="28"/>
          <w:szCs w:val="28"/>
        </w:rPr>
        <w:t>二、矿区周边概况</w:t>
      </w:r>
    </w:p>
    <w:p w14:paraId="52473F11">
      <w:pPr>
        <w:pStyle w:val="31"/>
        <w:spacing w:line="360" w:lineRule="auto"/>
        <w:ind w:firstLine="560" w:firstLineChars="200"/>
        <w:rPr>
          <w:rFonts w:eastAsia="宋体"/>
          <w:szCs w:val="28"/>
        </w:rPr>
      </w:pPr>
      <w:r>
        <w:rPr>
          <w:rFonts w:eastAsia="宋体"/>
          <w:szCs w:val="28"/>
        </w:rPr>
        <w:t>1、周边村庄</w:t>
      </w:r>
    </w:p>
    <w:p w14:paraId="124B4559">
      <w:pPr>
        <w:pStyle w:val="31"/>
        <w:spacing w:line="360" w:lineRule="auto"/>
        <w:ind w:firstLine="560" w:firstLineChars="200"/>
        <w:rPr>
          <w:rFonts w:eastAsia="宋体"/>
          <w:szCs w:val="28"/>
        </w:rPr>
      </w:pPr>
      <w:r>
        <w:rPr>
          <w:rFonts w:eastAsia="宋体"/>
          <w:szCs w:val="28"/>
        </w:rPr>
        <w:t>矿区周边分布有三个集中居民点，大营子村位于矿界外南部</w:t>
      </w:r>
      <w:r>
        <w:rPr>
          <w:rFonts w:hint="eastAsia" w:ascii="宋体" w:hAnsi="宋体" w:cs="宋体"/>
          <w:spacing w:val="13"/>
          <w:sz w:val="32"/>
          <w:szCs w:val="32"/>
        </w:rPr>
        <w:t>***</w:t>
      </w:r>
      <w:r>
        <w:rPr>
          <w:rFonts w:eastAsia="宋体"/>
          <w:szCs w:val="28"/>
        </w:rPr>
        <w:t>km处，住户有</w:t>
      </w:r>
      <w:r>
        <w:rPr>
          <w:rFonts w:hint="eastAsia" w:ascii="宋体" w:hAnsi="宋体" w:cs="宋体"/>
          <w:spacing w:val="13"/>
          <w:sz w:val="32"/>
          <w:szCs w:val="32"/>
        </w:rPr>
        <w:t>***</w:t>
      </w:r>
      <w:r>
        <w:rPr>
          <w:rFonts w:eastAsia="宋体"/>
          <w:szCs w:val="28"/>
        </w:rPr>
        <w:t>余户，人口</w:t>
      </w:r>
      <w:r>
        <w:rPr>
          <w:rFonts w:hint="eastAsia" w:ascii="宋体" w:hAnsi="宋体" w:cs="宋体"/>
          <w:spacing w:val="13"/>
          <w:sz w:val="32"/>
          <w:szCs w:val="32"/>
        </w:rPr>
        <w:t>***</w:t>
      </w:r>
      <w:r>
        <w:rPr>
          <w:rFonts w:eastAsia="宋体"/>
          <w:szCs w:val="28"/>
        </w:rPr>
        <w:t>人左右；</w:t>
      </w:r>
      <w:r>
        <w:rPr>
          <w:rFonts w:hint="eastAsia" w:eastAsia="宋体"/>
          <w:szCs w:val="28"/>
        </w:rPr>
        <w:t>石炭</w:t>
      </w:r>
      <w:r>
        <w:rPr>
          <w:rFonts w:eastAsia="宋体"/>
          <w:szCs w:val="28"/>
        </w:rPr>
        <w:t>窑沟位于矿界外南东部</w:t>
      </w:r>
      <w:r>
        <w:rPr>
          <w:rFonts w:hint="eastAsia" w:ascii="宋体" w:hAnsi="宋体" w:cs="宋体"/>
          <w:spacing w:val="13"/>
          <w:sz w:val="32"/>
          <w:szCs w:val="32"/>
        </w:rPr>
        <w:t>***</w:t>
      </w:r>
      <w:r>
        <w:rPr>
          <w:rFonts w:eastAsia="宋体"/>
          <w:szCs w:val="28"/>
        </w:rPr>
        <w:t>km处，住户有</w:t>
      </w:r>
      <w:r>
        <w:rPr>
          <w:rFonts w:hint="eastAsia" w:ascii="宋体" w:hAnsi="宋体" w:cs="宋体"/>
          <w:spacing w:val="13"/>
          <w:sz w:val="32"/>
          <w:szCs w:val="32"/>
        </w:rPr>
        <w:t>***</w:t>
      </w:r>
      <w:r>
        <w:rPr>
          <w:rFonts w:eastAsia="宋体"/>
          <w:szCs w:val="28"/>
        </w:rPr>
        <w:t>户，人口</w:t>
      </w:r>
      <w:r>
        <w:rPr>
          <w:rFonts w:hint="eastAsia" w:ascii="宋体" w:hAnsi="宋体" w:cs="宋体"/>
          <w:spacing w:val="13"/>
          <w:sz w:val="32"/>
          <w:szCs w:val="32"/>
        </w:rPr>
        <w:t>***</w:t>
      </w:r>
      <w:r>
        <w:rPr>
          <w:rFonts w:eastAsia="宋体"/>
          <w:szCs w:val="28"/>
        </w:rPr>
        <w:t>人左右；</w:t>
      </w:r>
      <w:r>
        <w:rPr>
          <w:rFonts w:hint="eastAsia" w:eastAsia="宋体"/>
          <w:szCs w:val="28"/>
        </w:rPr>
        <w:t>三间房</w:t>
      </w:r>
      <w:r>
        <w:rPr>
          <w:rFonts w:eastAsia="宋体"/>
          <w:szCs w:val="28"/>
        </w:rPr>
        <w:t>位于矿界南西部</w:t>
      </w:r>
      <w:r>
        <w:rPr>
          <w:rFonts w:hint="eastAsia" w:ascii="宋体" w:hAnsi="宋体" w:cs="宋体"/>
          <w:spacing w:val="13"/>
          <w:sz w:val="32"/>
          <w:szCs w:val="32"/>
        </w:rPr>
        <w:t>***</w:t>
      </w:r>
      <w:r>
        <w:rPr>
          <w:rFonts w:eastAsia="宋体"/>
          <w:szCs w:val="28"/>
        </w:rPr>
        <w:t>km处，住户有</w:t>
      </w:r>
      <w:r>
        <w:rPr>
          <w:rFonts w:hint="eastAsia" w:ascii="宋体" w:hAnsi="宋体" w:cs="宋体"/>
          <w:spacing w:val="13"/>
          <w:sz w:val="32"/>
          <w:szCs w:val="32"/>
        </w:rPr>
        <w:t>***</w:t>
      </w:r>
      <w:r>
        <w:rPr>
          <w:rFonts w:eastAsia="宋体"/>
          <w:szCs w:val="28"/>
        </w:rPr>
        <w:t>余户，人口</w:t>
      </w:r>
      <w:r>
        <w:rPr>
          <w:rFonts w:hint="eastAsia" w:ascii="宋体" w:hAnsi="宋体" w:cs="宋体"/>
          <w:spacing w:val="13"/>
          <w:sz w:val="32"/>
          <w:szCs w:val="32"/>
        </w:rPr>
        <w:t>***</w:t>
      </w:r>
      <w:r>
        <w:rPr>
          <w:rFonts w:eastAsia="宋体"/>
          <w:szCs w:val="28"/>
        </w:rPr>
        <w:t>人左右。村民以农牧业及矿业开发为生。国富矿采矿权区内无村民居住，采矿活动不会影响到当地村民生产生活。</w:t>
      </w:r>
    </w:p>
    <w:p w14:paraId="6CB01676">
      <w:pPr>
        <w:pStyle w:val="31"/>
        <w:spacing w:line="360" w:lineRule="auto"/>
        <w:ind w:left="-2" w:leftChars="-1" w:firstLine="1"/>
        <w:jc w:val="center"/>
        <w:rPr>
          <w:rFonts w:eastAsia="宋体"/>
          <w:szCs w:val="28"/>
        </w:rPr>
      </w:pPr>
      <w:r>
        <w:rPr>
          <w:rFonts w:eastAsia="黑体"/>
          <w:sz w:val="24"/>
          <w:szCs w:val="24"/>
        </w:rPr>
        <w:t>图1-</w:t>
      </w:r>
      <w:r>
        <w:rPr>
          <w:rFonts w:hint="eastAsia" w:eastAsia="黑体"/>
          <w:sz w:val="24"/>
          <w:szCs w:val="24"/>
        </w:rPr>
        <w:t>2</w:t>
      </w:r>
      <w:r>
        <w:rPr>
          <w:rFonts w:eastAsia="黑体"/>
          <w:sz w:val="24"/>
          <w:szCs w:val="24"/>
        </w:rPr>
        <w:t xml:space="preserve">  </w:t>
      </w:r>
      <w:r>
        <w:rPr>
          <w:rFonts w:hint="eastAsia" w:eastAsia="黑体"/>
          <w:sz w:val="24"/>
          <w:szCs w:val="24"/>
        </w:rPr>
        <w:t>矿山与周边村庄位置分布关系</w:t>
      </w:r>
    </w:p>
    <w:p w14:paraId="3A5A905F">
      <w:pPr>
        <w:adjustRightInd w:val="0"/>
        <w:snapToGrid w:val="0"/>
        <w:spacing w:line="360" w:lineRule="auto"/>
        <w:ind w:firstLine="560" w:firstLineChars="200"/>
        <w:rPr>
          <w:sz w:val="28"/>
          <w:szCs w:val="28"/>
        </w:rPr>
      </w:pPr>
      <w:r>
        <w:rPr>
          <w:sz w:val="28"/>
          <w:szCs w:val="28"/>
        </w:rPr>
        <w:t>2、周边矿权关系</w:t>
      </w:r>
    </w:p>
    <w:p w14:paraId="3F616EBE">
      <w:pPr>
        <w:snapToGrid w:val="0"/>
        <w:spacing w:line="360" w:lineRule="auto"/>
        <w:ind w:firstLine="560" w:firstLineChars="200"/>
        <w:rPr>
          <w:bCs/>
          <w:sz w:val="28"/>
          <w:szCs w:val="28"/>
        </w:rPr>
      </w:pPr>
      <w:r>
        <w:rPr>
          <w:bCs/>
          <w:sz w:val="28"/>
          <w:szCs w:val="28"/>
        </w:rPr>
        <w:t>经查询，</w:t>
      </w:r>
      <w:r>
        <w:rPr>
          <w:rFonts w:hint="eastAsia"/>
          <w:bCs/>
          <w:sz w:val="28"/>
          <w:szCs w:val="28"/>
        </w:rPr>
        <w:t>矿区</w:t>
      </w:r>
      <w:r>
        <w:rPr>
          <w:bCs/>
          <w:sz w:val="28"/>
          <w:szCs w:val="28"/>
        </w:rPr>
        <w:t>周边已设采矿权有5处，分别为赤峰合鑫矿业有限公司石灰窑沟铁矿、赤峰金源矿业有限责任公司柴胡栏子石英岩矿、赤峰顺泰矿业有限责任公司柴胡栏子硅石矿、松山区高三营子硅石白云岩矿、赤峰金源矿业有限责任公司硅石矿。各矿业权分布情况见图1-</w:t>
      </w:r>
      <w:r>
        <w:rPr>
          <w:rFonts w:hint="eastAsia"/>
          <w:bCs/>
          <w:sz w:val="28"/>
          <w:szCs w:val="28"/>
        </w:rPr>
        <w:t>3</w:t>
      </w:r>
      <w:r>
        <w:rPr>
          <w:bCs/>
          <w:sz w:val="28"/>
          <w:szCs w:val="28"/>
        </w:rPr>
        <w:t>。</w:t>
      </w:r>
    </w:p>
    <w:p w14:paraId="17E24DE3">
      <w:pPr>
        <w:snapToGrid w:val="0"/>
        <w:spacing w:line="360" w:lineRule="auto"/>
        <w:jc w:val="center"/>
        <w:rPr>
          <w:rFonts w:eastAsia="黑体"/>
          <w:sz w:val="24"/>
          <w:szCs w:val="24"/>
        </w:rPr>
      </w:pPr>
      <w:r>
        <w:rPr>
          <w:rFonts w:eastAsia="黑体"/>
          <w:sz w:val="24"/>
          <w:szCs w:val="24"/>
        </w:rPr>
        <w:t>图1-</w:t>
      </w:r>
      <w:r>
        <w:rPr>
          <w:rFonts w:hint="eastAsia" w:eastAsia="黑体"/>
          <w:sz w:val="24"/>
          <w:szCs w:val="24"/>
        </w:rPr>
        <w:t>3</w:t>
      </w:r>
      <w:r>
        <w:rPr>
          <w:rFonts w:eastAsia="黑体"/>
          <w:sz w:val="24"/>
          <w:szCs w:val="24"/>
        </w:rPr>
        <w:t xml:space="preserve">  周边矿权分布图</w:t>
      </w:r>
    </w:p>
    <w:p w14:paraId="5FD2AF4A">
      <w:pPr>
        <w:pStyle w:val="4"/>
        <w:spacing w:before="120" w:beforeLines="50"/>
        <w:rPr>
          <w:rFonts w:ascii="Times New Roman" w:hAnsi="Times New Roman"/>
        </w:rPr>
      </w:pPr>
      <w:bookmarkStart w:id="35" w:name="_Toc20903"/>
      <w:r>
        <w:rPr>
          <w:rFonts w:ascii="Times New Roman" w:hAnsi="Times New Roman"/>
        </w:rPr>
        <w:t>第三节  矿山开采历史及现状</w:t>
      </w:r>
      <w:bookmarkEnd w:id="35"/>
    </w:p>
    <w:p w14:paraId="309BA212">
      <w:pPr>
        <w:adjustRightInd w:val="0"/>
        <w:snapToGrid w:val="0"/>
        <w:spacing w:line="360" w:lineRule="auto"/>
        <w:ind w:firstLine="562" w:firstLineChars="200"/>
        <w:outlineLvl w:val="2"/>
        <w:rPr>
          <w:b/>
          <w:bCs/>
          <w:szCs w:val="28"/>
        </w:rPr>
      </w:pPr>
      <w:r>
        <w:rPr>
          <w:b/>
          <w:bCs/>
          <w:sz w:val="28"/>
          <w:szCs w:val="28"/>
        </w:rPr>
        <w:t>一、矿山开采历史</w:t>
      </w:r>
    </w:p>
    <w:p w14:paraId="5DA54D80">
      <w:pPr>
        <w:adjustRightInd w:val="0"/>
        <w:snapToGrid w:val="0"/>
        <w:spacing w:line="360" w:lineRule="auto"/>
        <w:ind w:firstLine="560" w:firstLineChars="200"/>
        <w:rPr>
          <w:sz w:val="28"/>
          <w:szCs w:val="28"/>
        </w:rPr>
      </w:pPr>
      <w:r>
        <w:rPr>
          <w:sz w:val="28"/>
          <w:szCs w:val="28"/>
        </w:rPr>
        <w:t>赤峰国富玄武岩矿在申办采矿权许可证之前曾进行过大规模的民采，矿区周边堆积了大量的玄武岩碎石，为利用该矿产资源，赤峰双盈碎石有限公司办理了营业执照，在矿区周边建设了石料加工场地和炸药库，对矿区周边堆积的玄武岩碎石进行加工利用。以往民采形成的玄武岩碎石积量较大，工业场地、石料加工场地和</w:t>
      </w:r>
      <w:r>
        <w:rPr>
          <w:rFonts w:hint="eastAsia"/>
          <w:sz w:val="28"/>
          <w:szCs w:val="28"/>
        </w:rPr>
        <w:t>检斤房</w:t>
      </w:r>
      <w:r>
        <w:rPr>
          <w:sz w:val="28"/>
          <w:szCs w:val="28"/>
        </w:rPr>
        <w:t>属赤峰双盈碎石有限公司所建。</w:t>
      </w:r>
    </w:p>
    <w:p w14:paraId="299B13D9">
      <w:pPr>
        <w:adjustRightInd w:val="0"/>
        <w:snapToGrid w:val="0"/>
        <w:spacing w:line="360" w:lineRule="auto"/>
        <w:ind w:firstLine="560" w:firstLineChars="200"/>
        <w:rPr>
          <w:sz w:val="28"/>
          <w:szCs w:val="28"/>
        </w:rPr>
      </w:pPr>
      <w:r>
        <w:rPr>
          <w:sz w:val="28"/>
          <w:szCs w:val="28"/>
        </w:rPr>
        <w:t>根据赤峰市国土资源局松山区分局对矿山开采情况的核查，该矿部分采矿范围位于采矿权许可证标定的范围之外，2014年赤峰市国土资源局松山区分局对越界开采的范围进行了处罚。根据法人陈述，由于该矿及周边原由三家相邻矿山企业进行开采，采矿界线不甚明晰，现其余两家企业已停采，导致实际开采范围与采矿证不符。因此，赤峰国富玄武岩矿提出对开采范围纠错的申请。2015年9月22日，赤峰市国土资源局批复同意了对该矿采矿范围纠错的申请（赤国土资发［2015］605号）。</w:t>
      </w:r>
    </w:p>
    <w:p w14:paraId="3D553856">
      <w:pPr>
        <w:adjustRightInd w:val="0"/>
        <w:snapToGrid w:val="0"/>
        <w:spacing w:line="360" w:lineRule="auto"/>
        <w:ind w:firstLine="560" w:firstLineChars="200"/>
        <w:rPr>
          <w:sz w:val="28"/>
          <w:szCs w:val="28"/>
        </w:rPr>
      </w:pPr>
      <w:r>
        <w:rPr>
          <w:sz w:val="28"/>
          <w:szCs w:val="28"/>
        </w:rPr>
        <w:t>2002年6月，赤峰国土资源局于为赤峰国富玄武岩矿颁发了采矿许可证，设计规模为年产矿石</w:t>
      </w:r>
      <w:r>
        <w:rPr>
          <w:rFonts w:hint="eastAsia" w:ascii="宋体" w:hAnsi="宋体" w:cs="宋体"/>
          <w:spacing w:val="13"/>
          <w:sz w:val="32"/>
          <w:szCs w:val="32"/>
        </w:rPr>
        <w:t>***</w:t>
      </w:r>
      <w:r>
        <w:rPr>
          <w:sz w:val="28"/>
          <w:szCs w:val="28"/>
        </w:rPr>
        <w:t>万吨，至2016年底，采出矿石</w:t>
      </w:r>
      <w:r>
        <w:rPr>
          <w:rFonts w:hint="eastAsia" w:ascii="宋体" w:hAnsi="宋体" w:cs="宋体"/>
          <w:spacing w:val="13"/>
          <w:sz w:val="32"/>
          <w:szCs w:val="32"/>
        </w:rPr>
        <w:t>***</w:t>
      </w:r>
      <w:r>
        <w:rPr>
          <w:sz w:val="28"/>
          <w:szCs w:val="28"/>
        </w:rPr>
        <w:t>万m³。</w:t>
      </w:r>
    </w:p>
    <w:p w14:paraId="095F002E">
      <w:pPr>
        <w:adjustRightInd w:val="0"/>
        <w:snapToGrid w:val="0"/>
        <w:spacing w:line="360" w:lineRule="auto"/>
        <w:ind w:firstLine="560" w:firstLineChars="200"/>
        <w:rPr>
          <w:sz w:val="28"/>
          <w:szCs w:val="28"/>
        </w:rPr>
      </w:pPr>
      <w:r>
        <w:rPr>
          <w:sz w:val="28"/>
          <w:szCs w:val="28"/>
        </w:rPr>
        <w:t>矿山自2016年5月变更采矿证</w:t>
      </w:r>
      <w:r>
        <w:rPr>
          <w:rFonts w:hint="eastAsia"/>
          <w:sz w:val="28"/>
          <w:szCs w:val="28"/>
        </w:rPr>
        <w:t>后，</w:t>
      </w:r>
      <w:r>
        <w:rPr>
          <w:sz w:val="28"/>
          <w:szCs w:val="28"/>
        </w:rPr>
        <w:t>至2023年1月一直处于生产状态，</w:t>
      </w:r>
      <w:r>
        <w:rPr>
          <w:rFonts w:hint="eastAsia"/>
          <w:sz w:val="28"/>
          <w:szCs w:val="28"/>
        </w:rPr>
        <w:t>根据最新的停产证明，</w:t>
      </w:r>
      <w:r>
        <w:rPr>
          <w:sz w:val="28"/>
          <w:szCs w:val="28"/>
        </w:rPr>
        <w:t>自2023年至今，矿山一直处于停产状态。</w:t>
      </w:r>
    </w:p>
    <w:p w14:paraId="1C969C63">
      <w:pPr>
        <w:adjustRightInd w:val="0"/>
        <w:snapToGrid w:val="0"/>
        <w:spacing w:line="360" w:lineRule="auto"/>
        <w:ind w:firstLine="560" w:firstLineChars="200"/>
        <w:rPr>
          <w:sz w:val="28"/>
          <w:szCs w:val="28"/>
        </w:rPr>
      </w:pPr>
      <w:r>
        <w:rPr>
          <w:sz w:val="28"/>
          <w:szCs w:val="28"/>
        </w:rPr>
        <w:t>目前在矿区全区形成一个采坑，</w:t>
      </w:r>
      <w:r>
        <w:rPr>
          <w:rFonts w:hint="eastAsia"/>
          <w:sz w:val="28"/>
          <w:szCs w:val="28"/>
        </w:rPr>
        <w:t>2024年</w:t>
      </w:r>
      <w:r>
        <w:rPr>
          <w:sz w:val="28"/>
          <w:szCs w:val="28"/>
        </w:rPr>
        <w:t>核实工作对其进行了实地勘查测量圈定，总平面面积约</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，采坑呈陡斜坡式，边坡角</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w:t>
      </w:r>
    </w:p>
    <w:p w14:paraId="58FA33DE">
      <w:pPr>
        <w:adjustRightInd w:val="0"/>
        <w:snapToGrid w:val="0"/>
        <w:spacing w:line="360" w:lineRule="auto"/>
        <w:ind w:firstLine="560" w:firstLineChars="200"/>
        <w:rPr>
          <w:sz w:val="28"/>
          <w:szCs w:val="28"/>
        </w:rPr>
      </w:pPr>
      <w:r>
        <w:rPr>
          <w:rFonts w:hint="eastAsia"/>
          <w:sz w:val="28"/>
          <w:szCs w:val="28"/>
        </w:rPr>
        <w:t>2025年1月采矿权人提交了《内蒙古自治区赤峰市松山区赤峰国富建筑用玄武岩矿资源储量核实报告》（赤自然资松储备字〔2025〕001号）；</w:t>
      </w:r>
    </w:p>
    <w:p w14:paraId="11A4A471">
      <w:pPr>
        <w:adjustRightInd w:val="0"/>
        <w:snapToGrid w:val="0"/>
        <w:spacing w:line="360" w:lineRule="auto"/>
        <w:ind w:firstLine="560" w:firstLineChars="200"/>
        <w:rPr>
          <w:sz w:val="28"/>
          <w:szCs w:val="28"/>
        </w:rPr>
      </w:pPr>
      <w:bookmarkStart w:id="36" w:name="_Hlk113892732"/>
      <w:bookmarkStart w:id="37" w:name="_Hlk112059325"/>
      <w:r>
        <w:rPr>
          <w:rFonts w:hint="eastAsia"/>
          <w:sz w:val="28"/>
          <w:szCs w:val="28"/>
        </w:rPr>
        <w:t>1、累计查明资源量</w:t>
      </w:r>
    </w:p>
    <w:p w14:paraId="74453FE4">
      <w:pPr>
        <w:adjustRightInd w:val="0"/>
        <w:snapToGrid w:val="0"/>
        <w:spacing w:line="360" w:lineRule="auto"/>
        <w:ind w:firstLine="560" w:firstLineChars="200"/>
        <w:rPr>
          <w:sz w:val="28"/>
          <w:szCs w:val="28"/>
        </w:rPr>
      </w:pPr>
      <w:bookmarkStart w:id="38" w:name="_Hlk122535896"/>
      <w:r>
        <w:rPr>
          <w:sz w:val="28"/>
          <w:szCs w:val="28"/>
        </w:rPr>
        <w:t>截止20</w:t>
      </w:r>
      <w:r>
        <w:rPr>
          <w:rFonts w:hint="eastAsia"/>
          <w:sz w:val="28"/>
          <w:szCs w:val="28"/>
        </w:rPr>
        <w:t>24</w:t>
      </w:r>
      <w:r>
        <w:rPr>
          <w:sz w:val="28"/>
          <w:szCs w:val="28"/>
        </w:rPr>
        <w:t>年</w:t>
      </w:r>
      <w:r>
        <w:rPr>
          <w:rFonts w:hint="eastAsia"/>
          <w:sz w:val="28"/>
          <w:szCs w:val="28"/>
        </w:rPr>
        <w:t>10</w:t>
      </w:r>
      <w:r>
        <w:rPr>
          <w:sz w:val="28"/>
          <w:szCs w:val="28"/>
        </w:rPr>
        <w:t>月</w:t>
      </w:r>
      <w:r>
        <w:rPr>
          <w:rFonts w:hint="eastAsia"/>
          <w:sz w:val="28"/>
          <w:szCs w:val="28"/>
        </w:rPr>
        <w:t>31</w:t>
      </w:r>
      <w:r>
        <w:rPr>
          <w:sz w:val="28"/>
          <w:szCs w:val="28"/>
        </w:rPr>
        <w:t>日，</w:t>
      </w:r>
      <w:r>
        <w:rPr>
          <w:rFonts w:hint="eastAsia"/>
          <w:sz w:val="28"/>
          <w:szCs w:val="28"/>
        </w:rPr>
        <w:t>通过本次核实工作，</w:t>
      </w:r>
      <w:r>
        <w:rPr>
          <w:sz w:val="28"/>
          <w:szCs w:val="28"/>
        </w:rPr>
        <w:t>赤峰市松山区赤峰国富建筑用玄武岩矿</w:t>
      </w:r>
      <w:r>
        <w:rPr>
          <w:rFonts w:hint="eastAsia"/>
          <w:sz w:val="28"/>
          <w:szCs w:val="28"/>
        </w:rPr>
        <w:t>累计查明资源量（TM）</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t)。全部为探明资源量（TM）</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t)。</w:t>
      </w:r>
    </w:p>
    <w:bookmarkEnd w:id="38"/>
    <w:p w14:paraId="1FB0FA8D">
      <w:pPr>
        <w:adjustRightInd w:val="0"/>
        <w:snapToGrid w:val="0"/>
        <w:spacing w:line="360" w:lineRule="auto"/>
        <w:ind w:firstLine="560" w:firstLineChars="200"/>
        <w:rPr>
          <w:sz w:val="28"/>
          <w:szCs w:val="28"/>
        </w:rPr>
      </w:pPr>
      <w:bookmarkStart w:id="39" w:name="_Hlk122535927"/>
      <w:r>
        <w:rPr>
          <w:rFonts w:hint="eastAsia"/>
          <w:sz w:val="28"/>
          <w:szCs w:val="28"/>
        </w:rPr>
        <w:t>2、累计动用资源量</w:t>
      </w:r>
    </w:p>
    <w:p w14:paraId="6388BC47">
      <w:pPr>
        <w:adjustRightInd w:val="0"/>
        <w:snapToGrid w:val="0"/>
        <w:spacing w:line="360" w:lineRule="auto"/>
        <w:ind w:firstLine="560" w:firstLineChars="200"/>
        <w:rPr>
          <w:sz w:val="28"/>
          <w:szCs w:val="28"/>
        </w:rPr>
      </w:pPr>
      <w:r>
        <w:rPr>
          <w:sz w:val="28"/>
          <w:szCs w:val="28"/>
        </w:rPr>
        <w:t>截止20</w:t>
      </w:r>
      <w:r>
        <w:rPr>
          <w:rFonts w:hint="eastAsia"/>
          <w:sz w:val="28"/>
          <w:szCs w:val="28"/>
        </w:rPr>
        <w:t>24</w:t>
      </w:r>
      <w:r>
        <w:rPr>
          <w:sz w:val="28"/>
          <w:szCs w:val="28"/>
        </w:rPr>
        <w:t>年</w:t>
      </w:r>
      <w:r>
        <w:rPr>
          <w:rFonts w:hint="eastAsia"/>
          <w:sz w:val="28"/>
          <w:szCs w:val="28"/>
        </w:rPr>
        <w:t>10</w:t>
      </w:r>
      <w:r>
        <w:rPr>
          <w:sz w:val="28"/>
          <w:szCs w:val="28"/>
        </w:rPr>
        <w:t>月</w:t>
      </w:r>
      <w:r>
        <w:rPr>
          <w:rFonts w:hint="eastAsia"/>
          <w:sz w:val="28"/>
          <w:szCs w:val="28"/>
        </w:rPr>
        <w:t>31</w:t>
      </w:r>
      <w:r>
        <w:rPr>
          <w:sz w:val="28"/>
          <w:szCs w:val="28"/>
        </w:rPr>
        <w:t>日，</w:t>
      </w:r>
      <w:r>
        <w:rPr>
          <w:rFonts w:hint="eastAsia"/>
          <w:sz w:val="28"/>
          <w:szCs w:val="28"/>
        </w:rPr>
        <w:t>累计动用资源量（TM）</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t)，全部为探明资源量（TM）</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t)。</w:t>
      </w:r>
    </w:p>
    <w:p w14:paraId="0FABCD75">
      <w:pPr>
        <w:adjustRightInd w:val="0"/>
        <w:snapToGrid w:val="0"/>
        <w:spacing w:line="360" w:lineRule="auto"/>
        <w:ind w:firstLine="560" w:firstLineChars="200"/>
        <w:rPr>
          <w:sz w:val="28"/>
          <w:szCs w:val="28"/>
        </w:rPr>
      </w:pPr>
      <w:r>
        <w:rPr>
          <w:rFonts w:hint="eastAsia"/>
          <w:sz w:val="28"/>
          <w:szCs w:val="28"/>
        </w:rPr>
        <w:t>3、保有资源量</w:t>
      </w:r>
    </w:p>
    <w:p w14:paraId="4CF5B6ED">
      <w:pPr>
        <w:adjustRightInd w:val="0"/>
        <w:snapToGrid w:val="0"/>
        <w:spacing w:line="360" w:lineRule="auto"/>
        <w:ind w:firstLine="560" w:firstLineChars="200"/>
        <w:rPr>
          <w:sz w:val="28"/>
          <w:szCs w:val="28"/>
        </w:rPr>
      </w:pPr>
      <w:bookmarkStart w:id="40" w:name="_Hlk120288275"/>
      <w:bookmarkStart w:id="41" w:name="_Hlk118561196"/>
      <w:r>
        <w:rPr>
          <w:sz w:val="28"/>
          <w:szCs w:val="28"/>
        </w:rPr>
        <w:t>截止20</w:t>
      </w:r>
      <w:r>
        <w:rPr>
          <w:rFonts w:hint="eastAsia"/>
          <w:sz w:val="28"/>
          <w:szCs w:val="28"/>
        </w:rPr>
        <w:t>24</w:t>
      </w:r>
      <w:r>
        <w:rPr>
          <w:sz w:val="28"/>
          <w:szCs w:val="28"/>
        </w:rPr>
        <w:t>年</w:t>
      </w:r>
      <w:r>
        <w:rPr>
          <w:rFonts w:hint="eastAsia"/>
          <w:sz w:val="28"/>
          <w:szCs w:val="28"/>
        </w:rPr>
        <w:t>10</w:t>
      </w:r>
      <w:r>
        <w:rPr>
          <w:sz w:val="28"/>
          <w:szCs w:val="28"/>
        </w:rPr>
        <w:t>月</w:t>
      </w:r>
      <w:r>
        <w:rPr>
          <w:rFonts w:hint="eastAsia"/>
          <w:sz w:val="28"/>
          <w:szCs w:val="28"/>
        </w:rPr>
        <w:t>31</w:t>
      </w:r>
      <w:r>
        <w:rPr>
          <w:sz w:val="28"/>
          <w:szCs w:val="28"/>
        </w:rPr>
        <w:t>日</w:t>
      </w:r>
      <w:r>
        <w:rPr>
          <w:rFonts w:hint="eastAsia"/>
          <w:sz w:val="28"/>
          <w:szCs w:val="28"/>
        </w:rPr>
        <w:t>保有资源量（TM）</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t)，全部为保有探明资源量（TM）</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t)。</w:t>
      </w:r>
    </w:p>
    <w:bookmarkEnd w:id="36"/>
    <w:bookmarkEnd w:id="40"/>
    <w:bookmarkEnd w:id="41"/>
    <w:p w14:paraId="09778F7F">
      <w:pPr>
        <w:adjustRightInd w:val="0"/>
        <w:snapToGrid w:val="0"/>
        <w:spacing w:line="360" w:lineRule="auto"/>
        <w:ind w:firstLine="560" w:firstLineChars="200"/>
        <w:rPr>
          <w:sz w:val="28"/>
          <w:szCs w:val="28"/>
        </w:rPr>
      </w:pPr>
      <w:r>
        <w:rPr>
          <w:rFonts w:hint="eastAsia"/>
          <w:sz w:val="28"/>
          <w:szCs w:val="28"/>
        </w:rPr>
        <w:t>原普查报告中累计查明资源量</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sz w:val="28"/>
          <w:szCs w:val="28"/>
          <w:vertAlign w:val="superscript"/>
        </w:rPr>
        <w:t>3</w:t>
      </w:r>
      <w:r>
        <w:rPr>
          <w:rFonts w:hint="eastAsia"/>
          <w:sz w:val="28"/>
          <w:szCs w:val="28"/>
        </w:rPr>
        <w:t>，</w:t>
      </w:r>
      <w:r>
        <w:rPr>
          <w:sz w:val="28"/>
          <w:szCs w:val="28"/>
        </w:rPr>
        <w:t>本次储量核实累计查明资源量</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sz w:val="28"/>
          <w:szCs w:val="28"/>
          <w:vertAlign w:val="superscript"/>
        </w:rPr>
        <w:t>3</w:t>
      </w:r>
      <w:r>
        <w:rPr>
          <w:sz w:val="28"/>
          <w:szCs w:val="28"/>
        </w:rPr>
        <w:t>，变化量</w:t>
      </w:r>
      <w:r>
        <w:rPr>
          <w:rFonts w:hint="eastAsia"/>
          <w:sz w:val="28"/>
          <w:szCs w:val="28"/>
        </w:rPr>
        <w:t>增加</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sz w:val="28"/>
          <w:szCs w:val="28"/>
          <w:vertAlign w:val="superscript"/>
        </w:rPr>
        <w:t>3</w:t>
      </w:r>
      <w:r>
        <w:rPr>
          <w:sz w:val="28"/>
          <w:szCs w:val="28"/>
        </w:rPr>
        <w:t>，</w:t>
      </w:r>
      <w:r>
        <w:rPr>
          <w:rFonts w:hint="eastAsia"/>
          <w:sz w:val="28"/>
          <w:szCs w:val="28"/>
        </w:rPr>
        <w:t>增加量为原普查报告资源量的</w:t>
      </w:r>
      <w:r>
        <w:rPr>
          <w:rFonts w:hint="eastAsia" w:ascii="宋体" w:hAnsi="宋体" w:cs="宋体"/>
          <w:spacing w:val="13"/>
          <w:sz w:val="32"/>
          <w:szCs w:val="32"/>
        </w:rPr>
        <w:t>***</w:t>
      </w:r>
      <w:r>
        <w:rPr>
          <w:sz w:val="28"/>
          <w:szCs w:val="28"/>
        </w:rPr>
        <w:t>%。</w:t>
      </w:r>
      <w:bookmarkEnd w:id="37"/>
      <w:bookmarkEnd w:id="39"/>
    </w:p>
    <w:p w14:paraId="4AC8B61B">
      <w:pPr>
        <w:adjustRightInd w:val="0"/>
        <w:snapToGrid w:val="0"/>
        <w:spacing w:line="360" w:lineRule="auto"/>
        <w:ind w:firstLine="560" w:firstLineChars="200"/>
        <w:rPr>
          <w:sz w:val="28"/>
          <w:szCs w:val="28"/>
        </w:rPr>
      </w:pPr>
      <w:r>
        <w:rPr>
          <w:rFonts w:hint="eastAsia"/>
          <w:bCs/>
          <w:sz w:val="28"/>
          <w:szCs w:val="28"/>
        </w:rPr>
        <w:t>根据赤峰市自然资源局松山区分局最新开具的停产证明，矿山自2025年1月至今未生产，因此</w:t>
      </w:r>
      <w:r>
        <w:rPr>
          <w:bCs/>
          <w:sz w:val="28"/>
          <w:szCs w:val="28"/>
        </w:rPr>
        <w:t>，</w:t>
      </w:r>
      <w:r>
        <w:rPr>
          <w:sz w:val="28"/>
          <w:szCs w:val="28"/>
        </w:rPr>
        <w:t>截止202</w:t>
      </w:r>
      <w:r>
        <w:rPr>
          <w:rFonts w:hint="eastAsia"/>
          <w:sz w:val="28"/>
          <w:szCs w:val="28"/>
        </w:rPr>
        <w:t>6</w:t>
      </w:r>
      <w:r>
        <w:rPr>
          <w:sz w:val="28"/>
          <w:szCs w:val="28"/>
        </w:rPr>
        <w:t>年</w:t>
      </w:r>
      <w:r>
        <w:rPr>
          <w:rFonts w:hint="eastAsia"/>
          <w:sz w:val="28"/>
          <w:szCs w:val="28"/>
        </w:rPr>
        <w:t>7</w:t>
      </w:r>
      <w:r>
        <w:rPr>
          <w:sz w:val="28"/>
          <w:szCs w:val="28"/>
        </w:rPr>
        <w:t>月31日，累计查明资源储量（TD）矿石量为</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t)。</w:t>
      </w:r>
      <w:r>
        <w:rPr>
          <w:sz w:val="28"/>
          <w:szCs w:val="28"/>
        </w:rPr>
        <w:t>累计动用资源量（TD）为</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t)。</w:t>
      </w:r>
      <w:r>
        <w:rPr>
          <w:sz w:val="28"/>
          <w:szCs w:val="28"/>
        </w:rPr>
        <w:t>保有资源储量（TD）矿石量</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t)。</w:t>
      </w:r>
    </w:p>
    <w:p w14:paraId="10FF01C7">
      <w:pPr>
        <w:adjustRightInd w:val="0"/>
        <w:snapToGrid w:val="0"/>
        <w:spacing w:line="360" w:lineRule="auto"/>
        <w:ind w:firstLine="562" w:firstLineChars="200"/>
        <w:outlineLvl w:val="2"/>
        <w:rPr>
          <w:b/>
          <w:bCs/>
          <w:szCs w:val="28"/>
        </w:rPr>
      </w:pPr>
      <w:r>
        <w:rPr>
          <w:b/>
          <w:bCs/>
          <w:sz w:val="28"/>
          <w:szCs w:val="28"/>
        </w:rPr>
        <w:t>二、矿山开采现状</w:t>
      </w:r>
    </w:p>
    <w:p w14:paraId="21F3EC36">
      <w:pPr>
        <w:pStyle w:val="31"/>
        <w:spacing w:line="360" w:lineRule="auto"/>
        <w:ind w:firstLine="568" w:firstLineChars="202"/>
        <w:rPr>
          <w:rFonts w:eastAsiaTheme="minorEastAsia"/>
          <w:b/>
          <w:bCs/>
          <w:szCs w:val="28"/>
        </w:rPr>
      </w:pPr>
      <w:r>
        <w:rPr>
          <w:rFonts w:eastAsiaTheme="minorEastAsia"/>
          <w:b/>
          <w:bCs/>
          <w:szCs w:val="28"/>
        </w:rPr>
        <w:t>（一）《</w:t>
      </w:r>
      <w:r>
        <w:rPr>
          <w:rFonts w:hint="eastAsia" w:eastAsiaTheme="minorEastAsia"/>
          <w:b/>
          <w:bCs/>
          <w:szCs w:val="28"/>
        </w:rPr>
        <w:t>开发利用方案</w:t>
      </w:r>
      <w:r>
        <w:rPr>
          <w:rFonts w:eastAsiaTheme="minorEastAsia"/>
          <w:b/>
          <w:bCs/>
          <w:szCs w:val="28"/>
        </w:rPr>
        <w:t>》设计情况</w:t>
      </w:r>
    </w:p>
    <w:p w14:paraId="25B9A0F2">
      <w:pPr>
        <w:spacing w:line="360" w:lineRule="auto"/>
        <w:ind w:firstLine="548" w:firstLineChars="200"/>
        <w:rPr>
          <w:rFonts w:hint="eastAsia" w:ascii="宋体" w:hAnsi="宋体"/>
          <w:spacing w:val="-3"/>
          <w:sz w:val="28"/>
          <w:szCs w:val="28"/>
        </w:rPr>
      </w:pPr>
      <w:r>
        <w:rPr>
          <w:rFonts w:ascii="宋体" w:hAnsi="宋体"/>
          <w:spacing w:val="-3"/>
          <w:sz w:val="28"/>
          <w:szCs w:val="28"/>
        </w:rPr>
        <w:t>2016年5月，赤峰国富玄武岩矿自行编制了《内蒙古自治区赤峰市松山区赤峰国富玄武岩碎石矿矿产资源开发利用方案》（赤国土资评审字（2016）第56号），《开发利用方案》采用的储量依据为2016年5月矿山提交的《普查报告》，</w:t>
      </w:r>
      <w:r>
        <w:rPr>
          <w:rFonts w:ascii="宋体" w:hAnsi="宋体"/>
          <w:sz w:val="28"/>
          <w:szCs w:val="28"/>
        </w:rPr>
        <w:t>累计查明资源量</w:t>
      </w:r>
      <w:r>
        <w:rPr>
          <w:rFonts w:ascii="宋体" w:hAnsi="宋体"/>
          <w:bCs/>
          <w:sz w:val="28"/>
          <w:szCs w:val="28"/>
        </w:rPr>
        <w:t>矿石体积：</w:t>
      </w:r>
      <w:r>
        <w:rPr>
          <w:rFonts w:hint="eastAsia" w:ascii="宋体" w:hAnsi="宋体" w:cs="宋体"/>
          <w:spacing w:val="13"/>
          <w:sz w:val="32"/>
          <w:szCs w:val="32"/>
        </w:rPr>
        <w:t>***</w:t>
      </w:r>
      <w:r>
        <w:rPr>
          <w:rFonts w:ascii="宋体" w:hAnsi="宋体"/>
          <w:bCs/>
          <w:sz w:val="28"/>
          <w:szCs w:val="28"/>
        </w:rPr>
        <w:t>m</w:t>
      </w:r>
      <w:r>
        <w:rPr>
          <w:rFonts w:ascii="宋体" w:hAnsi="宋体"/>
          <w:bCs/>
          <w:sz w:val="28"/>
          <w:szCs w:val="28"/>
          <w:vertAlign w:val="superscript"/>
        </w:rPr>
        <w:t>3</w:t>
      </w:r>
      <w:r>
        <w:rPr>
          <w:rFonts w:ascii="宋体" w:hAnsi="宋体"/>
          <w:bCs/>
          <w:sz w:val="28"/>
          <w:szCs w:val="28"/>
        </w:rPr>
        <w:t>，矿石量：</w:t>
      </w:r>
      <w:r>
        <w:rPr>
          <w:rFonts w:hint="eastAsia" w:ascii="宋体" w:hAnsi="宋体" w:cs="宋体"/>
          <w:spacing w:val="13"/>
          <w:sz w:val="32"/>
          <w:szCs w:val="32"/>
        </w:rPr>
        <w:t>***</w:t>
      </w:r>
      <w:r>
        <w:rPr>
          <w:rFonts w:ascii="宋体" w:hAnsi="宋体"/>
          <w:bCs/>
          <w:sz w:val="28"/>
          <w:szCs w:val="28"/>
        </w:rPr>
        <w:t>t。</w:t>
      </w:r>
      <w:r>
        <w:rPr>
          <w:rFonts w:ascii="宋体" w:hAnsi="宋体"/>
          <w:spacing w:val="-3"/>
          <w:sz w:val="28"/>
          <w:szCs w:val="28"/>
        </w:rPr>
        <w:t>《开发利用方案》</w:t>
      </w:r>
      <w:r>
        <w:rPr>
          <w:rFonts w:ascii="宋体" w:hAnsi="宋体"/>
          <w:bCs/>
          <w:spacing w:val="-3"/>
          <w:sz w:val="28"/>
          <w:szCs w:val="28"/>
        </w:rPr>
        <w:t>采用的资源储量(333)矿石体积</w:t>
      </w:r>
      <w:r>
        <w:rPr>
          <w:rFonts w:hint="eastAsia" w:ascii="宋体" w:hAnsi="宋体" w:cs="宋体"/>
          <w:spacing w:val="13"/>
          <w:sz w:val="32"/>
          <w:szCs w:val="32"/>
        </w:rPr>
        <w:t>***</w:t>
      </w:r>
      <w:r>
        <w:rPr>
          <w:rFonts w:ascii="宋体" w:hAnsi="宋体"/>
          <w:bCs/>
          <w:spacing w:val="-3"/>
          <w:sz w:val="28"/>
          <w:szCs w:val="28"/>
        </w:rPr>
        <w:t>m</w:t>
      </w:r>
      <w:r>
        <w:rPr>
          <w:rFonts w:ascii="宋体" w:hAnsi="宋体"/>
          <w:bCs/>
          <w:spacing w:val="-3"/>
          <w:sz w:val="28"/>
          <w:szCs w:val="28"/>
          <w:vertAlign w:val="superscript"/>
        </w:rPr>
        <w:t>3</w:t>
      </w:r>
      <w:r>
        <w:rPr>
          <w:rFonts w:ascii="宋体" w:hAnsi="宋体"/>
          <w:bCs/>
          <w:spacing w:val="-3"/>
          <w:sz w:val="28"/>
          <w:szCs w:val="28"/>
        </w:rPr>
        <w:t>，矿石量：</w:t>
      </w:r>
      <w:r>
        <w:rPr>
          <w:rFonts w:hint="eastAsia" w:ascii="宋体" w:hAnsi="宋体" w:cs="宋体"/>
          <w:spacing w:val="13"/>
          <w:sz w:val="32"/>
          <w:szCs w:val="32"/>
        </w:rPr>
        <w:t>***</w:t>
      </w:r>
      <w:r>
        <w:rPr>
          <w:rFonts w:ascii="宋体" w:hAnsi="宋体"/>
          <w:bCs/>
          <w:spacing w:val="-3"/>
          <w:sz w:val="28"/>
          <w:szCs w:val="28"/>
        </w:rPr>
        <w:t>t。生产规模为</w:t>
      </w:r>
      <w:r>
        <w:rPr>
          <w:rFonts w:hint="eastAsia" w:ascii="宋体" w:hAnsi="宋体" w:cs="宋体"/>
          <w:spacing w:val="13"/>
          <w:sz w:val="32"/>
          <w:szCs w:val="32"/>
        </w:rPr>
        <w:t>***</w:t>
      </w:r>
      <w:r>
        <w:rPr>
          <w:rFonts w:hint="eastAsia" w:ascii="宋体" w:hAnsi="宋体"/>
          <w:bCs/>
          <w:spacing w:val="-3"/>
          <w:sz w:val="28"/>
          <w:szCs w:val="28"/>
        </w:rPr>
        <w:t>万吨/年。</w:t>
      </w:r>
    </w:p>
    <w:p w14:paraId="5D6028C6">
      <w:pPr>
        <w:pStyle w:val="31"/>
        <w:spacing w:line="360" w:lineRule="auto"/>
        <w:ind w:firstLine="560" w:firstLineChars="200"/>
        <w:rPr>
          <w:rFonts w:eastAsia="宋体"/>
          <w:szCs w:val="28"/>
        </w:rPr>
      </w:pPr>
      <w:r>
        <w:rPr>
          <w:rFonts w:eastAsia="宋体"/>
          <w:szCs w:val="28"/>
        </w:rPr>
        <w:t>1、拟建生产规模</w:t>
      </w:r>
    </w:p>
    <w:p w14:paraId="4D090AFF">
      <w:pPr>
        <w:pStyle w:val="31"/>
        <w:spacing w:line="360" w:lineRule="auto"/>
        <w:ind w:firstLine="560" w:firstLineChars="200"/>
        <w:rPr>
          <w:rFonts w:eastAsia="宋体"/>
          <w:szCs w:val="28"/>
        </w:rPr>
      </w:pPr>
      <w:r>
        <w:rPr>
          <w:rFonts w:eastAsia="宋体"/>
          <w:szCs w:val="28"/>
        </w:rPr>
        <w:t>《开发利用方案》设计矿山建设规模为</w:t>
      </w:r>
      <w:r>
        <w:rPr>
          <w:rFonts w:hint="eastAsia" w:ascii="宋体" w:hAnsi="宋体" w:cs="宋体"/>
          <w:spacing w:val="13"/>
          <w:sz w:val="32"/>
          <w:szCs w:val="32"/>
        </w:rPr>
        <w:t>***</w:t>
      </w:r>
      <w:r>
        <w:rPr>
          <w:rFonts w:eastAsia="宋体"/>
          <w:szCs w:val="28"/>
        </w:rPr>
        <w:t>万吨/年。</w:t>
      </w:r>
    </w:p>
    <w:p w14:paraId="6EF7B505">
      <w:pPr>
        <w:pStyle w:val="31"/>
        <w:spacing w:line="360" w:lineRule="auto"/>
        <w:ind w:firstLine="560" w:firstLineChars="200"/>
        <w:rPr>
          <w:rFonts w:eastAsia="宋体"/>
          <w:szCs w:val="28"/>
        </w:rPr>
      </w:pPr>
      <w:r>
        <w:rPr>
          <w:rFonts w:hint="eastAsia" w:eastAsia="宋体"/>
          <w:szCs w:val="28"/>
        </w:rPr>
        <w:t>根据矿山最新提交的“赤峰国富玄武岩矿年开采加工</w:t>
      </w:r>
      <w:r>
        <w:rPr>
          <w:rFonts w:hint="eastAsia" w:ascii="宋体" w:hAnsi="宋体" w:cs="宋体"/>
          <w:spacing w:val="13"/>
          <w:sz w:val="32"/>
          <w:szCs w:val="32"/>
        </w:rPr>
        <w:t>***</w:t>
      </w:r>
      <w:r>
        <w:rPr>
          <w:rFonts w:hint="eastAsia" w:eastAsia="宋体"/>
          <w:szCs w:val="28"/>
        </w:rPr>
        <w:t>立方米玄武岩碎石项目”以及根据松山区发展和改革委员会审批的《项目备案告知书》（</w:t>
      </w:r>
      <w:r>
        <w:rPr>
          <w:rFonts w:hint="eastAsia" w:ascii="宋体" w:hAnsi="宋体" w:cs="宋体"/>
          <w:spacing w:val="13"/>
          <w:sz w:val="32"/>
          <w:szCs w:val="32"/>
        </w:rPr>
        <w:t>***</w:t>
      </w:r>
      <w:r>
        <w:rPr>
          <w:rFonts w:hint="eastAsia" w:eastAsia="宋体"/>
          <w:szCs w:val="28"/>
        </w:rPr>
        <w:t>），</w:t>
      </w:r>
      <w:bookmarkStart w:id="42" w:name="_Hlk240277626"/>
      <w:r>
        <w:rPr>
          <w:rFonts w:hint="eastAsia" w:eastAsia="宋体"/>
          <w:szCs w:val="28"/>
        </w:rPr>
        <w:t>矿山拟建生产规模为</w:t>
      </w:r>
      <w:r>
        <w:rPr>
          <w:rFonts w:hint="eastAsia" w:ascii="宋体" w:hAnsi="宋体" w:cs="宋体"/>
          <w:spacing w:val="13"/>
          <w:sz w:val="32"/>
          <w:szCs w:val="32"/>
        </w:rPr>
        <w:t>***</w:t>
      </w:r>
      <w:r>
        <w:rPr>
          <w:rFonts w:hint="eastAsia" w:eastAsia="宋体"/>
          <w:szCs w:val="28"/>
        </w:rPr>
        <w:t>万立方米/年（</w:t>
      </w:r>
      <w:r>
        <w:rPr>
          <w:rFonts w:hint="eastAsia" w:ascii="宋体" w:hAnsi="宋体" w:cs="宋体"/>
          <w:spacing w:val="13"/>
          <w:sz w:val="32"/>
          <w:szCs w:val="32"/>
        </w:rPr>
        <w:t>***</w:t>
      </w:r>
      <w:r>
        <w:rPr>
          <w:rFonts w:hint="eastAsia" w:eastAsia="宋体"/>
          <w:szCs w:val="28"/>
        </w:rPr>
        <w:t>万吨/年）</w:t>
      </w:r>
      <w:bookmarkEnd w:id="42"/>
    </w:p>
    <w:p w14:paraId="2FE87F99">
      <w:pPr>
        <w:spacing w:line="360" w:lineRule="auto"/>
        <w:ind w:firstLine="560" w:firstLineChars="200"/>
        <w:rPr>
          <w:sz w:val="28"/>
          <w:szCs w:val="28"/>
        </w:rPr>
      </w:pPr>
      <w:r>
        <w:rPr>
          <w:sz w:val="28"/>
          <w:szCs w:val="28"/>
        </w:rPr>
        <w:t>2、矿山服务年限</w:t>
      </w:r>
    </w:p>
    <w:p w14:paraId="0573D0F3">
      <w:pPr>
        <w:spacing w:line="360" w:lineRule="auto"/>
        <w:ind w:firstLine="548" w:firstLineChars="200"/>
        <w:rPr>
          <w:spacing w:val="-3"/>
          <w:sz w:val="28"/>
          <w:szCs w:val="28"/>
        </w:rPr>
      </w:pPr>
      <w:r>
        <w:rPr>
          <w:rFonts w:hint="eastAsia"/>
          <w:spacing w:val="-3"/>
          <w:sz w:val="28"/>
          <w:szCs w:val="28"/>
        </w:rPr>
        <w:t>根据</w:t>
      </w:r>
      <w:r>
        <w:rPr>
          <w:rFonts w:hint="eastAsia"/>
          <w:sz w:val="28"/>
          <w:szCs w:val="28"/>
        </w:rPr>
        <w:t>2025年1月采矿权人提交了《内蒙古自治区赤峰市松山区赤峰国富建筑用玄武岩矿资源储量核实报告》（赤自然资松储备字〔2025〕001号），核实工作查明</w:t>
      </w:r>
      <w:r>
        <w:rPr>
          <w:sz w:val="28"/>
          <w:szCs w:val="28"/>
        </w:rPr>
        <w:t>截止20</w:t>
      </w:r>
      <w:r>
        <w:rPr>
          <w:rFonts w:hint="eastAsia"/>
          <w:sz w:val="28"/>
          <w:szCs w:val="28"/>
        </w:rPr>
        <w:t>24</w:t>
      </w:r>
      <w:r>
        <w:rPr>
          <w:sz w:val="28"/>
          <w:szCs w:val="28"/>
        </w:rPr>
        <w:t>年</w:t>
      </w:r>
      <w:r>
        <w:rPr>
          <w:rFonts w:hint="eastAsia"/>
          <w:sz w:val="28"/>
          <w:szCs w:val="28"/>
        </w:rPr>
        <w:t>10</w:t>
      </w:r>
      <w:r>
        <w:rPr>
          <w:sz w:val="28"/>
          <w:szCs w:val="28"/>
        </w:rPr>
        <w:t>月</w:t>
      </w:r>
      <w:r>
        <w:rPr>
          <w:rFonts w:hint="eastAsia"/>
          <w:sz w:val="28"/>
          <w:szCs w:val="28"/>
        </w:rPr>
        <w:t>31</w:t>
      </w:r>
      <w:r>
        <w:rPr>
          <w:sz w:val="28"/>
          <w:szCs w:val="28"/>
        </w:rPr>
        <w:t>日</w:t>
      </w:r>
      <w:r>
        <w:rPr>
          <w:rFonts w:hint="eastAsia"/>
          <w:sz w:val="28"/>
          <w:szCs w:val="28"/>
        </w:rPr>
        <w:t>保有资源量（TM）</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t)，全部为保有探明资源量（TM）</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sz w:val="28"/>
          <w:szCs w:val="28"/>
          <w:vertAlign w:val="superscript"/>
        </w:rPr>
        <w:t>3</w:t>
      </w:r>
      <w:r>
        <w:rPr>
          <w:rFonts w:hint="eastAsia"/>
          <w:sz w:val="28"/>
          <w:szCs w:val="28"/>
        </w:rPr>
        <w:t>(</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t)。</w:t>
      </w:r>
    </w:p>
    <w:p w14:paraId="4723AEE0">
      <w:pPr>
        <w:spacing w:line="360" w:lineRule="auto"/>
        <w:ind w:firstLine="548" w:firstLineChars="200"/>
        <w:rPr>
          <w:bCs/>
          <w:spacing w:val="-3"/>
          <w:sz w:val="28"/>
          <w:szCs w:val="28"/>
        </w:rPr>
      </w:pPr>
      <w:r>
        <w:rPr>
          <w:rFonts w:hint="eastAsia"/>
          <w:spacing w:val="-3"/>
          <w:sz w:val="28"/>
          <w:szCs w:val="28"/>
        </w:rPr>
        <w:t>矿山</w:t>
      </w:r>
      <w:r>
        <w:rPr>
          <w:spacing w:val="-3"/>
          <w:sz w:val="28"/>
          <w:szCs w:val="28"/>
        </w:rPr>
        <w:t>可采</w:t>
      </w:r>
      <w:r>
        <w:rPr>
          <w:rFonts w:hint="eastAsia"/>
          <w:spacing w:val="-3"/>
          <w:sz w:val="28"/>
          <w:szCs w:val="28"/>
        </w:rPr>
        <w:t>（可利用的）保有资源量（TM）</w:t>
      </w:r>
      <w:r>
        <w:rPr>
          <w:rFonts w:hint="eastAsia" w:ascii="宋体" w:hAnsi="宋体" w:cs="宋体"/>
          <w:spacing w:val="13"/>
          <w:sz w:val="32"/>
          <w:szCs w:val="32"/>
        </w:rPr>
        <w:t>***</w:t>
      </w:r>
      <w:r>
        <w:rPr>
          <w:rFonts w:hint="eastAsia"/>
          <w:spacing w:val="-3"/>
          <w:sz w:val="28"/>
          <w:szCs w:val="28"/>
        </w:rPr>
        <w:t>×10</w:t>
      </w:r>
      <w:r>
        <w:rPr>
          <w:rFonts w:hint="eastAsia"/>
          <w:spacing w:val="-3"/>
          <w:sz w:val="28"/>
          <w:szCs w:val="28"/>
          <w:vertAlign w:val="superscript"/>
        </w:rPr>
        <w:t>4</w:t>
      </w:r>
      <w:r>
        <w:rPr>
          <w:rFonts w:hint="eastAsia"/>
          <w:spacing w:val="-3"/>
          <w:sz w:val="28"/>
          <w:szCs w:val="28"/>
        </w:rPr>
        <w:t>m</w:t>
      </w:r>
      <w:r>
        <w:rPr>
          <w:spacing w:val="-3"/>
          <w:sz w:val="28"/>
          <w:szCs w:val="28"/>
          <w:vertAlign w:val="superscript"/>
        </w:rPr>
        <w:t>3</w:t>
      </w:r>
      <w:r>
        <w:rPr>
          <w:rFonts w:hint="eastAsia"/>
          <w:spacing w:val="-3"/>
          <w:sz w:val="28"/>
          <w:szCs w:val="28"/>
        </w:rPr>
        <w:t>（</w:t>
      </w:r>
      <w:r>
        <w:rPr>
          <w:rFonts w:hint="eastAsia" w:ascii="宋体" w:hAnsi="宋体" w:cs="宋体"/>
          <w:spacing w:val="13"/>
          <w:sz w:val="32"/>
          <w:szCs w:val="32"/>
        </w:rPr>
        <w:t>***</w:t>
      </w:r>
      <w:r>
        <w:rPr>
          <w:rFonts w:hint="eastAsia"/>
          <w:spacing w:val="-3"/>
          <w:sz w:val="28"/>
          <w:szCs w:val="28"/>
        </w:rPr>
        <w:t>×10</w:t>
      </w:r>
      <w:r>
        <w:rPr>
          <w:rFonts w:hint="eastAsia"/>
          <w:spacing w:val="-3"/>
          <w:sz w:val="28"/>
          <w:szCs w:val="28"/>
          <w:vertAlign w:val="superscript"/>
        </w:rPr>
        <w:t>4</w:t>
      </w:r>
      <w:r>
        <w:rPr>
          <w:rFonts w:hint="eastAsia"/>
          <w:spacing w:val="-3"/>
          <w:sz w:val="28"/>
          <w:szCs w:val="28"/>
        </w:rPr>
        <w:t>t）。</w:t>
      </w:r>
      <w:r>
        <w:rPr>
          <w:bCs/>
          <w:spacing w:val="-3"/>
          <w:sz w:val="28"/>
          <w:szCs w:val="28"/>
        </w:rPr>
        <w:t>开采回采率为</w:t>
      </w:r>
      <w:r>
        <w:rPr>
          <w:rFonts w:hint="eastAsia"/>
          <w:bCs/>
          <w:spacing w:val="-3"/>
          <w:sz w:val="28"/>
          <w:szCs w:val="28"/>
        </w:rPr>
        <w:t>9</w:t>
      </w:r>
      <w:r>
        <w:rPr>
          <w:bCs/>
          <w:spacing w:val="-3"/>
          <w:sz w:val="28"/>
          <w:szCs w:val="28"/>
        </w:rPr>
        <w:t>5%</w:t>
      </w:r>
      <w:r>
        <w:rPr>
          <w:rFonts w:hint="eastAsia"/>
          <w:bCs/>
          <w:spacing w:val="-3"/>
          <w:sz w:val="28"/>
          <w:szCs w:val="28"/>
        </w:rPr>
        <w:t>。经计算，设计采出的资源量矿石量约为</w:t>
      </w:r>
      <w:r>
        <w:rPr>
          <w:rFonts w:hint="eastAsia" w:ascii="宋体" w:hAnsi="宋体" w:cs="宋体"/>
          <w:spacing w:val="13"/>
          <w:sz w:val="32"/>
          <w:szCs w:val="32"/>
        </w:rPr>
        <w:t>***</w:t>
      </w:r>
      <w:r>
        <w:rPr>
          <w:rFonts w:hint="eastAsia"/>
          <w:spacing w:val="-3"/>
          <w:sz w:val="28"/>
          <w:szCs w:val="28"/>
        </w:rPr>
        <w:t>×10</w:t>
      </w:r>
      <w:r>
        <w:rPr>
          <w:rFonts w:hint="eastAsia"/>
          <w:spacing w:val="-3"/>
          <w:sz w:val="28"/>
          <w:szCs w:val="28"/>
          <w:vertAlign w:val="superscript"/>
        </w:rPr>
        <w:t>4</w:t>
      </w:r>
      <w:r>
        <w:rPr>
          <w:rFonts w:hint="eastAsia"/>
          <w:spacing w:val="-3"/>
          <w:sz w:val="28"/>
          <w:szCs w:val="28"/>
        </w:rPr>
        <w:t>m</w:t>
      </w:r>
      <w:r>
        <w:rPr>
          <w:spacing w:val="-3"/>
          <w:sz w:val="28"/>
          <w:szCs w:val="28"/>
          <w:vertAlign w:val="superscript"/>
        </w:rPr>
        <w:t>3</w:t>
      </w:r>
      <w:r>
        <w:rPr>
          <w:rFonts w:hint="eastAsia"/>
          <w:spacing w:val="-3"/>
          <w:sz w:val="28"/>
          <w:szCs w:val="28"/>
        </w:rPr>
        <w:t>（</w:t>
      </w:r>
      <w:r>
        <w:rPr>
          <w:rFonts w:hint="eastAsia" w:ascii="宋体" w:hAnsi="宋体" w:cs="宋体"/>
          <w:spacing w:val="13"/>
          <w:sz w:val="32"/>
          <w:szCs w:val="32"/>
        </w:rPr>
        <w:t>***</w:t>
      </w:r>
      <w:r>
        <w:rPr>
          <w:rFonts w:hint="eastAsia"/>
          <w:spacing w:val="-3"/>
          <w:sz w:val="28"/>
          <w:szCs w:val="28"/>
        </w:rPr>
        <w:t>×10</w:t>
      </w:r>
      <w:r>
        <w:rPr>
          <w:rFonts w:hint="eastAsia"/>
          <w:spacing w:val="-3"/>
          <w:sz w:val="28"/>
          <w:szCs w:val="28"/>
          <w:vertAlign w:val="superscript"/>
        </w:rPr>
        <w:t>4</w:t>
      </w:r>
      <w:r>
        <w:rPr>
          <w:rFonts w:hint="eastAsia"/>
          <w:spacing w:val="-3"/>
          <w:sz w:val="28"/>
          <w:szCs w:val="28"/>
        </w:rPr>
        <w:t>t）。</w:t>
      </w:r>
    </w:p>
    <w:p w14:paraId="3EF8B4D8">
      <w:pPr>
        <w:spacing w:line="360" w:lineRule="auto"/>
        <w:ind w:firstLine="548" w:firstLineChars="200"/>
        <w:rPr>
          <w:spacing w:val="-3"/>
          <w:sz w:val="28"/>
          <w:szCs w:val="28"/>
        </w:rPr>
      </w:pPr>
      <w:r>
        <w:rPr>
          <w:rFonts w:hint="eastAsia"/>
          <w:spacing w:val="-3"/>
          <w:sz w:val="28"/>
          <w:szCs w:val="28"/>
        </w:rPr>
        <w:t>矿山拟建生产规模为</w:t>
      </w:r>
      <w:r>
        <w:rPr>
          <w:rFonts w:hint="eastAsia" w:ascii="宋体" w:hAnsi="宋体" w:cs="宋体"/>
          <w:spacing w:val="13"/>
          <w:sz w:val="32"/>
          <w:szCs w:val="32"/>
        </w:rPr>
        <w:t>***</w:t>
      </w:r>
      <w:r>
        <w:rPr>
          <w:rFonts w:hint="eastAsia"/>
          <w:spacing w:val="-3"/>
          <w:sz w:val="28"/>
          <w:szCs w:val="28"/>
        </w:rPr>
        <w:t>万立方米/年（</w:t>
      </w:r>
      <w:r>
        <w:rPr>
          <w:rFonts w:hint="eastAsia" w:ascii="宋体" w:hAnsi="宋体" w:cs="宋体"/>
          <w:spacing w:val="13"/>
          <w:sz w:val="32"/>
          <w:szCs w:val="32"/>
        </w:rPr>
        <w:t>***</w:t>
      </w:r>
      <w:r>
        <w:rPr>
          <w:rFonts w:hint="eastAsia"/>
          <w:spacing w:val="-3"/>
          <w:sz w:val="28"/>
          <w:szCs w:val="28"/>
        </w:rPr>
        <w:t>万吨/年）</w:t>
      </w:r>
    </w:p>
    <w:p w14:paraId="663EAAC4">
      <w:pPr>
        <w:spacing w:line="360" w:lineRule="auto"/>
        <w:ind w:firstLine="548" w:firstLineChars="200"/>
        <w:rPr>
          <w:bCs/>
          <w:spacing w:val="-3"/>
          <w:sz w:val="28"/>
          <w:szCs w:val="28"/>
        </w:rPr>
      </w:pPr>
      <w:r>
        <w:rPr>
          <w:rFonts w:hint="eastAsia"/>
          <w:bCs/>
          <w:spacing w:val="-3"/>
          <w:sz w:val="28"/>
          <w:szCs w:val="28"/>
        </w:rPr>
        <w:t>矿山生产剩余服务年限为：</w:t>
      </w:r>
    </w:p>
    <w:p w14:paraId="0D2A1B6A">
      <w:pPr>
        <w:spacing w:line="360" w:lineRule="auto"/>
        <w:ind w:firstLine="548" w:firstLineChars="200"/>
        <w:rPr>
          <w:bCs/>
          <w:spacing w:val="-3"/>
          <w:sz w:val="28"/>
          <w:szCs w:val="28"/>
        </w:rPr>
      </w:pPr>
      <w:r>
        <w:rPr>
          <w:bCs/>
          <w:spacing w:val="-3"/>
          <w:sz w:val="28"/>
          <w:szCs w:val="28"/>
        </w:rPr>
        <w:t>T=Q/[A(1-ρ)]≈</w:t>
      </w:r>
      <w:r>
        <w:rPr>
          <w:rFonts w:hint="eastAsia" w:ascii="宋体" w:hAnsi="宋体" w:cs="宋体"/>
          <w:spacing w:val="13"/>
          <w:sz w:val="32"/>
          <w:szCs w:val="32"/>
        </w:rPr>
        <w:t>***</w:t>
      </w:r>
      <w:r>
        <w:rPr>
          <w:bCs/>
          <w:spacing w:val="-3"/>
          <w:sz w:val="28"/>
          <w:szCs w:val="28"/>
        </w:rPr>
        <w:t>a</w:t>
      </w:r>
    </w:p>
    <w:p w14:paraId="236A6ECD">
      <w:pPr>
        <w:spacing w:line="360" w:lineRule="auto"/>
        <w:ind w:firstLine="548" w:firstLineChars="200"/>
        <w:rPr>
          <w:bCs/>
          <w:spacing w:val="-3"/>
          <w:sz w:val="28"/>
          <w:szCs w:val="28"/>
        </w:rPr>
      </w:pPr>
      <w:r>
        <w:rPr>
          <w:bCs/>
          <w:spacing w:val="-3"/>
          <w:sz w:val="28"/>
          <w:szCs w:val="28"/>
        </w:rPr>
        <w:t>式中：Q—</w:t>
      </w:r>
      <w:r>
        <w:rPr>
          <w:rFonts w:hint="eastAsia"/>
          <w:bCs/>
          <w:spacing w:val="-3"/>
          <w:sz w:val="28"/>
          <w:szCs w:val="28"/>
        </w:rPr>
        <w:t>设计采出的资源量</w:t>
      </w:r>
      <w:r>
        <w:rPr>
          <w:bCs/>
          <w:spacing w:val="-3"/>
          <w:sz w:val="28"/>
          <w:szCs w:val="28"/>
        </w:rPr>
        <w:t>矿石量</w:t>
      </w:r>
      <w:r>
        <w:rPr>
          <w:rFonts w:hint="eastAsia"/>
          <w:bCs/>
          <w:spacing w:val="-3"/>
          <w:sz w:val="28"/>
          <w:szCs w:val="28"/>
        </w:rPr>
        <w:t>：</w:t>
      </w:r>
      <w:r>
        <w:rPr>
          <w:rFonts w:hint="eastAsia" w:ascii="宋体" w:hAnsi="宋体" w:cs="宋体"/>
          <w:spacing w:val="13"/>
          <w:sz w:val="32"/>
          <w:szCs w:val="32"/>
        </w:rPr>
        <w:t>***</w:t>
      </w:r>
      <w:r>
        <w:rPr>
          <w:rFonts w:hint="eastAsia"/>
          <w:spacing w:val="-3"/>
          <w:sz w:val="28"/>
          <w:szCs w:val="28"/>
        </w:rPr>
        <w:t>×10</w:t>
      </w:r>
      <w:r>
        <w:rPr>
          <w:rFonts w:hint="eastAsia"/>
          <w:spacing w:val="-3"/>
          <w:sz w:val="28"/>
          <w:szCs w:val="28"/>
          <w:vertAlign w:val="superscript"/>
        </w:rPr>
        <w:t>4</w:t>
      </w:r>
      <w:r>
        <w:rPr>
          <w:rFonts w:hint="eastAsia"/>
          <w:spacing w:val="-3"/>
          <w:sz w:val="28"/>
          <w:szCs w:val="28"/>
        </w:rPr>
        <w:t>m</w:t>
      </w:r>
      <w:r>
        <w:rPr>
          <w:spacing w:val="-3"/>
          <w:sz w:val="28"/>
          <w:szCs w:val="28"/>
          <w:vertAlign w:val="superscript"/>
        </w:rPr>
        <w:t>3</w:t>
      </w:r>
      <w:r>
        <w:rPr>
          <w:rFonts w:hint="eastAsia"/>
          <w:spacing w:val="-3"/>
          <w:sz w:val="28"/>
          <w:szCs w:val="28"/>
        </w:rPr>
        <w:t>（</w:t>
      </w:r>
      <w:r>
        <w:rPr>
          <w:rFonts w:hint="eastAsia" w:ascii="宋体" w:hAnsi="宋体" w:cs="宋体"/>
          <w:spacing w:val="13"/>
          <w:sz w:val="32"/>
          <w:szCs w:val="32"/>
        </w:rPr>
        <w:t>***</w:t>
      </w:r>
      <w:r>
        <w:rPr>
          <w:rFonts w:hint="eastAsia"/>
          <w:spacing w:val="-3"/>
          <w:sz w:val="28"/>
          <w:szCs w:val="28"/>
        </w:rPr>
        <w:t>×10</w:t>
      </w:r>
      <w:r>
        <w:rPr>
          <w:rFonts w:hint="eastAsia"/>
          <w:spacing w:val="-3"/>
          <w:sz w:val="28"/>
          <w:szCs w:val="28"/>
          <w:vertAlign w:val="superscript"/>
        </w:rPr>
        <w:t>4</w:t>
      </w:r>
      <w:r>
        <w:rPr>
          <w:rFonts w:hint="eastAsia"/>
          <w:spacing w:val="-3"/>
          <w:sz w:val="28"/>
          <w:szCs w:val="28"/>
        </w:rPr>
        <w:t>t）。</w:t>
      </w:r>
    </w:p>
    <w:p w14:paraId="45297847">
      <w:pPr>
        <w:spacing w:line="360" w:lineRule="auto"/>
        <w:ind w:firstLine="1416" w:firstLineChars="517"/>
        <w:rPr>
          <w:bCs/>
          <w:spacing w:val="-3"/>
          <w:sz w:val="28"/>
          <w:szCs w:val="28"/>
        </w:rPr>
      </w:pPr>
      <w:r>
        <w:rPr>
          <w:bCs/>
          <w:spacing w:val="-3"/>
          <w:sz w:val="28"/>
          <w:szCs w:val="28"/>
        </w:rPr>
        <w:t>A—年生产能力，</w:t>
      </w:r>
      <w:r>
        <w:rPr>
          <w:rFonts w:hint="eastAsia" w:ascii="宋体" w:hAnsi="宋体" w:cs="宋体"/>
          <w:spacing w:val="13"/>
          <w:sz w:val="32"/>
          <w:szCs w:val="32"/>
        </w:rPr>
        <w:t>***</w:t>
      </w:r>
      <w:r>
        <w:rPr>
          <w:bCs/>
          <w:spacing w:val="-3"/>
          <w:sz w:val="28"/>
          <w:szCs w:val="28"/>
        </w:rPr>
        <w:t>×10</w:t>
      </w:r>
      <w:r>
        <w:rPr>
          <w:bCs/>
          <w:spacing w:val="-3"/>
          <w:sz w:val="28"/>
          <w:szCs w:val="28"/>
          <w:vertAlign w:val="superscript"/>
        </w:rPr>
        <w:t>4</w:t>
      </w:r>
      <w:r>
        <w:rPr>
          <w:rFonts w:hint="eastAsia"/>
          <w:spacing w:val="-3"/>
          <w:sz w:val="28"/>
          <w:szCs w:val="28"/>
        </w:rPr>
        <w:t>m</w:t>
      </w:r>
      <w:r>
        <w:rPr>
          <w:spacing w:val="-3"/>
          <w:sz w:val="28"/>
          <w:szCs w:val="28"/>
          <w:vertAlign w:val="superscript"/>
        </w:rPr>
        <w:t>3</w:t>
      </w:r>
      <w:r>
        <w:rPr>
          <w:rFonts w:hint="eastAsia"/>
          <w:bCs/>
          <w:spacing w:val="-3"/>
          <w:sz w:val="28"/>
          <w:szCs w:val="28"/>
        </w:rPr>
        <w:t>/a</w:t>
      </w:r>
      <w:r>
        <w:rPr>
          <w:rFonts w:hint="eastAsia"/>
          <w:spacing w:val="-3"/>
          <w:sz w:val="28"/>
          <w:szCs w:val="28"/>
        </w:rPr>
        <w:t>（</w:t>
      </w:r>
      <w:r>
        <w:rPr>
          <w:rFonts w:hint="eastAsia" w:ascii="宋体" w:hAnsi="宋体" w:cs="宋体"/>
          <w:spacing w:val="13"/>
          <w:sz w:val="32"/>
          <w:szCs w:val="32"/>
        </w:rPr>
        <w:t>***</w:t>
      </w:r>
      <w:r>
        <w:rPr>
          <w:rFonts w:hint="eastAsia"/>
          <w:spacing w:val="-3"/>
          <w:sz w:val="28"/>
          <w:szCs w:val="28"/>
        </w:rPr>
        <w:t>×10</w:t>
      </w:r>
      <w:r>
        <w:rPr>
          <w:rFonts w:hint="eastAsia"/>
          <w:spacing w:val="-3"/>
          <w:sz w:val="28"/>
          <w:szCs w:val="28"/>
          <w:vertAlign w:val="superscript"/>
        </w:rPr>
        <w:t>4</w:t>
      </w:r>
      <w:r>
        <w:rPr>
          <w:rFonts w:hint="eastAsia"/>
          <w:spacing w:val="-3"/>
          <w:sz w:val="28"/>
          <w:szCs w:val="28"/>
        </w:rPr>
        <w:t>t/a）</w:t>
      </w:r>
      <w:r>
        <w:rPr>
          <w:bCs/>
          <w:spacing w:val="-3"/>
          <w:sz w:val="28"/>
          <w:szCs w:val="28"/>
        </w:rPr>
        <w:t>；</w:t>
      </w:r>
    </w:p>
    <w:p w14:paraId="62F81269">
      <w:pPr>
        <w:spacing w:line="360" w:lineRule="auto"/>
        <w:ind w:firstLine="1416" w:firstLineChars="517"/>
        <w:rPr>
          <w:bCs/>
          <w:spacing w:val="-3"/>
          <w:sz w:val="28"/>
          <w:szCs w:val="28"/>
        </w:rPr>
      </w:pPr>
      <w:r>
        <w:rPr>
          <w:bCs/>
          <w:spacing w:val="-3"/>
          <w:sz w:val="28"/>
          <w:szCs w:val="28"/>
        </w:rPr>
        <w:t>ρ—矿石贫化率，</w:t>
      </w:r>
      <w:r>
        <w:rPr>
          <w:rFonts w:hint="eastAsia" w:ascii="宋体" w:hAnsi="宋体" w:cs="宋体"/>
          <w:spacing w:val="13"/>
          <w:sz w:val="32"/>
          <w:szCs w:val="32"/>
        </w:rPr>
        <w:t>***</w:t>
      </w:r>
      <w:r>
        <w:rPr>
          <w:bCs/>
          <w:spacing w:val="-3"/>
          <w:sz w:val="28"/>
          <w:szCs w:val="28"/>
        </w:rPr>
        <w:t>%；</w:t>
      </w:r>
    </w:p>
    <w:p w14:paraId="61E71F15">
      <w:pPr>
        <w:spacing w:line="360" w:lineRule="auto"/>
        <w:ind w:firstLine="1416" w:firstLineChars="517"/>
        <w:rPr>
          <w:bCs/>
          <w:spacing w:val="-3"/>
          <w:sz w:val="28"/>
          <w:szCs w:val="28"/>
        </w:rPr>
      </w:pPr>
      <w:r>
        <w:rPr>
          <w:bCs/>
          <w:spacing w:val="-3"/>
          <w:sz w:val="28"/>
          <w:szCs w:val="28"/>
        </w:rPr>
        <w:t>T—</w:t>
      </w:r>
      <w:r>
        <w:rPr>
          <w:rFonts w:hint="eastAsia"/>
          <w:bCs/>
          <w:spacing w:val="-3"/>
          <w:sz w:val="28"/>
          <w:szCs w:val="28"/>
        </w:rPr>
        <w:t>剩余</w:t>
      </w:r>
      <w:r>
        <w:rPr>
          <w:bCs/>
          <w:spacing w:val="-3"/>
          <w:sz w:val="28"/>
          <w:szCs w:val="28"/>
        </w:rPr>
        <w:t>服务年限，a。</w:t>
      </w:r>
    </w:p>
    <w:p w14:paraId="7AA059C4">
      <w:pPr>
        <w:spacing w:line="360" w:lineRule="auto"/>
        <w:ind w:firstLine="548" w:firstLineChars="200"/>
        <w:rPr>
          <w:bCs/>
          <w:spacing w:val="-3"/>
          <w:sz w:val="28"/>
          <w:szCs w:val="28"/>
        </w:rPr>
      </w:pPr>
      <w:r>
        <w:rPr>
          <w:bCs/>
          <w:spacing w:val="-3"/>
          <w:sz w:val="28"/>
          <w:szCs w:val="28"/>
        </w:rPr>
        <w:t>经计算</w:t>
      </w:r>
      <w:r>
        <w:rPr>
          <w:rFonts w:hint="eastAsia"/>
          <w:bCs/>
          <w:spacing w:val="-3"/>
          <w:sz w:val="28"/>
          <w:szCs w:val="28"/>
        </w:rPr>
        <w:t>，</w:t>
      </w:r>
      <w:r>
        <w:rPr>
          <w:bCs/>
          <w:spacing w:val="-3"/>
          <w:sz w:val="28"/>
          <w:szCs w:val="28"/>
        </w:rPr>
        <w:t>矿山</w:t>
      </w:r>
      <w:r>
        <w:rPr>
          <w:rFonts w:hint="eastAsia"/>
          <w:bCs/>
          <w:spacing w:val="-3"/>
          <w:sz w:val="28"/>
          <w:szCs w:val="28"/>
        </w:rPr>
        <w:t>剩余</w:t>
      </w:r>
      <w:r>
        <w:rPr>
          <w:bCs/>
          <w:spacing w:val="-3"/>
          <w:sz w:val="28"/>
          <w:szCs w:val="28"/>
        </w:rPr>
        <w:t>服务年限</w:t>
      </w:r>
      <w:r>
        <w:rPr>
          <w:rFonts w:hint="eastAsia"/>
          <w:bCs/>
          <w:spacing w:val="-3"/>
          <w:sz w:val="28"/>
          <w:szCs w:val="28"/>
        </w:rPr>
        <w:t>为</w:t>
      </w:r>
      <w:r>
        <w:rPr>
          <w:rFonts w:hint="eastAsia" w:ascii="宋体" w:hAnsi="宋体" w:cs="宋体"/>
          <w:spacing w:val="13"/>
          <w:sz w:val="32"/>
          <w:szCs w:val="32"/>
        </w:rPr>
        <w:t xml:space="preserve">*** </w:t>
      </w:r>
      <w:r>
        <w:rPr>
          <w:bCs/>
          <w:spacing w:val="-3"/>
          <w:sz w:val="28"/>
          <w:szCs w:val="28"/>
        </w:rPr>
        <w:t>年</w:t>
      </w:r>
      <w:r>
        <w:rPr>
          <w:rFonts w:hint="eastAsia"/>
          <w:bCs/>
          <w:spacing w:val="-3"/>
          <w:sz w:val="28"/>
          <w:szCs w:val="28"/>
        </w:rPr>
        <w:t>。</w:t>
      </w:r>
    </w:p>
    <w:p w14:paraId="74A0BF0B">
      <w:pPr>
        <w:spacing w:line="360" w:lineRule="auto"/>
        <w:ind w:firstLine="560" w:firstLineChars="200"/>
        <w:rPr>
          <w:spacing w:val="-3"/>
          <w:sz w:val="28"/>
          <w:szCs w:val="28"/>
        </w:rPr>
      </w:pPr>
      <w:r>
        <w:rPr>
          <w:rFonts w:hint="eastAsia"/>
          <w:bCs/>
          <w:sz w:val="28"/>
          <w:szCs w:val="28"/>
        </w:rPr>
        <w:t>根据赤峰市自然资源局松山区分局最新开具的停产证明，矿山自2025年1月至今未生产，因此</w:t>
      </w:r>
      <w:r>
        <w:rPr>
          <w:bCs/>
          <w:sz w:val="28"/>
          <w:szCs w:val="28"/>
        </w:rPr>
        <w:t>，矿山</w:t>
      </w:r>
      <w:r>
        <w:rPr>
          <w:rFonts w:hint="eastAsia"/>
          <w:bCs/>
          <w:sz w:val="28"/>
          <w:szCs w:val="28"/>
        </w:rPr>
        <w:t>生产</w:t>
      </w:r>
      <w:r>
        <w:rPr>
          <w:bCs/>
          <w:sz w:val="28"/>
          <w:szCs w:val="28"/>
        </w:rPr>
        <w:t>剩余服务年限为</w:t>
      </w:r>
      <w:r>
        <w:rPr>
          <w:rFonts w:hint="eastAsia" w:ascii="宋体" w:hAnsi="宋体" w:cs="宋体"/>
          <w:spacing w:val="13"/>
          <w:sz w:val="32"/>
          <w:szCs w:val="32"/>
        </w:rPr>
        <w:t>***</w:t>
      </w:r>
      <w:r>
        <w:rPr>
          <w:bCs/>
          <w:sz w:val="28"/>
          <w:szCs w:val="28"/>
        </w:rPr>
        <w:t>年。</w:t>
      </w:r>
    </w:p>
    <w:p w14:paraId="55CDF92A">
      <w:pPr>
        <w:spacing w:line="360" w:lineRule="auto"/>
        <w:ind w:firstLine="560" w:firstLineChars="200"/>
        <w:rPr>
          <w:sz w:val="28"/>
          <w:szCs w:val="28"/>
        </w:rPr>
      </w:pPr>
      <w:r>
        <w:rPr>
          <w:sz w:val="28"/>
          <w:szCs w:val="28"/>
        </w:rPr>
        <w:t>3、可供开采矿产资源的范围</w:t>
      </w:r>
    </w:p>
    <w:p w14:paraId="59DC96F3">
      <w:pPr>
        <w:spacing w:line="360" w:lineRule="auto"/>
        <w:ind w:firstLine="560" w:firstLineChars="200"/>
        <w:rPr>
          <w:sz w:val="28"/>
          <w:szCs w:val="28"/>
        </w:rPr>
      </w:pPr>
      <w:r>
        <w:rPr>
          <w:rFonts w:hint="eastAsia"/>
          <w:sz w:val="28"/>
          <w:szCs w:val="28"/>
        </w:rPr>
        <w:t>根据经评审备案的</w:t>
      </w:r>
      <w:r>
        <w:rPr>
          <w:rFonts w:hint="eastAsia" w:ascii="宋体" w:hAnsi="宋体"/>
          <w:sz w:val="28"/>
          <w:szCs w:val="28"/>
        </w:rPr>
        <w:t>《储量核实报告》</w:t>
      </w:r>
      <w:r>
        <w:rPr>
          <w:rFonts w:ascii="宋体" w:hAnsi="宋体"/>
          <w:spacing w:val="-3"/>
          <w:sz w:val="28"/>
          <w:szCs w:val="28"/>
        </w:rPr>
        <w:t>(</w:t>
      </w:r>
      <w:r>
        <w:rPr>
          <w:rFonts w:hint="eastAsia"/>
          <w:sz w:val="28"/>
          <w:szCs w:val="28"/>
        </w:rPr>
        <w:t>赤自然资松储备字〔2025〕001号</w:t>
      </w:r>
      <w:r>
        <w:rPr>
          <w:rFonts w:ascii="宋体" w:hAnsi="宋体"/>
          <w:spacing w:val="-3"/>
          <w:sz w:val="28"/>
          <w:szCs w:val="28"/>
        </w:rPr>
        <w:t>)，</w:t>
      </w:r>
      <w:r>
        <w:rPr>
          <w:rFonts w:hint="eastAsia" w:ascii="宋体" w:hAnsi="宋体"/>
          <w:sz w:val="28"/>
          <w:szCs w:val="28"/>
        </w:rPr>
        <w:t>《储量核实报告》</w:t>
      </w:r>
      <w:r>
        <w:rPr>
          <w:rFonts w:hint="eastAsia"/>
          <w:sz w:val="28"/>
          <w:szCs w:val="28"/>
        </w:rPr>
        <w:t>圈定的资源量估算范围与采矿权范围一致，由4个拐点界定，面积</w:t>
      </w:r>
      <w:r>
        <w:rPr>
          <w:rFonts w:hint="eastAsia" w:ascii="宋体" w:hAnsi="宋体" w:cs="宋体"/>
          <w:spacing w:val="13"/>
          <w:sz w:val="32"/>
          <w:szCs w:val="32"/>
        </w:rPr>
        <w:t xml:space="preserve">*** </w:t>
      </w:r>
      <w:r>
        <w:rPr>
          <w:rFonts w:hint="eastAsia"/>
          <w:sz w:val="28"/>
          <w:szCs w:val="28"/>
        </w:rPr>
        <w:t>km</w:t>
      </w:r>
      <w:r>
        <w:rPr>
          <w:rFonts w:hint="eastAsia"/>
          <w:sz w:val="28"/>
          <w:szCs w:val="28"/>
          <w:vertAlign w:val="superscript"/>
        </w:rPr>
        <w:t>2</w:t>
      </w:r>
      <w:r>
        <w:rPr>
          <w:rFonts w:hint="eastAsia"/>
          <w:sz w:val="28"/>
          <w:szCs w:val="28"/>
        </w:rPr>
        <w:t>，各拐点坐标见表1-2。</w:t>
      </w:r>
    </w:p>
    <w:p w14:paraId="7E97C82F">
      <w:pPr>
        <w:tabs>
          <w:tab w:val="left" w:pos="6120"/>
        </w:tabs>
        <w:spacing w:line="240" w:lineRule="atLeast"/>
        <w:jc w:val="center"/>
        <w:rPr>
          <w:rFonts w:hint="eastAsia" w:ascii="黑体" w:hAnsi="黑体" w:eastAsia="黑体" w:cs="宋体"/>
          <w:bCs/>
          <w:sz w:val="24"/>
          <w:szCs w:val="24"/>
        </w:rPr>
      </w:pPr>
      <w:r>
        <w:rPr>
          <w:rFonts w:ascii="黑体" w:hAnsi="黑体" w:eastAsia="黑体" w:cs="宋体"/>
          <w:bCs/>
          <w:sz w:val="24"/>
          <w:szCs w:val="24"/>
        </w:rPr>
        <w:t>表1-</w:t>
      </w:r>
      <w:r>
        <w:rPr>
          <w:rFonts w:hint="eastAsia" w:ascii="黑体" w:hAnsi="黑体" w:eastAsia="黑体" w:cs="宋体"/>
          <w:bCs/>
          <w:sz w:val="24"/>
          <w:szCs w:val="24"/>
        </w:rPr>
        <w:t>2</w:t>
      </w:r>
      <w:r>
        <w:rPr>
          <w:rFonts w:ascii="黑体" w:hAnsi="黑体" w:eastAsia="黑体" w:cs="宋体"/>
          <w:bCs/>
          <w:sz w:val="24"/>
          <w:szCs w:val="24"/>
        </w:rPr>
        <w:t xml:space="preserve"> </w:t>
      </w:r>
      <w:r>
        <w:rPr>
          <w:rFonts w:hint="eastAsia" w:ascii="黑体" w:hAnsi="黑体" w:eastAsia="黑体" w:cs="宋体"/>
          <w:bCs/>
          <w:sz w:val="24"/>
          <w:szCs w:val="24"/>
        </w:rPr>
        <w:t xml:space="preserve"> </w:t>
      </w:r>
      <w:r>
        <w:rPr>
          <w:rFonts w:ascii="黑体" w:hAnsi="黑体" w:eastAsia="黑体" w:cs="宋体"/>
          <w:bCs/>
          <w:sz w:val="24"/>
          <w:szCs w:val="24"/>
        </w:rPr>
        <w:t>矿区范围拐点坐标一览表（2000国家大地坐标系）</w:t>
      </w:r>
    </w:p>
    <w:p w14:paraId="1FE7A019">
      <w:pPr>
        <w:rPr>
          <w:bCs/>
          <w:sz w:val="20"/>
        </w:rPr>
      </w:pPr>
    </w:p>
    <w:p w14:paraId="13F59DA6">
      <w:pPr>
        <w:spacing w:line="360" w:lineRule="auto"/>
        <w:ind w:firstLine="560" w:firstLineChars="200"/>
        <w:rPr>
          <w:sz w:val="28"/>
          <w:szCs w:val="28"/>
        </w:rPr>
      </w:pPr>
      <w:r>
        <w:rPr>
          <w:sz w:val="28"/>
          <w:szCs w:val="28"/>
        </w:rPr>
        <w:t>4、申请开采区域</w:t>
      </w:r>
    </w:p>
    <w:p w14:paraId="50ADB67B">
      <w:pPr>
        <w:spacing w:line="360" w:lineRule="auto"/>
        <w:ind w:firstLine="560" w:firstLineChars="200"/>
        <w:rPr>
          <w:sz w:val="28"/>
          <w:szCs w:val="28"/>
        </w:rPr>
      </w:pPr>
      <w:r>
        <w:rPr>
          <w:rFonts w:hint="eastAsia"/>
          <w:sz w:val="28"/>
          <w:szCs w:val="28"/>
        </w:rPr>
        <w:t>申请</w:t>
      </w:r>
      <w:r>
        <w:rPr>
          <w:sz w:val="28"/>
          <w:szCs w:val="28"/>
        </w:rPr>
        <w:t>开采范围与</w:t>
      </w:r>
      <w:r>
        <w:rPr>
          <w:rFonts w:hint="eastAsia" w:ascii="宋体" w:hAnsi="宋体"/>
          <w:sz w:val="28"/>
          <w:szCs w:val="28"/>
        </w:rPr>
        <w:t>《储量核实报告》</w:t>
      </w:r>
      <w:r>
        <w:rPr>
          <w:sz w:val="28"/>
          <w:szCs w:val="28"/>
        </w:rPr>
        <w:t>资源储量估算范围一致，</w:t>
      </w:r>
      <w:r>
        <w:rPr>
          <w:rFonts w:hint="eastAsia"/>
          <w:sz w:val="28"/>
          <w:szCs w:val="28"/>
        </w:rPr>
        <w:t>由4个拐点界定，面积</w:t>
      </w:r>
      <w:r>
        <w:rPr>
          <w:rFonts w:hint="eastAsia" w:ascii="宋体" w:hAnsi="宋体" w:cs="宋体"/>
          <w:spacing w:val="13"/>
          <w:sz w:val="32"/>
          <w:szCs w:val="32"/>
        </w:rPr>
        <w:t>***</w:t>
      </w:r>
      <w:r>
        <w:rPr>
          <w:rFonts w:hint="eastAsia"/>
          <w:sz w:val="28"/>
          <w:szCs w:val="28"/>
        </w:rPr>
        <w:t>km</w:t>
      </w:r>
      <w:r>
        <w:rPr>
          <w:rFonts w:hint="eastAsia"/>
          <w:sz w:val="28"/>
          <w:szCs w:val="28"/>
          <w:vertAlign w:val="superscript"/>
        </w:rPr>
        <w:t>2</w:t>
      </w:r>
      <w:r>
        <w:rPr>
          <w:rFonts w:hint="eastAsia"/>
          <w:sz w:val="28"/>
          <w:szCs w:val="28"/>
        </w:rPr>
        <w:t>，</w:t>
      </w:r>
      <w:r>
        <w:rPr>
          <w:rFonts w:hint="eastAsia"/>
          <w:bCs/>
          <w:sz w:val="28"/>
          <w:szCs w:val="28"/>
        </w:rPr>
        <w:t>开采标高由+</w:t>
      </w:r>
      <w:r>
        <w:rPr>
          <w:rFonts w:hint="eastAsia" w:ascii="宋体" w:hAnsi="宋体" w:cs="宋体"/>
          <w:spacing w:val="13"/>
          <w:sz w:val="32"/>
          <w:szCs w:val="32"/>
        </w:rPr>
        <w:t>***</w:t>
      </w:r>
      <w:r>
        <w:rPr>
          <w:rFonts w:hint="eastAsia"/>
          <w:bCs/>
          <w:sz w:val="28"/>
          <w:szCs w:val="28"/>
        </w:rPr>
        <w:t>m至+</w:t>
      </w:r>
      <w:r>
        <w:rPr>
          <w:rFonts w:hint="eastAsia" w:ascii="宋体" w:hAnsi="宋体" w:cs="宋体"/>
          <w:spacing w:val="13"/>
          <w:sz w:val="32"/>
          <w:szCs w:val="32"/>
        </w:rPr>
        <w:t>***</w:t>
      </w:r>
      <w:r>
        <w:rPr>
          <w:rFonts w:hint="eastAsia"/>
          <w:bCs/>
          <w:sz w:val="28"/>
          <w:szCs w:val="28"/>
        </w:rPr>
        <w:t>m，</w:t>
      </w:r>
      <w:r>
        <w:rPr>
          <w:rFonts w:hint="eastAsia"/>
          <w:sz w:val="28"/>
          <w:szCs w:val="28"/>
        </w:rPr>
        <w:t>各拐点坐标见表1-3。</w:t>
      </w:r>
    </w:p>
    <w:p w14:paraId="333E69F8">
      <w:pPr>
        <w:tabs>
          <w:tab w:val="center" w:pos="4341"/>
          <w:tab w:val="right" w:pos="8820"/>
        </w:tabs>
        <w:spacing w:line="240" w:lineRule="atLeast"/>
        <w:jc w:val="center"/>
        <w:rPr>
          <w:rFonts w:eastAsia="黑体"/>
          <w:sz w:val="24"/>
          <w:szCs w:val="22"/>
        </w:rPr>
      </w:pPr>
      <w:r>
        <w:rPr>
          <w:rFonts w:eastAsia="黑体"/>
          <w:sz w:val="24"/>
          <w:szCs w:val="22"/>
        </w:rPr>
        <w:t>表1-</w:t>
      </w:r>
      <w:r>
        <w:rPr>
          <w:rFonts w:hint="eastAsia" w:eastAsia="黑体"/>
          <w:sz w:val="24"/>
          <w:szCs w:val="22"/>
        </w:rPr>
        <w:t>4</w:t>
      </w:r>
      <w:r>
        <w:rPr>
          <w:rFonts w:eastAsia="黑体"/>
          <w:sz w:val="24"/>
          <w:szCs w:val="22"/>
        </w:rPr>
        <w:t xml:space="preserve">  申请采矿权开采区域拐点坐标表</w:t>
      </w:r>
    </w:p>
    <w:p w14:paraId="7C742E66">
      <w:pPr>
        <w:tabs>
          <w:tab w:val="center" w:pos="4341"/>
          <w:tab w:val="right" w:pos="8820"/>
        </w:tabs>
        <w:spacing w:line="240" w:lineRule="atLeast"/>
        <w:jc w:val="center"/>
        <w:rPr>
          <w:rFonts w:eastAsia="黑体"/>
          <w:sz w:val="24"/>
          <w:szCs w:val="22"/>
        </w:rPr>
      </w:pPr>
    </w:p>
    <w:p w14:paraId="1025010F">
      <w:pPr>
        <w:spacing w:line="360" w:lineRule="auto"/>
        <w:ind w:firstLine="560" w:firstLineChars="200"/>
        <w:rPr>
          <w:bCs/>
          <w:sz w:val="28"/>
          <w:szCs w:val="28"/>
        </w:rPr>
      </w:pPr>
      <w:r>
        <w:rPr>
          <w:bCs/>
          <w:sz w:val="28"/>
          <w:szCs w:val="28"/>
        </w:rPr>
        <w:t>申请开采区域、采矿许可证范围、资源储量估算范围空间关系见图1-</w:t>
      </w:r>
      <w:r>
        <w:rPr>
          <w:rFonts w:hint="eastAsia"/>
          <w:bCs/>
          <w:sz w:val="28"/>
          <w:szCs w:val="28"/>
        </w:rPr>
        <w:t>4</w:t>
      </w:r>
      <w:r>
        <w:rPr>
          <w:bCs/>
          <w:sz w:val="28"/>
          <w:szCs w:val="28"/>
        </w:rPr>
        <w:t>。</w:t>
      </w:r>
    </w:p>
    <w:p w14:paraId="76A6559E">
      <w:pPr>
        <w:spacing w:line="360" w:lineRule="auto"/>
        <w:ind w:firstLine="480" w:firstLineChars="200"/>
        <w:jc w:val="center"/>
        <w:rPr>
          <w:bCs/>
          <w:sz w:val="28"/>
          <w:szCs w:val="28"/>
        </w:rPr>
      </w:pPr>
      <w:r>
        <w:rPr>
          <w:rFonts w:eastAsia="黑体"/>
          <w:sz w:val="24"/>
          <w:szCs w:val="22"/>
        </w:rPr>
        <w:t>图1-</w:t>
      </w:r>
      <w:r>
        <w:rPr>
          <w:rFonts w:hint="eastAsia" w:eastAsia="黑体"/>
          <w:sz w:val="24"/>
          <w:szCs w:val="22"/>
        </w:rPr>
        <w:t>4</w:t>
      </w:r>
      <w:r>
        <w:rPr>
          <w:rFonts w:eastAsia="黑体"/>
          <w:sz w:val="24"/>
          <w:szCs w:val="22"/>
        </w:rPr>
        <w:t xml:space="preserve">  申请开采区域、采矿许可证范围、资源储量估算范围</w:t>
      </w:r>
      <w:r>
        <w:rPr>
          <w:rFonts w:hint="eastAsia" w:eastAsia="黑体"/>
          <w:sz w:val="24"/>
          <w:szCs w:val="22"/>
        </w:rPr>
        <w:t>平面</w:t>
      </w:r>
      <w:r>
        <w:rPr>
          <w:rFonts w:eastAsia="黑体"/>
          <w:sz w:val="24"/>
          <w:szCs w:val="22"/>
        </w:rPr>
        <w:t>叠合图</w:t>
      </w:r>
    </w:p>
    <w:p w14:paraId="662F7EF0">
      <w:pPr>
        <w:spacing w:line="360" w:lineRule="auto"/>
        <w:ind w:firstLine="560" w:firstLineChars="200"/>
        <w:rPr>
          <w:sz w:val="28"/>
          <w:szCs w:val="28"/>
        </w:rPr>
      </w:pPr>
      <w:r>
        <w:rPr>
          <w:sz w:val="28"/>
          <w:szCs w:val="28"/>
        </w:rPr>
        <w:t>5、开采矿种</w:t>
      </w:r>
    </w:p>
    <w:p w14:paraId="4725B6CC">
      <w:pPr>
        <w:spacing w:line="360" w:lineRule="auto"/>
        <w:ind w:firstLine="560" w:firstLineChars="200"/>
        <w:rPr>
          <w:sz w:val="28"/>
          <w:szCs w:val="28"/>
        </w:rPr>
      </w:pPr>
      <w:r>
        <w:rPr>
          <w:rFonts w:hint="eastAsia"/>
          <w:sz w:val="28"/>
          <w:szCs w:val="28"/>
        </w:rPr>
        <w:t>本矿开采矿种为建筑用玄武岩。</w:t>
      </w:r>
    </w:p>
    <w:p w14:paraId="0CE28262">
      <w:pPr>
        <w:spacing w:line="360" w:lineRule="auto"/>
        <w:ind w:firstLine="560" w:firstLineChars="200"/>
        <w:rPr>
          <w:sz w:val="28"/>
          <w:szCs w:val="28"/>
        </w:rPr>
      </w:pPr>
      <w:r>
        <w:rPr>
          <w:sz w:val="28"/>
          <w:szCs w:val="28"/>
        </w:rPr>
        <w:t>6、开采方式</w:t>
      </w:r>
    </w:p>
    <w:p w14:paraId="68B0AE02">
      <w:pPr>
        <w:spacing w:line="360" w:lineRule="auto"/>
        <w:ind w:firstLine="560" w:firstLineChars="200"/>
        <w:rPr>
          <w:sz w:val="28"/>
          <w:szCs w:val="28"/>
        </w:rPr>
      </w:pPr>
      <w:r>
        <w:rPr>
          <w:sz w:val="28"/>
          <w:szCs w:val="28"/>
        </w:rPr>
        <w:t>该矿矿体属于出露地表长度较大且埋藏深度较浅的厚矿体，且矿山原有开采方式为露天开采，根据矿体特征、赋存条件，结合地形条件，适宜露天开采，故《开发利用方案》仍推荐采用露天开采方式。</w:t>
      </w:r>
    </w:p>
    <w:p w14:paraId="5D107CB5">
      <w:pPr>
        <w:pStyle w:val="31"/>
        <w:spacing w:line="360" w:lineRule="auto"/>
        <w:ind w:firstLine="565" w:firstLineChars="202"/>
        <w:rPr>
          <w:rFonts w:eastAsiaTheme="minorEastAsia"/>
          <w:szCs w:val="28"/>
        </w:rPr>
      </w:pPr>
      <w:r>
        <w:rPr>
          <w:rFonts w:eastAsiaTheme="minorEastAsia"/>
          <w:szCs w:val="28"/>
        </w:rPr>
        <w:t>7、开采顺序</w:t>
      </w:r>
    </w:p>
    <w:p w14:paraId="5C8D20DE">
      <w:pPr>
        <w:pStyle w:val="31"/>
        <w:spacing w:line="360" w:lineRule="auto"/>
        <w:ind w:firstLine="565" w:firstLineChars="202"/>
        <w:rPr>
          <w:rFonts w:eastAsiaTheme="minorEastAsia"/>
          <w:szCs w:val="28"/>
        </w:rPr>
      </w:pPr>
      <w:r>
        <w:rPr>
          <w:rFonts w:eastAsiaTheme="minorEastAsia"/>
          <w:szCs w:val="28"/>
        </w:rPr>
        <w:t>矿床开采顺序为：矿体采用由地表开始逐层自上而下的下行式开采。在垂直延伸方向上首先掘进出入沟，然后开挖开段沟；在水平方向上由开段沟向两侧或一侧扩帮(剥离和采矿)，采剥工作面(台阶)沿矿体走向推进。</w:t>
      </w:r>
    </w:p>
    <w:p w14:paraId="2D32BAD1">
      <w:pPr>
        <w:pStyle w:val="31"/>
        <w:spacing w:line="360" w:lineRule="auto"/>
        <w:ind w:firstLine="565" w:firstLineChars="202"/>
        <w:rPr>
          <w:rFonts w:eastAsiaTheme="minorEastAsia"/>
          <w:szCs w:val="28"/>
        </w:rPr>
      </w:pPr>
      <w:r>
        <w:rPr>
          <w:rFonts w:eastAsiaTheme="minorEastAsia"/>
          <w:szCs w:val="28"/>
        </w:rPr>
        <w:t>8、开拓运输方案</w:t>
      </w:r>
    </w:p>
    <w:p w14:paraId="0E35B96C">
      <w:pPr>
        <w:pStyle w:val="31"/>
        <w:spacing w:line="360" w:lineRule="auto"/>
        <w:ind w:firstLine="565" w:firstLineChars="202"/>
        <w:rPr>
          <w:rFonts w:eastAsiaTheme="minorEastAsia"/>
          <w:szCs w:val="28"/>
        </w:rPr>
      </w:pPr>
      <w:r>
        <w:rPr>
          <w:rFonts w:eastAsiaTheme="minorEastAsia"/>
          <w:szCs w:val="28"/>
        </w:rPr>
        <w:t>该矿开采为露天开采，设计工作平台最小宽度</w:t>
      </w:r>
      <w:r>
        <w:rPr>
          <w:rFonts w:hint="eastAsia" w:ascii="宋体" w:hAnsi="宋体" w:cs="宋体"/>
          <w:spacing w:val="13"/>
          <w:sz w:val="32"/>
          <w:szCs w:val="32"/>
        </w:rPr>
        <w:t>***</w:t>
      </w:r>
      <w:r>
        <w:rPr>
          <w:rFonts w:eastAsiaTheme="minorEastAsia"/>
          <w:szCs w:val="28"/>
        </w:rPr>
        <w:t>m，工作线长度</w:t>
      </w:r>
      <w:r>
        <w:rPr>
          <w:rFonts w:hint="eastAsia" w:ascii="宋体" w:hAnsi="宋体" w:cs="宋体"/>
          <w:spacing w:val="13"/>
          <w:sz w:val="32"/>
          <w:szCs w:val="32"/>
        </w:rPr>
        <w:t>***</w:t>
      </w:r>
      <w:r>
        <w:rPr>
          <w:rFonts w:eastAsiaTheme="minorEastAsia"/>
          <w:szCs w:val="28"/>
        </w:rPr>
        <w:t>～</w:t>
      </w:r>
      <w:r>
        <w:rPr>
          <w:rFonts w:hint="eastAsia" w:ascii="宋体" w:hAnsi="宋体" w:cs="宋体"/>
          <w:spacing w:val="13"/>
          <w:sz w:val="32"/>
          <w:szCs w:val="32"/>
        </w:rPr>
        <w:t>***</w:t>
      </w:r>
      <w:r>
        <w:rPr>
          <w:rFonts w:eastAsiaTheme="minorEastAsia"/>
          <w:szCs w:val="28"/>
        </w:rPr>
        <w:t>m。露天采坑最小底宽</w:t>
      </w:r>
      <w:r>
        <w:rPr>
          <w:rFonts w:hint="eastAsia" w:ascii="宋体" w:hAnsi="宋体" w:cs="宋体"/>
          <w:spacing w:val="13"/>
          <w:sz w:val="32"/>
          <w:szCs w:val="32"/>
        </w:rPr>
        <w:t>***</w:t>
      </w:r>
      <w:r>
        <w:rPr>
          <w:rFonts w:eastAsiaTheme="minorEastAsia"/>
          <w:szCs w:val="28"/>
        </w:rPr>
        <w:t>m。运输干线根据地形布置在矿体一侧，由地表向采剥水平掘单臂沟，进入水平工作面。矿山道路按三级公路标准，路面宽度为</w:t>
      </w:r>
      <w:r>
        <w:rPr>
          <w:rFonts w:hint="eastAsia" w:ascii="宋体" w:hAnsi="宋体" w:cs="宋体"/>
          <w:spacing w:val="13"/>
          <w:sz w:val="32"/>
          <w:szCs w:val="32"/>
        </w:rPr>
        <w:t>***</w:t>
      </w:r>
      <w:r>
        <w:rPr>
          <w:rFonts w:eastAsiaTheme="minorEastAsia"/>
          <w:szCs w:val="28"/>
        </w:rPr>
        <w:t>m，路面采用碎石铺筑，最大纵坡为</w:t>
      </w:r>
      <w:r>
        <w:rPr>
          <w:rFonts w:hint="eastAsia" w:ascii="宋体" w:hAnsi="宋体" w:cs="宋体"/>
          <w:spacing w:val="13"/>
          <w:sz w:val="32"/>
          <w:szCs w:val="32"/>
        </w:rPr>
        <w:t>***</w:t>
      </w:r>
      <w:r>
        <w:rPr>
          <w:rFonts w:eastAsiaTheme="minorEastAsia"/>
          <w:szCs w:val="28"/>
        </w:rPr>
        <w:t>%。</w:t>
      </w:r>
    </w:p>
    <w:p w14:paraId="3E172160">
      <w:pPr>
        <w:pStyle w:val="31"/>
        <w:spacing w:line="360" w:lineRule="auto"/>
        <w:ind w:firstLine="565" w:firstLineChars="202"/>
        <w:rPr>
          <w:rFonts w:eastAsiaTheme="minorEastAsia"/>
          <w:szCs w:val="28"/>
        </w:rPr>
      </w:pPr>
      <w:r>
        <w:rPr>
          <w:rFonts w:eastAsiaTheme="minorEastAsia"/>
          <w:szCs w:val="28"/>
        </w:rPr>
        <w:t>根据矿体赋存条件，设计矿山采用露天开采，采用公路开拓、汽车运输方案，总出入沟布置在采坑东南侧。开采标高</w:t>
      </w:r>
      <w:r>
        <w:rPr>
          <w:rFonts w:hint="eastAsia" w:ascii="宋体" w:hAnsi="宋体" w:cs="宋体"/>
          <w:spacing w:val="13"/>
          <w:sz w:val="32"/>
          <w:szCs w:val="32"/>
        </w:rPr>
        <w:t>***</w:t>
      </w:r>
      <w:r>
        <w:rPr>
          <w:rFonts w:eastAsiaTheme="minorEastAsia"/>
          <w:szCs w:val="28"/>
        </w:rPr>
        <w:t>m自至</w:t>
      </w:r>
      <w:r>
        <w:rPr>
          <w:rFonts w:hint="eastAsia" w:ascii="宋体" w:hAnsi="宋体" w:cs="宋体"/>
          <w:spacing w:val="13"/>
          <w:sz w:val="32"/>
          <w:szCs w:val="32"/>
        </w:rPr>
        <w:t>***</w:t>
      </w:r>
      <w:r>
        <w:rPr>
          <w:rFonts w:eastAsiaTheme="minorEastAsia"/>
          <w:szCs w:val="28"/>
        </w:rPr>
        <w:t>m，采高</w:t>
      </w:r>
      <w:r>
        <w:rPr>
          <w:rFonts w:hint="eastAsia" w:ascii="宋体" w:hAnsi="宋体" w:cs="宋体"/>
          <w:spacing w:val="13"/>
          <w:sz w:val="32"/>
          <w:szCs w:val="32"/>
        </w:rPr>
        <w:t>***</w:t>
      </w:r>
      <w:r>
        <w:rPr>
          <w:rFonts w:eastAsiaTheme="minorEastAsia"/>
          <w:szCs w:val="28"/>
        </w:rPr>
        <w:t>m，采矿方法采用水平台阶分层采矿法，开采台阶高度为</w:t>
      </w:r>
      <w:r>
        <w:rPr>
          <w:rFonts w:hint="eastAsia" w:ascii="宋体" w:hAnsi="宋体" w:cs="宋体"/>
          <w:spacing w:val="13"/>
          <w:sz w:val="32"/>
          <w:szCs w:val="32"/>
        </w:rPr>
        <w:t>***</w:t>
      </w:r>
      <w:r>
        <w:rPr>
          <w:rFonts w:eastAsiaTheme="minorEastAsia"/>
          <w:szCs w:val="28"/>
        </w:rPr>
        <w:t>m。共分为</w:t>
      </w:r>
      <w:r>
        <w:rPr>
          <w:rFonts w:hint="eastAsia" w:ascii="宋体" w:hAnsi="宋体" w:cs="宋体"/>
          <w:spacing w:val="13"/>
          <w:sz w:val="32"/>
          <w:szCs w:val="32"/>
        </w:rPr>
        <w:t>***</w:t>
      </w:r>
      <w:r>
        <w:rPr>
          <w:rFonts w:eastAsiaTheme="minorEastAsia"/>
          <w:szCs w:val="28"/>
        </w:rPr>
        <w:t>个剥采水平，分别为</w:t>
      </w:r>
      <w:r>
        <w:rPr>
          <w:rFonts w:hint="eastAsia" w:ascii="宋体" w:hAnsi="宋体" w:cs="宋体"/>
          <w:spacing w:val="13"/>
          <w:sz w:val="32"/>
          <w:szCs w:val="32"/>
        </w:rPr>
        <w:t>***</w:t>
      </w:r>
      <w:r>
        <w:rPr>
          <w:rFonts w:eastAsiaTheme="minorEastAsia"/>
          <w:szCs w:val="28"/>
        </w:rPr>
        <w:t>m、</w:t>
      </w:r>
      <w:r>
        <w:rPr>
          <w:rFonts w:hint="eastAsia" w:ascii="宋体" w:hAnsi="宋体" w:cs="宋体"/>
          <w:spacing w:val="13"/>
          <w:sz w:val="32"/>
          <w:szCs w:val="32"/>
        </w:rPr>
        <w:t>***</w:t>
      </w:r>
      <w:r>
        <w:rPr>
          <w:rFonts w:eastAsiaTheme="minorEastAsia"/>
          <w:szCs w:val="28"/>
        </w:rPr>
        <w:t>m、</w:t>
      </w:r>
      <w:r>
        <w:rPr>
          <w:rFonts w:hint="eastAsia" w:ascii="宋体" w:hAnsi="宋体" w:cs="宋体"/>
          <w:spacing w:val="13"/>
          <w:sz w:val="32"/>
          <w:szCs w:val="32"/>
        </w:rPr>
        <w:t>***</w:t>
      </w:r>
      <w:r>
        <w:rPr>
          <w:rFonts w:eastAsiaTheme="minorEastAsia"/>
          <w:szCs w:val="28"/>
        </w:rPr>
        <w:t>m、</w:t>
      </w:r>
      <w:r>
        <w:rPr>
          <w:rFonts w:hint="eastAsia" w:ascii="宋体" w:hAnsi="宋体" w:cs="宋体"/>
          <w:spacing w:val="13"/>
          <w:sz w:val="32"/>
          <w:szCs w:val="32"/>
        </w:rPr>
        <w:t>***</w:t>
      </w:r>
      <w:r>
        <w:rPr>
          <w:rFonts w:eastAsiaTheme="minorEastAsia"/>
          <w:szCs w:val="28"/>
        </w:rPr>
        <w:t>m、</w:t>
      </w:r>
      <w:r>
        <w:rPr>
          <w:rFonts w:hint="eastAsia" w:ascii="宋体" w:hAnsi="宋体" w:cs="宋体"/>
          <w:spacing w:val="13"/>
          <w:sz w:val="32"/>
          <w:szCs w:val="32"/>
        </w:rPr>
        <w:t>***</w:t>
      </w:r>
      <w:r>
        <w:rPr>
          <w:rFonts w:eastAsiaTheme="minorEastAsia"/>
          <w:szCs w:val="28"/>
        </w:rPr>
        <w:t>m、</w:t>
      </w:r>
      <w:r>
        <w:rPr>
          <w:rFonts w:hint="eastAsia" w:ascii="宋体" w:hAnsi="宋体" w:cs="宋体"/>
          <w:spacing w:val="13"/>
          <w:sz w:val="32"/>
          <w:szCs w:val="32"/>
        </w:rPr>
        <w:t>***</w:t>
      </w:r>
      <w:r>
        <w:rPr>
          <w:rFonts w:eastAsiaTheme="minorEastAsia"/>
          <w:szCs w:val="28"/>
        </w:rPr>
        <w:t>m、</w:t>
      </w:r>
      <w:r>
        <w:rPr>
          <w:rFonts w:hint="eastAsia" w:ascii="宋体" w:hAnsi="宋体" w:cs="宋体"/>
          <w:spacing w:val="13"/>
          <w:sz w:val="32"/>
          <w:szCs w:val="32"/>
        </w:rPr>
        <w:t>***</w:t>
      </w:r>
      <w:r>
        <w:rPr>
          <w:rFonts w:eastAsiaTheme="minorEastAsia"/>
          <w:szCs w:val="28"/>
        </w:rPr>
        <w:t>m水平，最终边坡采用两个阶段进行并段。</w:t>
      </w:r>
    </w:p>
    <w:p w14:paraId="1868421C">
      <w:pPr>
        <w:pStyle w:val="31"/>
        <w:spacing w:line="360" w:lineRule="auto"/>
        <w:ind w:firstLine="565" w:firstLineChars="202"/>
        <w:rPr>
          <w:rFonts w:eastAsiaTheme="minorEastAsia"/>
          <w:szCs w:val="28"/>
        </w:rPr>
      </w:pPr>
      <w:r>
        <w:rPr>
          <w:rFonts w:eastAsiaTheme="minorEastAsia"/>
          <w:szCs w:val="28"/>
        </w:rPr>
        <w:t>露天采场日平均运输矿岩量为</w:t>
      </w:r>
      <w:r>
        <w:rPr>
          <w:rFonts w:hint="eastAsia" w:ascii="宋体" w:hAnsi="宋体" w:cs="宋体"/>
          <w:spacing w:val="13"/>
          <w:sz w:val="32"/>
          <w:szCs w:val="32"/>
        </w:rPr>
        <w:t>***</w:t>
      </w:r>
      <w:r>
        <w:rPr>
          <w:rFonts w:eastAsiaTheme="minorEastAsia"/>
          <w:szCs w:val="28"/>
        </w:rPr>
        <w:t>t/d，其中矿石量</w:t>
      </w:r>
      <w:r>
        <w:rPr>
          <w:rFonts w:hint="eastAsia" w:ascii="宋体" w:hAnsi="宋体" w:cs="宋体"/>
          <w:spacing w:val="13"/>
          <w:sz w:val="32"/>
          <w:szCs w:val="32"/>
        </w:rPr>
        <w:t>***</w:t>
      </w:r>
      <w:r>
        <w:rPr>
          <w:rFonts w:eastAsiaTheme="minorEastAsia"/>
          <w:szCs w:val="28"/>
        </w:rPr>
        <w:t>t/d，剥离量为</w:t>
      </w:r>
      <w:r>
        <w:rPr>
          <w:rFonts w:hint="eastAsia" w:ascii="宋体" w:hAnsi="宋体" w:cs="宋体"/>
          <w:spacing w:val="13"/>
          <w:sz w:val="32"/>
          <w:szCs w:val="32"/>
        </w:rPr>
        <w:t>***</w:t>
      </w:r>
      <w:r>
        <w:rPr>
          <w:rFonts w:eastAsiaTheme="minorEastAsia"/>
          <w:szCs w:val="28"/>
        </w:rPr>
        <w:t>t/d。推荐采用ZL50装载机装车，</w:t>
      </w:r>
      <w:r>
        <w:rPr>
          <w:rFonts w:hint="eastAsia" w:ascii="宋体" w:hAnsi="宋体" w:cs="宋体"/>
          <w:spacing w:val="13"/>
          <w:sz w:val="32"/>
          <w:szCs w:val="32"/>
        </w:rPr>
        <w:t>***</w:t>
      </w:r>
      <w:r>
        <w:rPr>
          <w:rFonts w:eastAsiaTheme="minorEastAsia"/>
          <w:szCs w:val="28"/>
        </w:rPr>
        <w:t>t自卸式汽车运输。矿石直接运输到碎石加工场进行加工，剥离表土运至表土排放场堆存。</w:t>
      </w:r>
    </w:p>
    <w:p w14:paraId="72BCE4AA">
      <w:pPr>
        <w:pStyle w:val="31"/>
        <w:spacing w:line="360" w:lineRule="auto"/>
        <w:ind w:firstLine="565" w:firstLineChars="202"/>
        <w:rPr>
          <w:rFonts w:eastAsiaTheme="minorEastAsia"/>
          <w:szCs w:val="28"/>
        </w:rPr>
      </w:pPr>
      <w:r>
        <w:rPr>
          <w:rFonts w:eastAsiaTheme="minorEastAsia"/>
          <w:szCs w:val="28"/>
        </w:rPr>
        <w:t>9、露天开采境界</w:t>
      </w:r>
    </w:p>
    <w:p w14:paraId="539D4C50">
      <w:pPr>
        <w:pStyle w:val="31"/>
        <w:spacing w:line="360" w:lineRule="auto"/>
        <w:ind w:firstLine="565" w:firstLineChars="202"/>
        <w:rPr>
          <w:rFonts w:eastAsiaTheme="minorEastAsia"/>
          <w:szCs w:val="28"/>
        </w:rPr>
      </w:pPr>
      <w:r>
        <w:rPr>
          <w:rFonts w:hint="eastAsia" w:eastAsiaTheme="minorEastAsia"/>
          <w:szCs w:val="28"/>
        </w:rPr>
        <w:t>依据矿床赋存条件，矿体裸露较好，矿区内矿体与围岩均为玄武岩，硬度较大。矿体赋存深度较浅，推荐采用类比法确定边坡参数。推荐台阶高度1</w:t>
      </w:r>
      <w:r>
        <w:rPr>
          <w:rFonts w:hint="eastAsia" w:ascii="宋体" w:hAnsi="宋体" w:cs="宋体"/>
          <w:spacing w:val="13"/>
          <w:sz w:val="32"/>
          <w:szCs w:val="32"/>
        </w:rPr>
        <w:t>***</w:t>
      </w:r>
      <w:r>
        <w:rPr>
          <w:rFonts w:hint="eastAsia" w:eastAsiaTheme="minorEastAsia"/>
          <w:szCs w:val="28"/>
        </w:rPr>
        <w:t>m。最终台阶坡面角</w:t>
      </w:r>
      <w:r>
        <w:rPr>
          <w:rFonts w:hint="eastAsia" w:ascii="宋体" w:hAnsi="宋体" w:cs="宋体"/>
          <w:spacing w:val="13"/>
          <w:sz w:val="32"/>
          <w:szCs w:val="32"/>
        </w:rPr>
        <w:t>***</w:t>
      </w:r>
      <w:r>
        <w:rPr>
          <w:rFonts w:hint="eastAsia" w:eastAsiaTheme="minorEastAsia"/>
          <w:szCs w:val="28"/>
        </w:rPr>
        <w:t>°，安全平台宽</w:t>
      </w:r>
      <w:r>
        <w:rPr>
          <w:rFonts w:hint="eastAsia" w:ascii="宋体" w:hAnsi="宋体" w:cs="宋体"/>
          <w:spacing w:val="13"/>
          <w:sz w:val="32"/>
          <w:szCs w:val="32"/>
        </w:rPr>
        <w:t>***</w:t>
      </w:r>
      <w:r>
        <w:rPr>
          <w:rFonts w:hint="eastAsia" w:eastAsiaTheme="minorEastAsia"/>
          <w:szCs w:val="28"/>
        </w:rPr>
        <w:t>m，清扫平台</w:t>
      </w:r>
      <w:r>
        <w:rPr>
          <w:rFonts w:hint="eastAsia" w:ascii="宋体" w:hAnsi="宋体" w:cs="宋体"/>
          <w:spacing w:val="13"/>
          <w:sz w:val="32"/>
          <w:szCs w:val="32"/>
        </w:rPr>
        <w:t>***</w:t>
      </w:r>
      <w:r>
        <w:rPr>
          <w:rFonts w:hint="eastAsia" w:eastAsiaTheme="minorEastAsia"/>
          <w:szCs w:val="28"/>
        </w:rPr>
        <w:t>m（人工清扫），公路运输平台宽</w:t>
      </w:r>
      <w:r>
        <w:rPr>
          <w:rFonts w:hint="eastAsia" w:ascii="宋体" w:hAnsi="宋体" w:cs="宋体"/>
          <w:spacing w:val="13"/>
          <w:sz w:val="32"/>
          <w:szCs w:val="32"/>
        </w:rPr>
        <w:t>***</w:t>
      </w:r>
      <w:r>
        <w:rPr>
          <w:rFonts w:hint="eastAsia" w:eastAsiaTheme="minorEastAsia"/>
          <w:szCs w:val="28"/>
        </w:rPr>
        <w:t>m。</w:t>
      </w:r>
    </w:p>
    <w:p w14:paraId="54856AF5">
      <w:pPr>
        <w:pStyle w:val="31"/>
        <w:spacing w:line="360" w:lineRule="auto"/>
        <w:ind w:firstLine="565" w:firstLineChars="202"/>
        <w:rPr>
          <w:rFonts w:eastAsiaTheme="minorEastAsia"/>
          <w:szCs w:val="28"/>
        </w:rPr>
      </w:pPr>
      <w:r>
        <w:rPr>
          <w:rFonts w:hint="eastAsia" w:eastAsiaTheme="minorEastAsia"/>
          <w:szCs w:val="28"/>
        </w:rPr>
        <w:t>最终边坡采用两个阶段进行并段，并段后最终台阶坡面角</w:t>
      </w:r>
      <w:r>
        <w:rPr>
          <w:rFonts w:hint="eastAsia" w:ascii="宋体" w:hAnsi="宋体" w:cs="宋体"/>
          <w:spacing w:val="13"/>
          <w:sz w:val="32"/>
          <w:szCs w:val="32"/>
        </w:rPr>
        <w:t>***</w:t>
      </w:r>
      <w:r>
        <w:rPr>
          <w:rFonts w:hint="eastAsia" w:eastAsiaTheme="minorEastAsia"/>
          <w:szCs w:val="28"/>
        </w:rPr>
        <w:t>°，最终帮坡角</w:t>
      </w:r>
      <w:r>
        <w:rPr>
          <w:rFonts w:hint="eastAsia" w:ascii="宋体" w:hAnsi="宋体" w:cs="宋体"/>
          <w:spacing w:val="13"/>
          <w:sz w:val="32"/>
          <w:szCs w:val="32"/>
        </w:rPr>
        <w:t>***</w:t>
      </w:r>
      <w:r>
        <w:rPr>
          <w:rFonts w:hint="eastAsia" w:eastAsiaTheme="minorEastAsia"/>
          <w:szCs w:val="28"/>
        </w:rPr>
        <w:t>°，安全平台宽</w:t>
      </w:r>
      <w:r>
        <w:rPr>
          <w:rFonts w:hint="eastAsia" w:ascii="宋体" w:hAnsi="宋体" w:cs="宋体"/>
          <w:spacing w:val="13"/>
          <w:sz w:val="32"/>
          <w:szCs w:val="32"/>
        </w:rPr>
        <w:t>***</w:t>
      </w:r>
      <w:r>
        <w:rPr>
          <w:rFonts w:hint="eastAsia" w:eastAsiaTheme="minorEastAsia"/>
          <w:szCs w:val="28"/>
        </w:rPr>
        <w:t>m，清扫平台</w:t>
      </w:r>
      <w:r>
        <w:rPr>
          <w:rFonts w:hint="eastAsia" w:ascii="宋体" w:hAnsi="宋体" w:cs="宋体"/>
          <w:spacing w:val="13"/>
          <w:sz w:val="32"/>
          <w:szCs w:val="32"/>
        </w:rPr>
        <w:t>***</w:t>
      </w:r>
      <w:r>
        <w:rPr>
          <w:rFonts w:hint="eastAsia" w:eastAsiaTheme="minorEastAsia"/>
          <w:szCs w:val="28"/>
        </w:rPr>
        <w:t>m（人工清扫），公路运输平台宽</w:t>
      </w:r>
      <w:r>
        <w:rPr>
          <w:rFonts w:hint="eastAsia" w:ascii="宋体" w:hAnsi="宋体" w:cs="宋体"/>
          <w:spacing w:val="13"/>
          <w:sz w:val="32"/>
          <w:szCs w:val="32"/>
        </w:rPr>
        <w:t>***</w:t>
      </w:r>
      <w:r>
        <w:rPr>
          <w:rFonts w:hint="eastAsia" w:eastAsiaTheme="minorEastAsia"/>
          <w:szCs w:val="28"/>
        </w:rPr>
        <w:t>m。</w:t>
      </w:r>
    </w:p>
    <w:p w14:paraId="1D65274D">
      <w:pPr>
        <w:pStyle w:val="31"/>
        <w:spacing w:line="360" w:lineRule="auto"/>
        <w:ind w:firstLine="565" w:firstLineChars="202"/>
        <w:rPr>
          <w:rFonts w:eastAsiaTheme="minorEastAsia"/>
          <w:szCs w:val="28"/>
        </w:rPr>
      </w:pPr>
      <w:r>
        <w:rPr>
          <w:rFonts w:eastAsiaTheme="minorEastAsia"/>
          <w:szCs w:val="28"/>
        </w:rPr>
        <w:t>根据矿山开采境界深度、矿体赋存深度、底部可采最小宽度，通过分析比较，最终确定</w:t>
      </w:r>
      <w:r>
        <w:rPr>
          <w:rFonts w:hint="eastAsia" w:ascii="宋体" w:hAnsi="宋体" w:cs="宋体"/>
          <w:spacing w:val="13"/>
          <w:sz w:val="32"/>
          <w:szCs w:val="32"/>
        </w:rPr>
        <w:t>***</w:t>
      </w:r>
      <w:r>
        <w:rPr>
          <w:rFonts w:eastAsiaTheme="minorEastAsia"/>
          <w:szCs w:val="28"/>
        </w:rPr>
        <w:t>m水平为露天采场底平面标高。经计算露天境界内矿岩总量为</w:t>
      </w:r>
      <w:r>
        <w:rPr>
          <w:rFonts w:hint="eastAsia" w:ascii="宋体" w:hAnsi="宋体" w:cs="宋体"/>
          <w:spacing w:val="13"/>
          <w:sz w:val="32"/>
          <w:szCs w:val="32"/>
        </w:rPr>
        <w:t>***</w:t>
      </w:r>
      <w:r>
        <w:rPr>
          <w:rFonts w:eastAsiaTheme="minorEastAsia"/>
          <w:szCs w:val="28"/>
        </w:rPr>
        <w:t>t，其中矿石量</w:t>
      </w:r>
      <w:r>
        <w:rPr>
          <w:rFonts w:hint="eastAsia" w:ascii="宋体" w:hAnsi="宋体" w:cs="宋体"/>
          <w:spacing w:val="13"/>
          <w:sz w:val="32"/>
          <w:szCs w:val="32"/>
        </w:rPr>
        <w:t>***</w:t>
      </w:r>
      <w:r>
        <w:rPr>
          <w:rFonts w:eastAsiaTheme="minorEastAsia"/>
          <w:szCs w:val="28"/>
        </w:rPr>
        <w:t>t，剥离量</w:t>
      </w:r>
      <w:r>
        <w:rPr>
          <w:rFonts w:hint="eastAsia" w:ascii="宋体" w:hAnsi="宋体" w:cs="宋体"/>
          <w:spacing w:val="13"/>
          <w:sz w:val="32"/>
          <w:szCs w:val="32"/>
        </w:rPr>
        <w:t>***</w:t>
      </w:r>
      <w:r>
        <w:rPr>
          <w:rFonts w:eastAsiaTheme="minorEastAsia"/>
          <w:szCs w:val="28"/>
        </w:rPr>
        <w:t>t，平均剥采比为</w:t>
      </w:r>
      <w:r>
        <w:rPr>
          <w:rFonts w:hint="eastAsia" w:ascii="宋体" w:hAnsi="宋体" w:cs="宋体"/>
          <w:spacing w:val="13"/>
          <w:sz w:val="32"/>
          <w:szCs w:val="32"/>
        </w:rPr>
        <w:t>***</w:t>
      </w:r>
      <w:r>
        <w:rPr>
          <w:rFonts w:eastAsiaTheme="minorEastAsia"/>
          <w:szCs w:val="28"/>
        </w:rPr>
        <w:t>t/t，小于经济合理剥采比。</w:t>
      </w:r>
    </w:p>
    <w:p w14:paraId="4CA176D6">
      <w:pPr>
        <w:pStyle w:val="31"/>
        <w:spacing w:line="360" w:lineRule="auto"/>
        <w:ind w:firstLine="565" w:firstLineChars="202"/>
        <w:rPr>
          <w:rFonts w:eastAsiaTheme="minorEastAsia"/>
          <w:szCs w:val="28"/>
        </w:rPr>
      </w:pPr>
      <w:r>
        <w:rPr>
          <w:rFonts w:eastAsiaTheme="minorEastAsia"/>
          <w:szCs w:val="28"/>
        </w:rPr>
        <w:t>推荐工作平台最小宽度</w:t>
      </w:r>
      <w:r>
        <w:rPr>
          <w:rFonts w:hint="eastAsia" w:ascii="宋体" w:hAnsi="宋体" w:cs="宋体"/>
          <w:spacing w:val="13"/>
          <w:sz w:val="32"/>
          <w:szCs w:val="32"/>
        </w:rPr>
        <w:t>***</w:t>
      </w:r>
      <w:r>
        <w:rPr>
          <w:rFonts w:eastAsiaTheme="minorEastAsia"/>
          <w:szCs w:val="28"/>
        </w:rPr>
        <w:t>m，工作线长度为水平中段可采矿体走向长度。露天采场公路最大纵坡小于</w:t>
      </w:r>
      <w:r>
        <w:rPr>
          <w:rFonts w:hint="eastAsia" w:ascii="宋体" w:hAnsi="宋体" w:cs="宋体"/>
          <w:spacing w:val="13"/>
          <w:sz w:val="32"/>
          <w:szCs w:val="32"/>
        </w:rPr>
        <w:t>***</w:t>
      </w:r>
      <w:r>
        <w:rPr>
          <w:rFonts w:eastAsiaTheme="minorEastAsia"/>
          <w:szCs w:val="28"/>
        </w:rPr>
        <w:t>%，露天采场最终开采境界主要参数见表</w:t>
      </w:r>
      <w:r>
        <w:rPr>
          <w:rFonts w:hint="eastAsia" w:eastAsiaTheme="minorEastAsia"/>
          <w:szCs w:val="28"/>
        </w:rPr>
        <w:t>1-4</w:t>
      </w:r>
      <w:r>
        <w:rPr>
          <w:rFonts w:eastAsiaTheme="minorEastAsia"/>
          <w:szCs w:val="28"/>
        </w:rPr>
        <w:t>。</w:t>
      </w:r>
    </w:p>
    <w:p w14:paraId="6958BC9E">
      <w:pPr>
        <w:ind w:firstLine="597" w:firstLineChars="249"/>
        <w:jc w:val="center"/>
        <w:rPr>
          <w:rFonts w:hint="eastAsia" w:ascii="黑体" w:hAnsi="黑体" w:eastAsia="黑体"/>
          <w:color w:val="000000"/>
          <w:sz w:val="24"/>
          <w:szCs w:val="24"/>
          <w:lang w:val="zh-CN"/>
        </w:rPr>
      </w:pPr>
      <w:r>
        <w:rPr>
          <w:rFonts w:ascii="黑体" w:hAnsi="黑体" w:eastAsia="黑体"/>
          <w:color w:val="000000"/>
          <w:sz w:val="24"/>
          <w:szCs w:val="24"/>
          <w:lang w:val="zh-CN"/>
        </w:rPr>
        <w:t>表</w:t>
      </w:r>
      <w:r>
        <w:rPr>
          <w:rFonts w:hint="eastAsia" w:ascii="黑体" w:hAnsi="黑体" w:eastAsia="黑体"/>
          <w:color w:val="000000"/>
          <w:sz w:val="24"/>
          <w:szCs w:val="24"/>
          <w:lang w:val="zh-CN"/>
        </w:rPr>
        <w:t>1-4</w:t>
      </w:r>
      <w:r>
        <w:rPr>
          <w:rFonts w:ascii="黑体" w:hAnsi="黑体" w:eastAsia="黑体"/>
          <w:color w:val="000000"/>
          <w:sz w:val="24"/>
          <w:szCs w:val="24"/>
          <w:lang w:val="zh-CN"/>
        </w:rPr>
        <w:t xml:space="preserve">  露天采场最终开采境界主要参数表</w:t>
      </w:r>
    </w:p>
    <w:p w14:paraId="0C48E12D">
      <w:pPr>
        <w:pStyle w:val="31"/>
        <w:ind w:firstLine="404" w:firstLineChars="202"/>
        <w:rPr>
          <w:rFonts w:eastAsiaTheme="minorEastAsia"/>
          <w:sz w:val="20"/>
        </w:rPr>
      </w:pPr>
    </w:p>
    <w:p w14:paraId="62F344C7">
      <w:pPr>
        <w:adjustRightInd w:val="0"/>
        <w:snapToGrid w:val="0"/>
        <w:spacing w:line="360" w:lineRule="auto"/>
        <w:ind w:firstLine="560" w:firstLineChars="200"/>
        <w:rPr>
          <w:sz w:val="28"/>
          <w:szCs w:val="28"/>
        </w:rPr>
      </w:pPr>
      <w:r>
        <w:rPr>
          <w:rFonts w:hint="eastAsia"/>
          <w:sz w:val="28"/>
          <w:szCs w:val="28"/>
        </w:rPr>
        <w:t>10、</w:t>
      </w:r>
      <w:r>
        <w:rPr>
          <w:sz w:val="28"/>
          <w:szCs w:val="28"/>
        </w:rPr>
        <w:t>工业场地的选择与布置</w:t>
      </w:r>
    </w:p>
    <w:p w14:paraId="29A2606F">
      <w:pPr>
        <w:adjustRightInd w:val="0"/>
        <w:snapToGrid w:val="0"/>
        <w:spacing w:line="360" w:lineRule="auto"/>
        <w:ind w:firstLine="560" w:firstLineChars="200"/>
        <w:rPr>
          <w:bCs/>
          <w:sz w:val="28"/>
          <w:szCs w:val="28"/>
        </w:rPr>
      </w:pPr>
      <w:r>
        <w:rPr>
          <w:bCs/>
          <w:sz w:val="28"/>
          <w:szCs w:val="28"/>
        </w:rPr>
        <w:t>工业场地布置在露天采场南侧</w:t>
      </w:r>
      <w:r>
        <w:rPr>
          <w:rFonts w:hint="eastAsia" w:ascii="宋体" w:hAnsi="宋体" w:cs="宋体"/>
          <w:spacing w:val="13"/>
          <w:sz w:val="32"/>
          <w:szCs w:val="32"/>
        </w:rPr>
        <w:t>***</w:t>
      </w:r>
      <w:r>
        <w:rPr>
          <w:bCs/>
          <w:sz w:val="28"/>
          <w:szCs w:val="28"/>
        </w:rPr>
        <w:t>km处(爆破安全警戒线以外)，面积约为</w:t>
      </w:r>
      <w:r>
        <w:rPr>
          <w:rFonts w:hint="eastAsia" w:ascii="宋体" w:hAnsi="宋体" w:cs="宋体"/>
          <w:spacing w:val="13"/>
          <w:sz w:val="32"/>
          <w:szCs w:val="32"/>
        </w:rPr>
        <w:t>***</w:t>
      </w:r>
      <w:r>
        <w:rPr>
          <w:bCs/>
          <w:sz w:val="28"/>
          <w:szCs w:val="28"/>
        </w:rPr>
        <w:t>m</w:t>
      </w:r>
      <w:r>
        <w:rPr>
          <w:bCs/>
          <w:sz w:val="28"/>
          <w:szCs w:val="28"/>
          <w:vertAlign w:val="superscript"/>
        </w:rPr>
        <w:t>2</w:t>
      </w:r>
      <w:r>
        <w:rPr>
          <w:bCs/>
          <w:sz w:val="28"/>
          <w:szCs w:val="28"/>
        </w:rPr>
        <w:t>，工业场地内设有维修车间、仓库等。</w:t>
      </w:r>
    </w:p>
    <w:p w14:paraId="555A4981">
      <w:pPr>
        <w:adjustRightInd w:val="0"/>
        <w:snapToGrid w:val="0"/>
        <w:spacing w:line="360" w:lineRule="auto"/>
        <w:ind w:firstLine="560" w:firstLineChars="200"/>
        <w:rPr>
          <w:bCs/>
          <w:sz w:val="28"/>
          <w:szCs w:val="28"/>
        </w:rPr>
      </w:pPr>
      <w:r>
        <w:rPr>
          <w:bCs/>
          <w:sz w:val="28"/>
          <w:szCs w:val="28"/>
        </w:rPr>
        <w:t>办公生活区布置在工业场地西侧(爆破安全警戒线以外)，面积约为</w:t>
      </w:r>
      <w:r>
        <w:rPr>
          <w:rFonts w:hint="eastAsia" w:ascii="宋体" w:hAnsi="宋体" w:cs="宋体"/>
          <w:spacing w:val="13"/>
          <w:sz w:val="32"/>
          <w:szCs w:val="32"/>
        </w:rPr>
        <w:t>***</w:t>
      </w:r>
      <w:r>
        <w:rPr>
          <w:bCs/>
          <w:sz w:val="28"/>
          <w:szCs w:val="28"/>
        </w:rPr>
        <w:t>m</w:t>
      </w:r>
      <w:r>
        <w:rPr>
          <w:bCs/>
          <w:sz w:val="28"/>
          <w:szCs w:val="28"/>
          <w:vertAlign w:val="superscript"/>
        </w:rPr>
        <w:t>2</w:t>
      </w:r>
      <w:r>
        <w:rPr>
          <w:bCs/>
          <w:sz w:val="28"/>
          <w:szCs w:val="28"/>
        </w:rPr>
        <w:t>，办公生活区内设有办公室、宿舍、食堂等。</w:t>
      </w:r>
    </w:p>
    <w:p w14:paraId="03C2C923">
      <w:pPr>
        <w:adjustRightInd w:val="0"/>
        <w:snapToGrid w:val="0"/>
        <w:spacing w:line="360" w:lineRule="auto"/>
        <w:ind w:firstLine="560" w:firstLineChars="200"/>
        <w:rPr>
          <w:sz w:val="28"/>
          <w:szCs w:val="28"/>
        </w:rPr>
      </w:pPr>
      <w:r>
        <w:rPr>
          <w:bCs/>
          <w:sz w:val="28"/>
          <w:szCs w:val="28"/>
        </w:rPr>
        <w:t>表土排放场布置在露天采场南侧</w:t>
      </w:r>
      <w:r>
        <w:rPr>
          <w:rFonts w:hint="eastAsia" w:ascii="宋体" w:hAnsi="宋体" w:cs="宋体"/>
          <w:spacing w:val="13"/>
          <w:sz w:val="32"/>
          <w:szCs w:val="32"/>
        </w:rPr>
        <w:t>***</w:t>
      </w:r>
      <w:r>
        <w:rPr>
          <w:bCs/>
          <w:sz w:val="28"/>
          <w:szCs w:val="28"/>
        </w:rPr>
        <w:t>m处（原有采坑内），面积约为</w:t>
      </w:r>
      <w:r>
        <w:rPr>
          <w:rFonts w:hint="eastAsia" w:ascii="宋体" w:hAnsi="宋体" w:cs="宋体"/>
          <w:spacing w:val="13"/>
          <w:sz w:val="32"/>
          <w:szCs w:val="32"/>
        </w:rPr>
        <w:t>***</w:t>
      </w:r>
      <w:r>
        <w:rPr>
          <w:bCs/>
          <w:sz w:val="28"/>
          <w:szCs w:val="28"/>
        </w:rPr>
        <w:t>m</w:t>
      </w:r>
      <w:r>
        <w:rPr>
          <w:bCs/>
          <w:sz w:val="28"/>
          <w:szCs w:val="28"/>
          <w:vertAlign w:val="superscript"/>
        </w:rPr>
        <w:t>2</w:t>
      </w:r>
      <w:r>
        <w:rPr>
          <w:bCs/>
          <w:sz w:val="28"/>
          <w:szCs w:val="28"/>
        </w:rPr>
        <w:t>，容积约为</w:t>
      </w:r>
      <w:r>
        <w:rPr>
          <w:rFonts w:hint="eastAsia" w:ascii="宋体" w:hAnsi="宋体" w:cs="宋体"/>
          <w:spacing w:val="13"/>
          <w:sz w:val="32"/>
          <w:szCs w:val="32"/>
        </w:rPr>
        <w:t>***</w:t>
      </w:r>
      <w:r>
        <w:rPr>
          <w:bCs/>
          <w:sz w:val="28"/>
          <w:szCs w:val="28"/>
        </w:rPr>
        <w:t>m</w:t>
      </w:r>
      <w:r>
        <w:rPr>
          <w:bCs/>
          <w:sz w:val="28"/>
          <w:szCs w:val="28"/>
          <w:vertAlign w:val="superscript"/>
        </w:rPr>
        <w:t>3</w:t>
      </w:r>
      <w:r>
        <w:rPr>
          <w:bCs/>
          <w:sz w:val="28"/>
          <w:szCs w:val="28"/>
        </w:rPr>
        <w:t>。</w:t>
      </w:r>
    </w:p>
    <w:p w14:paraId="62AAED13">
      <w:pPr>
        <w:adjustRightInd w:val="0"/>
        <w:snapToGrid w:val="0"/>
        <w:spacing w:line="360" w:lineRule="auto"/>
        <w:ind w:firstLine="560" w:firstLineChars="200"/>
        <w:rPr>
          <w:sz w:val="28"/>
          <w:szCs w:val="28"/>
        </w:rPr>
      </w:pPr>
      <w:r>
        <w:rPr>
          <w:rFonts w:hint="eastAsia"/>
          <w:sz w:val="28"/>
          <w:szCs w:val="28"/>
        </w:rPr>
        <w:t>《开发利用方案》工程布局图见图1-5。</w:t>
      </w:r>
    </w:p>
    <w:p w14:paraId="5255D5EE">
      <w:pPr>
        <w:adjustRightInd w:val="0"/>
        <w:snapToGrid w:val="0"/>
        <w:spacing w:line="360" w:lineRule="auto"/>
        <w:jc w:val="center"/>
        <w:rPr>
          <w:sz w:val="28"/>
          <w:szCs w:val="28"/>
        </w:rPr>
      </w:pPr>
      <w:r>
        <w:rPr>
          <w:rFonts w:eastAsia="黑体"/>
          <w:sz w:val="24"/>
          <w:szCs w:val="24"/>
        </w:rPr>
        <w:t>图1-</w:t>
      </w:r>
      <w:r>
        <w:rPr>
          <w:rFonts w:hint="eastAsia" w:eastAsia="黑体"/>
          <w:sz w:val="24"/>
          <w:szCs w:val="24"/>
        </w:rPr>
        <w:t>5</w:t>
      </w:r>
      <w:r>
        <w:rPr>
          <w:rFonts w:eastAsia="黑体"/>
          <w:sz w:val="24"/>
          <w:szCs w:val="24"/>
        </w:rPr>
        <w:t xml:space="preserve">  </w:t>
      </w:r>
      <w:r>
        <w:rPr>
          <w:rFonts w:hint="eastAsia" w:eastAsia="黑体"/>
          <w:sz w:val="24"/>
          <w:szCs w:val="24"/>
        </w:rPr>
        <w:t>《开发利用方案》工程布局图</w:t>
      </w:r>
    </w:p>
    <w:p w14:paraId="41FCF81B">
      <w:pPr>
        <w:pStyle w:val="31"/>
        <w:spacing w:line="360" w:lineRule="auto"/>
        <w:ind w:firstLine="568" w:firstLineChars="202"/>
        <w:rPr>
          <w:rFonts w:eastAsiaTheme="minorEastAsia"/>
          <w:szCs w:val="28"/>
        </w:rPr>
      </w:pPr>
      <w:r>
        <w:rPr>
          <w:rFonts w:eastAsiaTheme="minorEastAsia"/>
          <w:b/>
          <w:bCs/>
          <w:szCs w:val="28"/>
        </w:rPr>
        <w:t>（二）现状工程单元布局</w:t>
      </w:r>
    </w:p>
    <w:p w14:paraId="20C70C30">
      <w:pPr>
        <w:pStyle w:val="31"/>
        <w:spacing w:line="360" w:lineRule="auto"/>
        <w:ind w:firstLine="565" w:firstLineChars="202"/>
        <w:rPr>
          <w:rFonts w:eastAsiaTheme="minorEastAsia"/>
          <w:szCs w:val="28"/>
        </w:rPr>
      </w:pPr>
      <w:r>
        <w:rPr>
          <w:rFonts w:hint="eastAsia" w:eastAsiaTheme="minorEastAsia"/>
          <w:szCs w:val="28"/>
        </w:rPr>
        <w:t>历史原因导致矿区周边存在多处压占、损毁地形地貌景观场地，形成多处人为生态斑块，影响区域地形地貌景观协调性，矿区周边破坏行为主要划分为“双盈碎石加工厂区域”、“历史遗留矿山治理区域”及在期采矿权“赤峰国富玄武岩矿区域”三个区域。经调查显示，“双盈碎石加工厂区域”破坏单元为工业场地、检斤房，现状两处单元；“历史遗留矿山治理区域”包括遗留露天采场、遗留废石场，该两处单元已经通过历史遗留矿山治理，但后续被双盈碎石加工厂所占用，根据</w:t>
      </w:r>
      <w:bookmarkStart w:id="43" w:name="OLE_LINK29"/>
      <w:r>
        <w:rPr>
          <w:rFonts w:hint="eastAsia" w:eastAsiaTheme="minorEastAsia"/>
          <w:szCs w:val="28"/>
        </w:rPr>
        <w:t>赤峰双盈碎石有限公司</w:t>
      </w:r>
      <w:bookmarkEnd w:id="43"/>
      <w:r>
        <w:rPr>
          <w:rFonts w:hint="eastAsia" w:eastAsiaTheme="minorEastAsia"/>
          <w:szCs w:val="28"/>
        </w:rPr>
        <w:t>提供的《情况说明》（附件16）该两处单元治理责任主体现属于“赤峰双盈碎石有限公司”。赤峰双盈碎石有限公司承诺后续生产后，对该场地实施场地生态修复治理，并做好区域绿化补植。</w:t>
      </w:r>
    </w:p>
    <w:p w14:paraId="0F2B41E4">
      <w:pPr>
        <w:pStyle w:val="31"/>
        <w:spacing w:line="360" w:lineRule="auto"/>
        <w:ind w:firstLine="565" w:firstLineChars="202"/>
        <w:rPr>
          <w:rFonts w:eastAsiaTheme="minorEastAsia"/>
          <w:szCs w:val="28"/>
        </w:rPr>
      </w:pPr>
      <w:r>
        <w:rPr>
          <w:rFonts w:hint="eastAsia" w:eastAsiaTheme="minorEastAsia"/>
          <w:szCs w:val="28"/>
        </w:rPr>
        <w:t>“赤峰国富玄武岩矿区域”破坏单元为露天采场、工业场地、废石场1、废石场2、废石场3、生活区、办公区、门卫、钻机平台、矿区道路等。</w:t>
      </w:r>
    </w:p>
    <w:p w14:paraId="098B8101">
      <w:pPr>
        <w:pStyle w:val="31"/>
        <w:spacing w:line="360" w:lineRule="auto"/>
        <w:ind w:firstLine="565" w:firstLineChars="202"/>
        <w:rPr>
          <w:rFonts w:eastAsiaTheme="minorEastAsia"/>
          <w:szCs w:val="28"/>
        </w:rPr>
      </w:pPr>
      <w:r>
        <w:rPr>
          <w:rFonts w:eastAsiaTheme="minorEastAsia"/>
          <w:szCs w:val="28"/>
        </w:rPr>
        <w:t>现状工程场地分布见下图（图1-</w:t>
      </w:r>
      <w:r>
        <w:rPr>
          <w:rFonts w:hint="eastAsia" w:eastAsiaTheme="minorEastAsia"/>
          <w:szCs w:val="28"/>
        </w:rPr>
        <w:t>6</w:t>
      </w:r>
      <w:r>
        <w:rPr>
          <w:rFonts w:eastAsiaTheme="minorEastAsia"/>
          <w:szCs w:val="28"/>
        </w:rPr>
        <w:t>）。</w:t>
      </w:r>
    </w:p>
    <w:p w14:paraId="47E0A72E">
      <w:pPr>
        <w:pStyle w:val="31"/>
        <w:spacing w:line="360" w:lineRule="auto"/>
        <w:ind w:firstLine="568" w:firstLineChars="202"/>
        <w:rPr>
          <w:rFonts w:eastAsiaTheme="minorEastAsia"/>
          <w:szCs w:val="28"/>
        </w:rPr>
      </w:pPr>
      <w:r>
        <w:rPr>
          <w:rFonts w:hint="eastAsia" w:eastAsiaTheme="minorEastAsia"/>
          <w:b/>
          <w:bCs/>
          <w:szCs w:val="28"/>
        </w:rPr>
        <w:t>（三）《开发利用方案》利旧与废弃的现状单元</w:t>
      </w:r>
    </w:p>
    <w:p w14:paraId="107A62CF">
      <w:pPr>
        <w:pStyle w:val="31"/>
        <w:spacing w:line="360" w:lineRule="auto"/>
        <w:ind w:firstLine="565" w:firstLineChars="202"/>
        <w:rPr>
          <w:rFonts w:eastAsiaTheme="minorEastAsia"/>
          <w:szCs w:val="28"/>
        </w:rPr>
      </w:pPr>
      <w:r>
        <w:rPr>
          <w:rFonts w:hint="eastAsia" w:eastAsiaTheme="minorEastAsia"/>
          <w:szCs w:val="28"/>
        </w:rPr>
        <w:t>本次现状调查时，矿山已经有成熟的开采、生活配套设施，但建设位置与《开发利用方案》设计位置有较大差异，现状工业场地位置与《开发利用方案》设计的“采矿工业区”位置相差不大，矿山后续将继续沿用现状工业场地，矿山后续建设将新建排土场、新建办公生活区、新建截洪沟、新建矿区道路。现状场地中废石场1、废石场2、废石场3、办公区、生活区、门卫、钻机平台均不再利用，上述场地单元本着边开采、边修复的原则将其近期治理。</w:t>
      </w:r>
    </w:p>
    <w:p w14:paraId="422D6389">
      <w:pPr>
        <w:pStyle w:val="31"/>
        <w:rPr>
          <w:rFonts w:eastAsiaTheme="minorEastAsia"/>
          <w:szCs w:val="28"/>
        </w:rPr>
      </w:pPr>
    </w:p>
    <w:p w14:paraId="62504B6B">
      <w:pPr>
        <w:pStyle w:val="31"/>
        <w:spacing w:line="360" w:lineRule="auto"/>
        <w:jc w:val="center"/>
        <w:rPr>
          <w:rFonts w:eastAsia="黑体"/>
          <w:sz w:val="24"/>
          <w:szCs w:val="24"/>
        </w:rPr>
      </w:pPr>
      <w:bookmarkStart w:id="44" w:name="OLE_LINK10"/>
      <w:r>
        <w:rPr>
          <w:rFonts w:eastAsia="黑体"/>
          <w:sz w:val="24"/>
          <w:szCs w:val="24"/>
        </w:rPr>
        <w:t>图1-</w:t>
      </w:r>
      <w:r>
        <w:rPr>
          <w:rFonts w:hint="eastAsia" w:eastAsia="黑体"/>
          <w:sz w:val="24"/>
          <w:szCs w:val="24"/>
        </w:rPr>
        <w:t>6</w:t>
      </w:r>
      <w:r>
        <w:rPr>
          <w:rFonts w:eastAsia="黑体"/>
          <w:sz w:val="24"/>
          <w:szCs w:val="24"/>
        </w:rPr>
        <w:t xml:space="preserve">  矿山现状工程布局图</w:t>
      </w:r>
      <w:bookmarkEnd w:id="44"/>
    </w:p>
    <w:p w14:paraId="3D6A411B">
      <w:pPr>
        <w:pStyle w:val="3"/>
        <w:spacing w:line="360" w:lineRule="auto"/>
        <w:jc w:val="center"/>
        <w:rPr>
          <w:rFonts w:eastAsia="黑体"/>
          <w:bCs/>
        </w:rPr>
      </w:pPr>
      <w:bookmarkStart w:id="45" w:name="_Toc287947645"/>
      <w:bookmarkStart w:id="46" w:name="_Toc455049494"/>
      <w:bookmarkStart w:id="47" w:name="_Toc329452627"/>
      <w:bookmarkStart w:id="48" w:name="_Toc15745"/>
      <w:bookmarkStart w:id="49" w:name="_Toc203884015"/>
      <w:bookmarkStart w:id="50" w:name="_Toc210478049"/>
      <w:r>
        <w:rPr>
          <w:rFonts w:eastAsia="黑体"/>
          <w:bCs/>
        </w:rPr>
        <w:t>第二章</w:t>
      </w:r>
      <w:bookmarkEnd w:id="45"/>
      <w:bookmarkEnd w:id="46"/>
      <w:bookmarkEnd w:id="47"/>
      <w:r>
        <w:rPr>
          <w:rFonts w:eastAsia="黑体"/>
          <w:bCs/>
        </w:rPr>
        <w:t xml:space="preserve">  矿区基础信息</w:t>
      </w:r>
      <w:bookmarkEnd w:id="48"/>
    </w:p>
    <w:bookmarkEnd w:id="49"/>
    <w:bookmarkEnd w:id="50"/>
    <w:p w14:paraId="30507E9A">
      <w:pPr>
        <w:pStyle w:val="4"/>
        <w:spacing w:before="120" w:beforeLines="50"/>
        <w:rPr>
          <w:rFonts w:ascii="Times New Roman" w:hAnsi="Times New Roman"/>
        </w:rPr>
      </w:pPr>
      <w:bookmarkStart w:id="51" w:name="_Toc31315"/>
      <w:r>
        <w:rPr>
          <w:rFonts w:ascii="Times New Roman" w:hAnsi="Times New Roman"/>
        </w:rPr>
        <w:t>第一节  矿区自然条件</w:t>
      </w:r>
      <w:bookmarkEnd w:id="51"/>
    </w:p>
    <w:p w14:paraId="1B15B2F6">
      <w:pPr>
        <w:spacing w:line="360" w:lineRule="auto"/>
        <w:ind w:firstLine="562" w:firstLineChars="200"/>
        <w:outlineLvl w:val="2"/>
        <w:rPr>
          <w:b/>
          <w:bCs/>
          <w:sz w:val="28"/>
          <w:szCs w:val="28"/>
        </w:rPr>
      </w:pPr>
      <w:r>
        <w:rPr>
          <w:b/>
          <w:bCs/>
          <w:sz w:val="28"/>
          <w:szCs w:val="28"/>
        </w:rPr>
        <w:t>一、气象</w:t>
      </w:r>
    </w:p>
    <w:p w14:paraId="2A7F591E">
      <w:pPr>
        <w:spacing w:line="360" w:lineRule="auto"/>
        <w:ind w:firstLine="560" w:firstLineChars="200"/>
        <w:rPr>
          <w:sz w:val="28"/>
          <w:szCs w:val="28"/>
        </w:rPr>
      </w:pPr>
      <w:r>
        <w:rPr>
          <w:rFonts w:hint="eastAsia"/>
          <w:sz w:val="28"/>
          <w:szCs w:val="28"/>
        </w:rPr>
        <w:t>本区属中温带内陆季风气候，冬季寒冷，夏季燥热，春秋多风沙，6-10月为丰水期，5月、11月为平水期，1-4月与12月为枯水期。根据国家气象站（赤峰站）多年统计资料，2016-2025年降水量</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mm，年平均降水量</w:t>
      </w:r>
      <w:r>
        <w:rPr>
          <w:rFonts w:hint="eastAsia" w:ascii="宋体" w:hAnsi="宋体" w:cs="宋体"/>
          <w:spacing w:val="13"/>
          <w:sz w:val="32"/>
          <w:szCs w:val="32"/>
        </w:rPr>
        <w:t>***</w:t>
      </w:r>
      <w:r>
        <w:rPr>
          <w:rFonts w:hint="eastAsia"/>
          <w:sz w:val="28"/>
          <w:szCs w:val="28"/>
        </w:rPr>
        <w:t>mm。年平均气温</w:t>
      </w:r>
      <w:r>
        <w:rPr>
          <w:rFonts w:hint="eastAsia" w:ascii="宋体" w:hAnsi="宋体" w:cs="宋体"/>
          <w:spacing w:val="13"/>
          <w:sz w:val="32"/>
          <w:szCs w:val="32"/>
        </w:rPr>
        <w:t>***</w:t>
      </w:r>
      <w:r>
        <w:rPr>
          <w:rFonts w:hint="eastAsia"/>
          <w:sz w:val="28"/>
          <w:szCs w:val="28"/>
        </w:rPr>
        <w:t>℃，一月份气温最低为-</w:t>
      </w:r>
      <w:r>
        <w:rPr>
          <w:rFonts w:hint="eastAsia" w:ascii="宋体" w:hAnsi="宋体" w:cs="宋体"/>
          <w:spacing w:val="13"/>
          <w:sz w:val="32"/>
          <w:szCs w:val="32"/>
        </w:rPr>
        <w:t>***</w:t>
      </w:r>
      <w:r>
        <w:rPr>
          <w:rFonts w:hint="eastAsia"/>
          <w:sz w:val="28"/>
          <w:szCs w:val="28"/>
        </w:rPr>
        <w:t>℃，七月份最高气温为+</w:t>
      </w:r>
      <w:r>
        <w:rPr>
          <w:rFonts w:hint="eastAsia" w:ascii="宋体" w:hAnsi="宋体" w:cs="宋体"/>
          <w:spacing w:val="13"/>
          <w:sz w:val="32"/>
          <w:szCs w:val="32"/>
        </w:rPr>
        <w:t>***</w:t>
      </w:r>
      <w:r>
        <w:rPr>
          <w:rFonts w:hint="eastAsia"/>
          <w:sz w:val="28"/>
          <w:szCs w:val="28"/>
        </w:rPr>
        <w:t>℃，一般每年十月下旬，至翌年四月中旬为冰冻期，最大冻土层深度</w:t>
      </w:r>
      <w:r>
        <w:rPr>
          <w:rFonts w:hint="eastAsia" w:ascii="宋体" w:hAnsi="宋体" w:cs="宋体"/>
          <w:spacing w:val="13"/>
          <w:sz w:val="32"/>
          <w:szCs w:val="32"/>
        </w:rPr>
        <w:t>***</w:t>
      </w:r>
      <w:r>
        <w:rPr>
          <w:rFonts w:hint="eastAsia"/>
          <w:sz w:val="28"/>
          <w:szCs w:val="28"/>
        </w:rPr>
        <w:t>m，五月初至九月末为无霜期，年日照</w:t>
      </w:r>
      <w:r>
        <w:rPr>
          <w:rFonts w:hint="eastAsia" w:ascii="宋体" w:hAnsi="宋体" w:cs="宋体"/>
          <w:spacing w:val="13"/>
          <w:sz w:val="32"/>
          <w:szCs w:val="32"/>
        </w:rPr>
        <w:t>***</w:t>
      </w:r>
      <w:r>
        <w:rPr>
          <w:rFonts w:hint="eastAsia"/>
          <w:sz w:val="28"/>
          <w:szCs w:val="28"/>
        </w:rPr>
        <w:t>小时，春秋两季多</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级西北风，平均风速</w:t>
      </w:r>
      <w:r>
        <w:rPr>
          <w:rFonts w:hint="eastAsia" w:ascii="宋体" w:hAnsi="宋体" w:cs="宋体"/>
          <w:spacing w:val="13"/>
          <w:sz w:val="32"/>
          <w:szCs w:val="32"/>
        </w:rPr>
        <w:t>***</w:t>
      </w:r>
      <w:r>
        <w:rPr>
          <w:rFonts w:hint="eastAsia"/>
          <w:sz w:val="28"/>
          <w:szCs w:val="28"/>
        </w:rPr>
        <w:t>m/s，最大风速达</w:t>
      </w:r>
      <w:r>
        <w:rPr>
          <w:rFonts w:hint="eastAsia" w:ascii="宋体" w:hAnsi="宋体" w:cs="宋体"/>
          <w:spacing w:val="13"/>
          <w:sz w:val="32"/>
          <w:szCs w:val="32"/>
        </w:rPr>
        <w:t xml:space="preserve">*** </w:t>
      </w:r>
      <w:r>
        <w:rPr>
          <w:rFonts w:hint="eastAsia"/>
          <w:sz w:val="28"/>
          <w:szCs w:val="28"/>
        </w:rPr>
        <w:t>m/s，降水量统计表见表2-1，示意图见图2-1。</w:t>
      </w:r>
    </w:p>
    <w:p w14:paraId="728A8DE4">
      <w:pPr>
        <w:snapToGrid w:val="0"/>
        <w:ind w:firstLine="480" w:firstLineChars="200"/>
        <w:jc w:val="center"/>
        <w:rPr>
          <w:rFonts w:hint="eastAsia" w:ascii="黑体" w:hAnsi="黑体" w:eastAsia="黑体"/>
          <w:color w:val="000000"/>
          <w:sz w:val="24"/>
          <w:szCs w:val="24"/>
        </w:rPr>
      </w:pPr>
      <w:r>
        <w:rPr>
          <w:rFonts w:ascii="黑体" w:hAnsi="黑体" w:eastAsia="黑体"/>
          <w:color w:val="000000"/>
          <w:sz w:val="24"/>
          <w:szCs w:val="24"/>
        </w:rPr>
        <w:t>表2-1  松山区近十年年降水量统计表（</w:t>
      </w:r>
      <w:r>
        <w:rPr>
          <w:rFonts w:hint="eastAsia" w:ascii="黑体" w:hAnsi="黑体" w:eastAsia="黑体"/>
          <w:color w:val="000000"/>
          <w:sz w:val="24"/>
          <w:szCs w:val="24"/>
        </w:rPr>
        <w:t>2016年～2025年</w:t>
      </w:r>
      <w:r>
        <w:rPr>
          <w:rFonts w:ascii="黑体" w:hAnsi="黑体" w:eastAsia="黑体"/>
          <w:color w:val="000000"/>
          <w:sz w:val="24"/>
          <w:szCs w:val="24"/>
        </w:rPr>
        <w:t>）</w:t>
      </w:r>
    </w:p>
    <w:p w14:paraId="4872544C">
      <w:pPr>
        <w:snapToGrid w:val="0"/>
        <w:ind w:firstLine="480" w:firstLineChars="200"/>
        <w:jc w:val="center"/>
        <w:rPr>
          <w:rFonts w:hint="eastAsia" w:ascii="黑体" w:hAnsi="黑体" w:eastAsia="黑体"/>
          <w:color w:val="000000"/>
          <w:sz w:val="24"/>
          <w:szCs w:val="24"/>
        </w:rPr>
      </w:pPr>
    </w:p>
    <w:p w14:paraId="6518B3CF">
      <w:pPr>
        <w:snapToGrid w:val="0"/>
        <w:ind w:firstLine="480" w:firstLineChars="200"/>
        <w:jc w:val="center"/>
        <w:rPr>
          <w:rFonts w:hint="eastAsia" w:ascii="黑体" w:hAnsi="黑体" w:eastAsia="黑体"/>
          <w:color w:val="000000"/>
          <w:sz w:val="24"/>
          <w:szCs w:val="24"/>
        </w:rPr>
      </w:pPr>
      <w:r>
        <w:rPr>
          <w:rFonts w:ascii="黑体" w:hAnsi="黑体" w:eastAsia="黑体"/>
          <w:color w:val="000000"/>
          <w:sz w:val="24"/>
          <w:szCs w:val="24"/>
        </w:rPr>
        <w:t xml:space="preserve">图2-1  </w:t>
      </w:r>
      <w:r>
        <w:rPr>
          <w:rFonts w:hint="eastAsia" w:ascii="黑体" w:hAnsi="黑体" w:eastAsia="黑体"/>
          <w:color w:val="000000"/>
          <w:sz w:val="24"/>
          <w:szCs w:val="24"/>
        </w:rPr>
        <w:t>松山区降水量和蒸发量统计图（2016年～2025年）</w:t>
      </w:r>
    </w:p>
    <w:p w14:paraId="7FB701FC">
      <w:pPr>
        <w:spacing w:line="360" w:lineRule="auto"/>
        <w:ind w:firstLine="562" w:firstLineChars="200"/>
        <w:outlineLvl w:val="2"/>
        <w:rPr>
          <w:b/>
          <w:bCs/>
          <w:sz w:val="28"/>
          <w:szCs w:val="28"/>
        </w:rPr>
      </w:pPr>
      <w:r>
        <w:rPr>
          <w:b/>
          <w:bCs/>
          <w:sz w:val="28"/>
          <w:szCs w:val="28"/>
        </w:rPr>
        <w:t>二、水文</w:t>
      </w:r>
    </w:p>
    <w:p w14:paraId="2AD40F11">
      <w:pPr>
        <w:snapToGrid w:val="0"/>
        <w:spacing w:line="360" w:lineRule="auto"/>
        <w:ind w:firstLine="560" w:firstLineChars="200"/>
        <w:rPr>
          <w:sz w:val="28"/>
          <w:szCs w:val="28"/>
        </w:rPr>
      </w:pPr>
      <w:r>
        <w:rPr>
          <w:rFonts w:hint="eastAsia"/>
          <w:sz w:val="28"/>
          <w:szCs w:val="28"/>
        </w:rPr>
        <w:t>矿区属于西辽河流域老哈河水系。</w:t>
      </w:r>
    </w:p>
    <w:p w14:paraId="2452D605">
      <w:pPr>
        <w:snapToGrid w:val="0"/>
        <w:spacing w:line="360" w:lineRule="auto"/>
        <w:ind w:firstLine="560" w:firstLineChars="200"/>
        <w:rPr>
          <w:sz w:val="28"/>
          <w:szCs w:val="28"/>
        </w:rPr>
      </w:pPr>
      <w:r>
        <w:rPr>
          <w:sz w:val="28"/>
          <w:szCs w:val="28"/>
        </w:rPr>
        <w:t>矿区的排泄河流为</w:t>
      </w:r>
      <w:r>
        <w:rPr>
          <w:rFonts w:hint="eastAsia"/>
          <w:sz w:val="28"/>
          <w:szCs w:val="28"/>
        </w:rPr>
        <w:t>阴河，阴河位于</w:t>
      </w:r>
      <w:r>
        <w:rPr>
          <w:sz w:val="28"/>
          <w:szCs w:val="28"/>
        </w:rPr>
        <w:t>矿区</w:t>
      </w:r>
      <w:r>
        <w:rPr>
          <w:rFonts w:hint="eastAsia"/>
          <w:sz w:val="28"/>
          <w:szCs w:val="28"/>
        </w:rPr>
        <w:t>北</w:t>
      </w:r>
      <w:r>
        <w:rPr>
          <w:sz w:val="28"/>
          <w:szCs w:val="28"/>
        </w:rPr>
        <w:t>侧</w:t>
      </w:r>
      <w:r>
        <w:rPr>
          <w:rFonts w:hint="eastAsia" w:ascii="宋体" w:hAnsi="宋体" w:cs="宋体"/>
          <w:spacing w:val="13"/>
          <w:sz w:val="32"/>
          <w:szCs w:val="32"/>
        </w:rPr>
        <w:t>***</w:t>
      </w:r>
      <w:r>
        <w:rPr>
          <w:sz w:val="28"/>
          <w:szCs w:val="28"/>
        </w:rPr>
        <w:t>km处</w:t>
      </w:r>
      <w:r>
        <w:rPr>
          <w:rFonts w:hint="eastAsia"/>
          <w:sz w:val="28"/>
          <w:szCs w:val="28"/>
        </w:rPr>
        <w:t>，阴河是老哈河二级支流，源起于河北省围场县庙子沟，在大庙镇那戈地入境，呈东西向横贯区内中西部，经初头朗镇至穆家营子镇老北大桥汇入锡伯河，总流域面积</w:t>
      </w:r>
      <w:r>
        <w:rPr>
          <w:rFonts w:hint="eastAsia" w:ascii="宋体" w:hAnsi="宋体" w:cs="宋体"/>
          <w:spacing w:val="13"/>
          <w:sz w:val="32"/>
          <w:szCs w:val="32"/>
        </w:rPr>
        <w:t>***</w:t>
      </w:r>
      <w:r>
        <w:rPr>
          <w:rFonts w:hint="eastAsia"/>
          <w:sz w:val="28"/>
          <w:szCs w:val="28"/>
        </w:rPr>
        <w:t>km</w:t>
      </w:r>
      <w:r>
        <w:rPr>
          <w:rFonts w:hint="eastAsia"/>
          <w:sz w:val="28"/>
          <w:szCs w:val="28"/>
          <w:vertAlign w:val="superscript"/>
        </w:rPr>
        <w:t>2</w:t>
      </w:r>
      <w:r>
        <w:rPr>
          <w:rFonts w:hint="eastAsia"/>
          <w:sz w:val="28"/>
          <w:szCs w:val="28"/>
        </w:rPr>
        <w:t>，境内流域面积</w:t>
      </w:r>
      <w:r>
        <w:rPr>
          <w:rFonts w:hint="eastAsia" w:ascii="宋体" w:hAnsi="宋体" w:cs="宋体"/>
          <w:spacing w:val="13"/>
          <w:sz w:val="32"/>
          <w:szCs w:val="32"/>
        </w:rPr>
        <w:t>***</w:t>
      </w:r>
      <w:r>
        <w:rPr>
          <w:rFonts w:hint="eastAsia"/>
          <w:sz w:val="28"/>
          <w:szCs w:val="28"/>
        </w:rPr>
        <w:t>km</w:t>
      </w:r>
      <w:r>
        <w:rPr>
          <w:rFonts w:hint="eastAsia"/>
          <w:sz w:val="28"/>
          <w:szCs w:val="28"/>
          <w:vertAlign w:val="superscript"/>
        </w:rPr>
        <w:t>2</w:t>
      </w:r>
      <w:r>
        <w:rPr>
          <w:rFonts w:hint="eastAsia"/>
          <w:sz w:val="28"/>
          <w:szCs w:val="28"/>
        </w:rPr>
        <w:t>，全长</w:t>
      </w:r>
      <w:r>
        <w:rPr>
          <w:rFonts w:hint="eastAsia" w:ascii="宋体" w:hAnsi="宋体" w:cs="宋体"/>
          <w:spacing w:val="13"/>
          <w:sz w:val="32"/>
          <w:szCs w:val="32"/>
        </w:rPr>
        <w:t>***</w:t>
      </w:r>
      <w:r>
        <w:rPr>
          <w:rFonts w:hint="eastAsia"/>
          <w:sz w:val="28"/>
          <w:szCs w:val="28"/>
        </w:rPr>
        <w:t>km，其中境内</w:t>
      </w:r>
      <w:r>
        <w:rPr>
          <w:rFonts w:hint="eastAsia" w:ascii="宋体" w:hAnsi="宋体" w:cs="宋体"/>
          <w:spacing w:val="13"/>
          <w:sz w:val="32"/>
          <w:szCs w:val="32"/>
        </w:rPr>
        <w:t>***</w:t>
      </w:r>
      <w:r>
        <w:rPr>
          <w:rFonts w:hint="eastAsia"/>
          <w:sz w:val="28"/>
          <w:szCs w:val="28"/>
        </w:rPr>
        <w:t>km，河道平均比降为</w:t>
      </w:r>
      <w:r>
        <w:rPr>
          <w:rFonts w:hint="eastAsia" w:ascii="宋体" w:hAnsi="宋体" w:cs="宋体"/>
          <w:spacing w:val="13"/>
          <w:sz w:val="32"/>
          <w:szCs w:val="32"/>
        </w:rPr>
        <w:t>***</w:t>
      </w:r>
      <w:r>
        <w:rPr>
          <w:rFonts w:hint="eastAsia"/>
          <w:sz w:val="28"/>
          <w:szCs w:val="28"/>
        </w:rPr>
        <w:t>‰，境内河道平均比降为</w:t>
      </w:r>
      <w:r>
        <w:rPr>
          <w:rFonts w:hint="eastAsia" w:ascii="宋体" w:hAnsi="宋体" w:cs="宋体"/>
          <w:spacing w:val="13"/>
          <w:sz w:val="32"/>
          <w:szCs w:val="32"/>
        </w:rPr>
        <w:t>***</w:t>
      </w:r>
      <w:r>
        <w:rPr>
          <w:rFonts w:hint="eastAsia"/>
          <w:sz w:val="28"/>
          <w:szCs w:val="28"/>
        </w:rPr>
        <w:t>‰，境内多年平均径流量</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/s，最大流量为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/d（雨季）。</w:t>
      </w:r>
    </w:p>
    <w:p w14:paraId="18E9454D">
      <w:pPr>
        <w:snapToGrid w:val="0"/>
        <w:spacing w:line="360" w:lineRule="auto"/>
        <w:ind w:firstLine="560" w:firstLineChars="200"/>
        <w:rPr>
          <w:sz w:val="28"/>
          <w:szCs w:val="28"/>
        </w:rPr>
      </w:pPr>
      <w:r>
        <w:rPr>
          <w:rFonts w:hint="eastAsia"/>
          <w:sz w:val="28"/>
          <w:szCs w:val="28"/>
        </w:rPr>
        <w:t>矿</w:t>
      </w:r>
      <w:r>
        <w:rPr>
          <w:sz w:val="28"/>
          <w:szCs w:val="28"/>
        </w:rPr>
        <w:t>区内地表无常年性水体存在，地表水系不发育，仅季节性降水部分补给地下水，大部分将通过地表汇集径流方式</w:t>
      </w:r>
      <w:r>
        <w:rPr>
          <w:rFonts w:hint="eastAsia"/>
          <w:sz w:val="28"/>
          <w:szCs w:val="28"/>
        </w:rPr>
        <w:t>流出矿区。当地最低侵蚀基准面为标高</w:t>
      </w:r>
      <w:r>
        <w:rPr>
          <w:rFonts w:hint="eastAsia" w:ascii="宋体" w:hAnsi="宋体" w:cs="宋体"/>
          <w:spacing w:val="13"/>
          <w:sz w:val="32"/>
          <w:szCs w:val="32"/>
        </w:rPr>
        <w:t xml:space="preserve">*** </w:t>
      </w:r>
      <w:r>
        <w:rPr>
          <w:rFonts w:hint="eastAsia"/>
          <w:sz w:val="28"/>
          <w:szCs w:val="28"/>
        </w:rPr>
        <w:t>m。最高洪水水位为</w:t>
      </w:r>
      <w:r>
        <w:rPr>
          <w:rFonts w:hint="eastAsia" w:ascii="宋体" w:hAnsi="宋体" w:cs="宋体"/>
          <w:spacing w:val="13"/>
          <w:sz w:val="32"/>
          <w:szCs w:val="32"/>
        </w:rPr>
        <w:t>***</w:t>
      </w:r>
      <w:r>
        <w:rPr>
          <w:rFonts w:hint="eastAsia"/>
          <w:sz w:val="28"/>
          <w:szCs w:val="28"/>
        </w:rPr>
        <w:t>m。</w:t>
      </w:r>
    </w:p>
    <w:p w14:paraId="48145963">
      <w:pPr>
        <w:snapToGrid w:val="0"/>
        <w:spacing w:line="360" w:lineRule="auto"/>
        <w:ind w:firstLine="560" w:firstLineChars="200"/>
        <w:rPr>
          <w:sz w:val="28"/>
          <w:szCs w:val="28"/>
        </w:rPr>
      </w:pPr>
      <w:r>
        <w:rPr>
          <w:rFonts w:hint="eastAsia"/>
          <w:sz w:val="28"/>
          <w:szCs w:val="28"/>
        </w:rPr>
        <w:t>根据2024年储量核实工作，矿区内施工的地质钻孔，编录结果，揭露的地层岩性为玄武岩，均不含水。根据简易水文地质观测资料显示，采坑底部最低标高为</w:t>
      </w:r>
      <w:r>
        <w:rPr>
          <w:rFonts w:hint="eastAsia" w:ascii="宋体" w:hAnsi="宋体" w:cs="宋体"/>
          <w:spacing w:val="13"/>
          <w:sz w:val="32"/>
          <w:szCs w:val="32"/>
        </w:rPr>
        <w:t>***</w:t>
      </w:r>
      <w:r>
        <w:rPr>
          <w:rFonts w:hint="eastAsia"/>
          <w:sz w:val="28"/>
          <w:szCs w:val="28"/>
        </w:rPr>
        <w:t>m，未见地下水出露。</w:t>
      </w:r>
    </w:p>
    <w:p w14:paraId="4FB61091">
      <w:pPr>
        <w:snapToGrid w:val="0"/>
        <w:spacing w:line="360" w:lineRule="auto"/>
        <w:ind w:firstLine="560" w:firstLineChars="200"/>
        <w:rPr>
          <w:sz w:val="28"/>
          <w:szCs w:val="28"/>
        </w:rPr>
      </w:pPr>
      <w:r>
        <w:rPr>
          <w:rFonts w:hint="eastAsia"/>
          <w:sz w:val="28"/>
          <w:szCs w:val="28"/>
        </w:rPr>
        <w:t>根据核实工作矿区水源井调查，井深</w:t>
      </w:r>
      <w:r>
        <w:rPr>
          <w:rFonts w:hint="eastAsia" w:ascii="宋体" w:hAnsi="宋体" w:cs="宋体"/>
          <w:spacing w:val="13"/>
          <w:sz w:val="32"/>
          <w:szCs w:val="32"/>
        </w:rPr>
        <w:t>***</w:t>
      </w:r>
      <w:r>
        <w:rPr>
          <w:rFonts w:hint="eastAsia"/>
          <w:sz w:val="28"/>
          <w:szCs w:val="28"/>
        </w:rPr>
        <w:t>m，水位埋深</w:t>
      </w:r>
      <w:r>
        <w:rPr>
          <w:rFonts w:hint="eastAsia" w:ascii="宋体" w:hAnsi="宋体" w:cs="宋体"/>
          <w:spacing w:val="13"/>
          <w:sz w:val="32"/>
          <w:szCs w:val="32"/>
        </w:rPr>
        <w:t>***</w:t>
      </w:r>
      <w:r>
        <w:rPr>
          <w:rFonts w:hint="eastAsia"/>
          <w:sz w:val="28"/>
          <w:szCs w:val="28"/>
        </w:rPr>
        <w:t>m，水位标高</w:t>
      </w:r>
      <w:r>
        <w:rPr>
          <w:rFonts w:hint="eastAsia" w:ascii="宋体" w:hAnsi="宋体" w:cs="宋体"/>
          <w:spacing w:val="13"/>
          <w:sz w:val="32"/>
          <w:szCs w:val="32"/>
        </w:rPr>
        <w:t>***</w:t>
      </w:r>
      <w:r>
        <w:rPr>
          <w:rFonts w:hint="eastAsia"/>
          <w:sz w:val="28"/>
          <w:szCs w:val="28"/>
        </w:rPr>
        <w:t>m，</w:t>
      </w:r>
      <w:r>
        <w:rPr>
          <w:rFonts w:hint="eastAsia"/>
          <w:bCs/>
          <w:sz w:val="28"/>
          <w:szCs w:val="28"/>
        </w:rPr>
        <w:t>单井涌水量一般</w:t>
      </w:r>
      <w:r>
        <w:rPr>
          <w:rFonts w:hint="eastAsia" w:ascii="宋体" w:hAnsi="宋体" w:cs="宋体"/>
          <w:spacing w:val="13"/>
          <w:sz w:val="32"/>
          <w:szCs w:val="32"/>
        </w:rPr>
        <w:t>***</w:t>
      </w:r>
      <w:r>
        <w:rPr>
          <w:rFonts w:hint="eastAsia"/>
          <w:bCs/>
          <w:sz w:val="28"/>
          <w:szCs w:val="28"/>
        </w:rPr>
        <w:t>-</w:t>
      </w:r>
      <w:r>
        <w:rPr>
          <w:rFonts w:hint="eastAsia" w:ascii="宋体" w:hAnsi="宋体" w:cs="宋体"/>
          <w:spacing w:val="13"/>
          <w:sz w:val="32"/>
          <w:szCs w:val="32"/>
        </w:rPr>
        <w:t>***</w:t>
      </w:r>
      <w:r>
        <w:rPr>
          <w:rFonts w:hint="eastAsia"/>
          <w:bCs/>
          <w:sz w:val="28"/>
          <w:szCs w:val="28"/>
        </w:rPr>
        <w:t>m</w:t>
      </w:r>
      <w:r>
        <w:rPr>
          <w:rFonts w:hint="eastAsia"/>
          <w:bCs/>
          <w:sz w:val="28"/>
          <w:szCs w:val="28"/>
          <w:vertAlign w:val="superscript"/>
        </w:rPr>
        <w:t>3</w:t>
      </w:r>
      <w:r>
        <w:rPr>
          <w:rFonts w:hint="eastAsia"/>
          <w:bCs/>
          <w:sz w:val="28"/>
          <w:szCs w:val="28"/>
        </w:rPr>
        <w:t>/d。</w:t>
      </w:r>
    </w:p>
    <w:p w14:paraId="16A67035">
      <w:pPr>
        <w:spacing w:line="360" w:lineRule="auto"/>
        <w:ind w:firstLine="562" w:firstLineChars="200"/>
        <w:outlineLvl w:val="2"/>
        <w:rPr>
          <w:b/>
          <w:bCs/>
          <w:sz w:val="28"/>
          <w:szCs w:val="28"/>
        </w:rPr>
      </w:pPr>
      <w:r>
        <w:rPr>
          <w:b/>
          <w:bCs/>
          <w:sz w:val="28"/>
          <w:szCs w:val="28"/>
        </w:rPr>
        <w:t>三、地形地貌</w:t>
      </w:r>
    </w:p>
    <w:p w14:paraId="0A2B5974">
      <w:pPr>
        <w:spacing w:line="360" w:lineRule="auto"/>
        <w:ind w:firstLine="560" w:firstLineChars="200"/>
        <w:contextualSpacing/>
        <w:jc w:val="left"/>
        <w:rPr>
          <w:kern w:val="0"/>
          <w:sz w:val="28"/>
          <w:szCs w:val="28"/>
        </w:rPr>
      </w:pPr>
      <w:r>
        <w:rPr>
          <w:kern w:val="0"/>
          <w:sz w:val="28"/>
          <w:szCs w:val="28"/>
        </w:rPr>
        <w:t>1、地形</w:t>
      </w:r>
    </w:p>
    <w:p w14:paraId="3C137375">
      <w:pPr>
        <w:adjustRightInd w:val="0"/>
        <w:snapToGrid w:val="0"/>
        <w:spacing w:line="360" w:lineRule="auto"/>
        <w:ind w:firstLine="560" w:firstLineChars="200"/>
        <w:rPr>
          <w:kern w:val="0"/>
          <w:sz w:val="28"/>
          <w:szCs w:val="28"/>
        </w:rPr>
      </w:pPr>
      <w:r>
        <w:rPr>
          <w:rFonts w:hint="eastAsia"/>
          <w:kern w:val="0"/>
          <w:sz w:val="28"/>
          <w:szCs w:val="28"/>
        </w:rPr>
        <w:t>矿区位于低山区，地形坡度总体为</w:t>
      </w:r>
      <w:r>
        <w:rPr>
          <w:rFonts w:hint="eastAsia" w:ascii="宋体" w:hAnsi="宋体" w:cs="宋体"/>
          <w:spacing w:val="13"/>
          <w:sz w:val="32"/>
          <w:szCs w:val="32"/>
        </w:rPr>
        <w:t>***</w:t>
      </w:r>
      <w:r>
        <w:rPr>
          <w:rFonts w:hint="eastAsia"/>
          <w:kern w:val="0"/>
          <w:sz w:val="28"/>
          <w:szCs w:val="28"/>
        </w:rPr>
        <w:t>°，海拔</w:t>
      </w:r>
      <w:r>
        <w:rPr>
          <w:rFonts w:hint="eastAsia" w:ascii="宋体" w:hAnsi="宋体" w:cs="宋体"/>
          <w:spacing w:val="13"/>
          <w:sz w:val="32"/>
          <w:szCs w:val="32"/>
        </w:rPr>
        <w:t>***</w:t>
      </w:r>
      <w:r>
        <w:rPr>
          <w:rFonts w:hint="eastAsia"/>
          <w:kern w:val="0"/>
          <w:sz w:val="28"/>
          <w:szCs w:val="28"/>
        </w:rPr>
        <w:t>-</w:t>
      </w:r>
      <w:r>
        <w:rPr>
          <w:rFonts w:hint="eastAsia" w:ascii="宋体" w:hAnsi="宋体" w:cs="宋体"/>
          <w:spacing w:val="13"/>
          <w:sz w:val="32"/>
          <w:szCs w:val="32"/>
        </w:rPr>
        <w:t>***</w:t>
      </w:r>
      <w:r>
        <w:rPr>
          <w:rFonts w:hint="eastAsia"/>
          <w:kern w:val="0"/>
          <w:sz w:val="28"/>
          <w:szCs w:val="28"/>
        </w:rPr>
        <w:t>m，相对高差</w:t>
      </w:r>
      <w:r>
        <w:rPr>
          <w:rFonts w:hint="eastAsia" w:ascii="宋体" w:hAnsi="宋体" w:cs="宋体"/>
          <w:spacing w:val="13"/>
          <w:sz w:val="32"/>
          <w:szCs w:val="32"/>
        </w:rPr>
        <w:t>***</w:t>
      </w:r>
      <w:r>
        <w:rPr>
          <w:rFonts w:hint="eastAsia"/>
          <w:kern w:val="0"/>
          <w:sz w:val="28"/>
          <w:szCs w:val="28"/>
        </w:rPr>
        <w:t>m，矿区全区基岩裸露。最高点位于矿区南东部，海拔高度</w:t>
      </w:r>
      <w:r>
        <w:rPr>
          <w:rFonts w:hint="eastAsia" w:ascii="宋体" w:hAnsi="宋体" w:cs="宋体"/>
          <w:spacing w:val="13"/>
          <w:sz w:val="32"/>
          <w:szCs w:val="32"/>
        </w:rPr>
        <w:t>***</w:t>
      </w:r>
      <w:r>
        <w:rPr>
          <w:rFonts w:hint="eastAsia"/>
          <w:kern w:val="0"/>
          <w:sz w:val="28"/>
          <w:szCs w:val="28"/>
        </w:rPr>
        <w:t>m，最低点位于矿区南西部，海拔高度</w:t>
      </w:r>
      <w:r>
        <w:rPr>
          <w:rFonts w:hint="eastAsia" w:ascii="宋体" w:hAnsi="宋体" w:cs="宋体"/>
          <w:spacing w:val="13"/>
          <w:sz w:val="32"/>
          <w:szCs w:val="32"/>
        </w:rPr>
        <w:t>***</w:t>
      </w:r>
      <w:r>
        <w:rPr>
          <w:rFonts w:hint="eastAsia"/>
          <w:kern w:val="0"/>
          <w:sz w:val="28"/>
          <w:szCs w:val="28"/>
        </w:rPr>
        <w:t>m。最低点位于矿区</w:t>
      </w:r>
      <w:r>
        <w:rPr>
          <w:rFonts w:hint="eastAsia"/>
          <w:sz w:val="28"/>
          <w:szCs w:val="28"/>
        </w:rPr>
        <w:t>最低侵蚀基准面（</w:t>
      </w:r>
      <w:r>
        <w:rPr>
          <w:rFonts w:hint="eastAsia" w:ascii="宋体" w:hAnsi="宋体" w:cs="宋体"/>
          <w:spacing w:val="13"/>
          <w:sz w:val="32"/>
          <w:szCs w:val="32"/>
        </w:rPr>
        <w:t>***</w:t>
      </w:r>
      <w:r>
        <w:rPr>
          <w:rFonts w:hint="eastAsia"/>
          <w:sz w:val="28"/>
          <w:szCs w:val="28"/>
        </w:rPr>
        <w:t>m）之上。</w:t>
      </w:r>
    </w:p>
    <w:p w14:paraId="514131CF">
      <w:pPr>
        <w:adjustRightInd w:val="0"/>
        <w:snapToGrid w:val="0"/>
        <w:spacing w:line="360" w:lineRule="auto"/>
        <w:ind w:firstLine="560" w:firstLineChars="200"/>
        <w:rPr>
          <w:sz w:val="28"/>
          <w:szCs w:val="28"/>
        </w:rPr>
      </w:pPr>
      <w:r>
        <w:rPr>
          <w:sz w:val="28"/>
          <w:szCs w:val="28"/>
        </w:rPr>
        <w:t>2、地貌</w:t>
      </w:r>
    </w:p>
    <w:p w14:paraId="4D20B807">
      <w:pPr>
        <w:adjustRightInd w:val="0"/>
        <w:snapToGrid w:val="0"/>
        <w:spacing w:line="360" w:lineRule="auto"/>
        <w:ind w:firstLine="560" w:firstLineChars="200"/>
        <w:rPr>
          <w:sz w:val="28"/>
          <w:szCs w:val="28"/>
        </w:rPr>
      </w:pPr>
      <w:r>
        <w:rPr>
          <w:rFonts w:hint="eastAsia"/>
          <w:sz w:val="28"/>
          <w:szCs w:val="28"/>
        </w:rPr>
        <w:t>矿区地貌类型为</w:t>
      </w:r>
      <w:r>
        <w:rPr>
          <w:rFonts w:hint="eastAsia"/>
          <w:kern w:val="0"/>
          <w:sz w:val="28"/>
          <w:szCs w:val="28"/>
        </w:rPr>
        <w:t>低</w:t>
      </w:r>
      <w:r>
        <w:rPr>
          <w:rFonts w:hint="eastAsia"/>
          <w:sz w:val="28"/>
          <w:szCs w:val="28"/>
        </w:rPr>
        <w:t>山，沟谷不发育。山顶呈浑圆状或长梁状，顶部基岩裸露，岩性主要为玄武岩，山坡第四系松散堆积物覆盖较厚，植被较发育。（见照片2-1）。</w:t>
      </w:r>
    </w:p>
    <w:p w14:paraId="7B40B89C">
      <w:pPr>
        <w:adjustRightInd w:val="0"/>
        <w:snapToGrid w:val="0"/>
        <w:jc w:val="center"/>
        <w:rPr>
          <w:rFonts w:eastAsia="黑体"/>
          <w:sz w:val="24"/>
          <w:szCs w:val="24"/>
        </w:rPr>
      </w:pPr>
      <w:r>
        <w:rPr>
          <w:rFonts w:hint="eastAsia" w:eastAsia="黑体"/>
          <w:sz w:val="24"/>
          <w:szCs w:val="24"/>
        </w:rPr>
        <w:t>照片2-1  低山地貌</w:t>
      </w:r>
    </w:p>
    <w:p w14:paraId="7CF7313A">
      <w:pPr>
        <w:spacing w:line="360" w:lineRule="auto"/>
        <w:ind w:firstLine="562" w:firstLineChars="200"/>
        <w:outlineLvl w:val="2"/>
        <w:rPr>
          <w:b/>
          <w:bCs/>
          <w:sz w:val="28"/>
          <w:szCs w:val="28"/>
        </w:rPr>
      </w:pPr>
      <w:bookmarkStart w:id="52" w:name="_Toc167507414"/>
      <w:bookmarkStart w:id="53" w:name="_Toc201382306"/>
      <w:bookmarkStart w:id="54" w:name="_Toc195060759"/>
      <w:bookmarkStart w:id="55" w:name="_Toc142294646"/>
      <w:bookmarkStart w:id="56" w:name="_Toc144082148"/>
      <w:bookmarkStart w:id="57" w:name="_Toc183166144"/>
      <w:r>
        <w:rPr>
          <w:b/>
          <w:bCs/>
          <w:sz w:val="28"/>
          <w:szCs w:val="28"/>
        </w:rPr>
        <w:t>四、植被</w:t>
      </w:r>
    </w:p>
    <w:p w14:paraId="32288850">
      <w:pPr>
        <w:adjustRightInd w:val="0"/>
        <w:snapToGrid w:val="0"/>
        <w:spacing w:line="360" w:lineRule="auto"/>
        <w:ind w:firstLine="560" w:firstLineChars="200"/>
        <w:rPr>
          <w:sz w:val="28"/>
          <w:szCs w:val="28"/>
        </w:rPr>
      </w:pPr>
      <w:r>
        <w:rPr>
          <w:sz w:val="28"/>
          <w:szCs w:val="28"/>
        </w:rPr>
        <w:t>1、植被类型</w:t>
      </w:r>
    </w:p>
    <w:p w14:paraId="580243D8">
      <w:pPr>
        <w:adjustRightInd w:val="0"/>
        <w:snapToGrid w:val="0"/>
        <w:spacing w:line="360" w:lineRule="auto"/>
        <w:ind w:firstLine="560" w:firstLineChars="200"/>
        <w:rPr>
          <w:sz w:val="28"/>
          <w:szCs w:val="28"/>
        </w:rPr>
      </w:pPr>
      <w:r>
        <w:rPr>
          <w:rFonts w:hint="eastAsia"/>
          <w:sz w:val="28"/>
          <w:szCs w:val="28"/>
        </w:rPr>
        <w:t>矿区属半干旱气候地区，植被发育一般，植被类型较单一，主要为草本植物，以针茅、羊草、蒿类植被为主，高</w:t>
      </w:r>
      <w:r>
        <w:rPr>
          <w:rFonts w:hint="eastAsia" w:ascii="宋体" w:hAnsi="宋体" w:cs="宋体"/>
          <w:spacing w:val="13"/>
          <w:sz w:val="32"/>
          <w:szCs w:val="32"/>
        </w:rPr>
        <w:t>***</w:t>
      </w:r>
      <w:r>
        <w:rPr>
          <w:rFonts w:hint="eastAsia"/>
          <w:sz w:val="28"/>
          <w:szCs w:val="28"/>
        </w:rPr>
        <w:t>m左右。木本植被分布较少，本要为山杨树及松树，高</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m，植被覆盖率为</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%，见照片2-2。</w:t>
      </w:r>
    </w:p>
    <w:p w14:paraId="69F1AD0D">
      <w:pPr>
        <w:adjustRightInd w:val="0"/>
        <w:snapToGrid w:val="0"/>
        <w:jc w:val="center"/>
        <w:rPr>
          <w:sz w:val="28"/>
          <w:szCs w:val="28"/>
        </w:rPr>
      </w:pPr>
    </w:p>
    <w:p w14:paraId="7788C807">
      <w:pPr>
        <w:adjustRightInd w:val="0"/>
        <w:snapToGrid w:val="0"/>
        <w:jc w:val="center"/>
        <w:rPr>
          <w:rFonts w:eastAsia="黑体"/>
          <w:sz w:val="24"/>
          <w:szCs w:val="24"/>
        </w:rPr>
      </w:pPr>
      <w:r>
        <w:rPr>
          <w:rFonts w:eastAsia="黑体"/>
          <w:sz w:val="24"/>
          <w:szCs w:val="24"/>
        </w:rPr>
        <w:t>照片2-</w:t>
      </w:r>
      <w:r>
        <w:rPr>
          <w:rFonts w:hint="eastAsia" w:eastAsia="黑体"/>
          <w:sz w:val="24"/>
          <w:szCs w:val="24"/>
        </w:rPr>
        <w:t>2</w:t>
      </w:r>
      <w:r>
        <w:rPr>
          <w:rFonts w:eastAsia="黑体"/>
          <w:sz w:val="24"/>
          <w:szCs w:val="24"/>
        </w:rPr>
        <w:t xml:space="preserve">  矿区植被</w:t>
      </w:r>
    </w:p>
    <w:bookmarkEnd w:id="52"/>
    <w:bookmarkEnd w:id="53"/>
    <w:bookmarkEnd w:id="54"/>
    <w:bookmarkEnd w:id="55"/>
    <w:bookmarkEnd w:id="56"/>
    <w:bookmarkEnd w:id="57"/>
    <w:p w14:paraId="556E9B7E">
      <w:pPr>
        <w:spacing w:line="360" w:lineRule="auto"/>
        <w:ind w:firstLine="562" w:firstLineChars="200"/>
        <w:outlineLvl w:val="2"/>
        <w:rPr>
          <w:b/>
          <w:bCs/>
          <w:sz w:val="28"/>
          <w:szCs w:val="28"/>
        </w:rPr>
      </w:pPr>
      <w:r>
        <w:rPr>
          <w:b/>
          <w:bCs/>
          <w:sz w:val="28"/>
          <w:szCs w:val="28"/>
        </w:rPr>
        <w:t>五、土壤</w:t>
      </w:r>
    </w:p>
    <w:p w14:paraId="0F5020CB">
      <w:pPr>
        <w:adjustRightInd w:val="0"/>
        <w:snapToGrid w:val="0"/>
        <w:spacing w:line="360" w:lineRule="auto"/>
        <w:ind w:firstLine="560" w:firstLineChars="200"/>
        <w:rPr>
          <w:sz w:val="28"/>
          <w:szCs w:val="28"/>
        </w:rPr>
      </w:pPr>
      <w:r>
        <w:rPr>
          <w:rFonts w:hint="eastAsia"/>
          <w:sz w:val="28"/>
          <w:szCs w:val="28"/>
        </w:rPr>
        <w:t>项目区位于低山区，地表被黄土和风成砂覆盖，土层厚度</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 xml:space="preserve">*** </w:t>
      </w:r>
      <w:r>
        <w:rPr>
          <w:rFonts w:hint="eastAsia"/>
          <w:sz w:val="28"/>
          <w:szCs w:val="28"/>
        </w:rPr>
        <w:t>m，黄土层中的上部多见碎石、砾石、砂砾夹层，土壤质地为沙壌，土壤容重在</w:t>
      </w:r>
      <w:r>
        <w:rPr>
          <w:rFonts w:hint="eastAsia" w:ascii="宋体" w:hAnsi="宋体" w:cs="宋体"/>
          <w:spacing w:val="13"/>
          <w:sz w:val="32"/>
          <w:szCs w:val="32"/>
        </w:rPr>
        <w:t>***</w:t>
      </w:r>
      <w:r>
        <w:rPr>
          <w:rFonts w:hint="eastAsia"/>
          <w:sz w:val="28"/>
          <w:szCs w:val="28"/>
        </w:rPr>
        <w:t>g/cm</w:t>
      </w:r>
      <w:r>
        <w:rPr>
          <w:rFonts w:hint="eastAsia"/>
          <w:sz w:val="28"/>
          <w:szCs w:val="28"/>
          <w:vertAlign w:val="superscript"/>
        </w:rPr>
        <w:t>3</w:t>
      </w:r>
      <w:r>
        <w:rPr>
          <w:rFonts w:hint="eastAsia"/>
          <w:sz w:val="28"/>
          <w:szCs w:val="28"/>
        </w:rPr>
        <w:t>左右，有机质含量</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％，pH在</w:t>
      </w:r>
      <w:r>
        <w:rPr>
          <w:rFonts w:hint="eastAsia" w:ascii="宋体" w:hAnsi="宋体" w:cs="宋体"/>
          <w:spacing w:val="13"/>
          <w:sz w:val="32"/>
          <w:szCs w:val="32"/>
        </w:rPr>
        <w:t>***</w:t>
      </w:r>
      <w:r>
        <w:rPr>
          <w:rFonts w:hint="eastAsia"/>
          <w:sz w:val="28"/>
          <w:szCs w:val="28"/>
        </w:rPr>
        <w:t>左右，土壤质地疏松、多孔，胶结物质、粘粒成分含量较低，土壤的抗蚀性和抗冲性较弱，肥力一般。</w:t>
      </w:r>
      <w:r>
        <w:rPr>
          <w:sz w:val="28"/>
          <w:szCs w:val="28"/>
        </w:rPr>
        <w:t>（见照片2-</w:t>
      </w:r>
      <w:r>
        <w:rPr>
          <w:rFonts w:hint="eastAsia"/>
          <w:sz w:val="28"/>
          <w:szCs w:val="28"/>
        </w:rPr>
        <w:t>3</w:t>
      </w:r>
      <w:r>
        <w:rPr>
          <w:sz w:val="28"/>
          <w:szCs w:val="28"/>
        </w:rPr>
        <w:t>）。</w:t>
      </w:r>
    </w:p>
    <w:p w14:paraId="1006D46E">
      <w:pPr>
        <w:pStyle w:val="88"/>
        <w:snapToGrid w:val="0"/>
        <w:jc w:val="both"/>
        <w:rPr>
          <w:rFonts w:ascii="Times New Roman" w:cs="Times New Roman"/>
          <w:color w:val="auto"/>
        </w:rPr>
      </w:pPr>
    </w:p>
    <w:p w14:paraId="71103AC7">
      <w:pPr>
        <w:spacing w:line="360" w:lineRule="auto"/>
        <w:ind w:firstLine="480" w:firstLineChars="200"/>
        <w:jc w:val="center"/>
        <w:rPr>
          <w:rFonts w:eastAsia="黑体"/>
          <w:sz w:val="24"/>
          <w:szCs w:val="24"/>
        </w:rPr>
      </w:pPr>
      <w:r>
        <w:rPr>
          <w:rFonts w:eastAsia="黑体"/>
          <w:sz w:val="24"/>
          <w:szCs w:val="24"/>
        </w:rPr>
        <w:t>照片2-</w:t>
      </w:r>
      <w:r>
        <w:rPr>
          <w:rFonts w:hint="eastAsia" w:eastAsia="黑体"/>
          <w:sz w:val="24"/>
          <w:szCs w:val="24"/>
        </w:rPr>
        <w:t>3</w:t>
      </w:r>
      <w:r>
        <w:rPr>
          <w:rFonts w:eastAsia="黑体"/>
          <w:sz w:val="24"/>
          <w:szCs w:val="24"/>
        </w:rPr>
        <w:t xml:space="preserve">  土壤剖面</w:t>
      </w:r>
    </w:p>
    <w:p w14:paraId="16ABD4B0">
      <w:pPr>
        <w:pStyle w:val="4"/>
        <w:spacing w:before="120" w:beforeLines="50"/>
        <w:rPr>
          <w:rFonts w:ascii="Times New Roman" w:hAnsi="Times New Roman"/>
        </w:rPr>
      </w:pPr>
      <w:bookmarkStart w:id="58" w:name="_Toc16426"/>
      <w:r>
        <w:rPr>
          <w:rFonts w:ascii="Times New Roman" w:hAnsi="Times New Roman"/>
        </w:rPr>
        <w:t>第二节  社会经济概况</w:t>
      </w:r>
      <w:bookmarkEnd w:id="58"/>
    </w:p>
    <w:p w14:paraId="590B2918">
      <w:pPr>
        <w:spacing w:line="360" w:lineRule="auto"/>
        <w:ind w:firstLine="560" w:firstLineChars="200"/>
        <w:rPr>
          <w:sz w:val="28"/>
          <w:szCs w:val="28"/>
        </w:rPr>
      </w:pPr>
      <w:r>
        <w:rPr>
          <w:rFonts w:hint="eastAsia"/>
          <w:sz w:val="28"/>
          <w:szCs w:val="28"/>
        </w:rPr>
        <w:t>矿区位于赤峰市松山区，2025年，全区地区生产总值完成</w:t>
      </w:r>
      <w:r>
        <w:rPr>
          <w:rFonts w:hint="eastAsia" w:ascii="宋体" w:hAnsi="宋体" w:cs="宋体"/>
          <w:spacing w:val="13"/>
          <w:sz w:val="32"/>
          <w:szCs w:val="32"/>
        </w:rPr>
        <w:t>***</w:t>
      </w:r>
      <w:r>
        <w:rPr>
          <w:rFonts w:hint="eastAsia"/>
          <w:sz w:val="28"/>
          <w:szCs w:val="28"/>
        </w:rPr>
        <w:t>亿元，按不变价格计算，比上年增长</w:t>
      </w:r>
      <w:r>
        <w:rPr>
          <w:rFonts w:hint="eastAsia" w:ascii="宋体" w:hAnsi="宋体" w:cs="宋体"/>
          <w:spacing w:val="13"/>
          <w:sz w:val="32"/>
          <w:szCs w:val="32"/>
        </w:rPr>
        <w:t>***</w:t>
      </w:r>
      <w:r>
        <w:rPr>
          <w:rFonts w:hint="eastAsia"/>
          <w:sz w:val="28"/>
          <w:szCs w:val="28"/>
        </w:rPr>
        <w:t>%。</w:t>
      </w:r>
    </w:p>
    <w:p w14:paraId="1C3470A9">
      <w:pPr>
        <w:spacing w:line="360" w:lineRule="auto"/>
        <w:ind w:firstLine="560" w:firstLineChars="200"/>
        <w:rPr>
          <w:sz w:val="28"/>
          <w:szCs w:val="28"/>
        </w:rPr>
      </w:pPr>
      <w:r>
        <w:rPr>
          <w:rFonts w:hint="eastAsia"/>
          <w:sz w:val="28"/>
          <w:szCs w:val="28"/>
        </w:rPr>
        <w:t>矿区所在地为松山区大庙镇辖区内的和平营子村。当地人口构成中，以汉族为主，当地居民主要从事农业和牧业生产，剩余劳动力较多，工业用工劳动力充足。人均耕地面积</w:t>
      </w:r>
      <w:r>
        <w:rPr>
          <w:rFonts w:hint="eastAsia" w:ascii="宋体" w:hAnsi="宋体" w:cs="宋体"/>
          <w:spacing w:val="13"/>
          <w:sz w:val="32"/>
          <w:szCs w:val="32"/>
        </w:rPr>
        <w:t>***</w:t>
      </w:r>
      <w:r>
        <w:rPr>
          <w:rFonts w:hint="eastAsia"/>
          <w:sz w:val="28"/>
          <w:szCs w:val="28"/>
        </w:rPr>
        <w:t>hm</w:t>
      </w:r>
      <w:r>
        <w:rPr>
          <w:rFonts w:hint="eastAsia"/>
          <w:sz w:val="28"/>
          <w:szCs w:val="28"/>
          <w:vertAlign w:val="superscript"/>
        </w:rPr>
        <w:t>2</w:t>
      </w:r>
      <w:r>
        <w:rPr>
          <w:rFonts w:hint="eastAsia"/>
          <w:sz w:val="28"/>
          <w:szCs w:val="28"/>
        </w:rPr>
        <w:t>，当地经济作物以蔬菜、谷类、玉米等为主。畜牧业以饲养生猪、羊、牛、家禽为主。近几年在开发矿产资源的大环境下，政府及有关部门出台相应的优惠政策，具备了良好的投资环境，吸引了比较多的投资商到该区进行投资探矿，对当地经济发展起到了拉动作用。</w:t>
      </w:r>
    </w:p>
    <w:p w14:paraId="22D2CF4D">
      <w:pPr>
        <w:spacing w:line="360" w:lineRule="auto"/>
        <w:ind w:firstLine="560" w:firstLineChars="200"/>
        <w:rPr>
          <w:sz w:val="28"/>
          <w:szCs w:val="28"/>
        </w:rPr>
      </w:pPr>
      <w:r>
        <w:rPr>
          <w:rFonts w:hint="eastAsia"/>
          <w:sz w:val="28"/>
          <w:szCs w:val="28"/>
        </w:rPr>
        <w:t>当地农业和工业用电均由东北电网提供，农业用的10kv高压线路已通达矿区。当地村民饮用水源为机电井，较充足。移动通讯网络已覆盖矿区内，外部投资建设环境良好。</w:t>
      </w:r>
    </w:p>
    <w:p w14:paraId="0C677087">
      <w:pPr>
        <w:spacing w:line="360" w:lineRule="auto"/>
        <w:ind w:firstLine="560" w:firstLineChars="200"/>
        <w:rPr>
          <w:sz w:val="28"/>
          <w:szCs w:val="28"/>
        </w:rPr>
      </w:pPr>
      <w:r>
        <w:rPr>
          <w:rFonts w:hint="eastAsia"/>
          <w:sz w:val="28"/>
          <w:szCs w:val="28"/>
        </w:rPr>
        <w:t>矿区及其附近无重要水源地，无各类自然保护区、地质遗迹、文物古迹、古村落、历史文化保护区、风景名胜区。</w:t>
      </w:r>
    </w:p>
    <w:p w14:paraId="77549D51">
      <w:pPr>
        <w:pStyle w:val="4"/>
        <w:spacing w:before="120" w:beforeLines="50"/>
        <w:rPr>
          <w:rFonts w:ascii="Times New Roman" w:hAnsi="Times New Roman"/>
        </w:rPr>
      </w:pPr>
      <w:bookmarkStart w:id="59" w:name="_Toc16748"/>
      <w:r>
        <w:rPr>
          <w:rFonts w:ascii="Times New Roman" w:hAnsi="Times New Roman"/>
        </w:rPr>
        <w:t>第三节  矿区地质环境背景</w:t>
      </w:r>
      <w:bookmarkEnd w:id="59"/>
    </w:p>
    <w:p w14:paraId="04242810">
      <w:pPr>
        <w:spacing w:line="360" w:lineRule="auto"/>
        <w:ind w:firstLine="562" w:firstLineChars="200"/>
        <w:outlineLvl w:val="2"/>
        <w:rPr>
          <w:b/>
          <w:bCs/>
          <w:sz w:val="28"/>
          <w:szCs w:val="28"/>
        </w:rPr>
      </w:pPr>
      <w:r>
        <w:rPr>
          <w:b/>
          <w:bCs/>
          <w:sz w:val="28"/>
          <w:szCs w:val="28"/>
        </w:rPr>
        <w:t>一、区域地质概况</w:t>
      </w:r>
    </w:p>
    <w:p w14:paraId="7A219632">
      <w:pPr>
        <w:topLinePunct/>
        <w:spacing w:line="360" w:lineRule="auto"/>
        <w:ind w:firstLine="560" w:firstLineChars="200"/>
        <w:rPr>
          <w:sz w:val="28"/>
          <w:szCs w:val="28"/>
        </w:rPr>
      </w:pPr>
      <w:r>
        <w:rPr>
          <w:rFonts w:hint="eastAsia"/>
          <w:sz w:val="28"/>
          <w:szCs w:val="28"/>
        </w:rPr>
        <w:t>该区大地构造位置属华北板块（Ⅳ），华北板块北部陆缘增生带（Ⅳ</w:t>
      </w:r>
      <w:r>
        <w:rPr>
          <w:rFonts w:hint="eastAsia"/>
          <w:sz w:val="28"/>
          <w:szCs w:val="28"/>
          <w:vertAlign w:val="subscript"/>
        </w:rPr>
        <w:t>1</w:t>
      </w:r>
      <w:r>
        <w:rPr>
          <w:rFonts w:hint="eastAsia"/>
          <w:sz w:val="28"/>
          <w:szCs w:val="28"/>
        </w:rPr>
        <w:t>）镶黄旗-赤峰火山型被动陆缘(Ⅳ</w:t>
      </w:r>
      <w:r>
        <w:rPr>
          <w:rFonts w:hint="eastAsia"/>
          <w:sz w:val="28"/>
          <w:szCs w:val="28"/>
          <w:vertAlign w:val="subscript"/>
        </w:rPr>
        <w:t>1</w:t>
      </w:r>
      <w:r>
        <w:rPr>
          <w:sz w:val="28"/>
          <w:szCs w:val="28"/>
          <w:vertAlign w:val="superscript"/>
        </w:rPr>
        <w:t>2</w:t>
      </w:r>
      <w:r>
        <w:rPr>
          <w:rFonts w:hint="eastAsia"/>
          <w:sz w:val="28"/>
          <w:szCs w:val="28"/>
        </w:rPr>
        <w:t xml:space="preserve">)，是由北东向压性及压扭性大断裂构成的断陷盆地，呈北东向带状断续分布。                       </w:t>
      </w:r>
    </w:p>
    <w:p w14:paraId="758BF8B1">
      <w:pPr>
        <w:topLinePunct/>
        <w:spacing w:line="360" w:lineRule="auto"/>
        <w:ind w:left="0" w:leftChars="-67" w:hanging="141" w:hangingChars="59"/>
        <w:jc w:val="center"/>
        <w:rPr>
          <w:rFonts w:hint="eastAsia" w:ascii="黑体" w:hAnsi="黑体" w:eastAsia="黑体"/>
          <w:sz w:val="24"/>
          <w:szCs w:val="24"/>
        </w:rPr>
      </w:pPr>
      <w:r>
        <w:rPr>
          <w:rFonts w:hint="eastAsia" w:ascii="黑体" w:hAnsi="黑体" w:eastAsia="黑体"/>
          <w:sz w:val="24"/>
          <w:szCs w:val="24"/>
        </w:rPr>
        <w:t>图2-2  区域大地构造图</w:t>
      </w:r>
    </w:p>
    <w:p w14:paraId="15D09A4F">
      <w:pPr>
        <w:topLinePunct/>
        <w:spacing w:line="360" w:lineRule="auto"/>
        <w:ind w:firstLine="560" w:firstLineChars="200"/>
        <w:rPr>
          <w:sz w:val="28"/>
          <w:szCs w:val="28"/>
        </w:rPr>
      </w:pPr>
      <w:r>
        <w:rPr>
          <w:rFonts w:hint="eastAsia"/>
          <w:sz w:val="28"/>
          <w:szCs w:val="28"/>
        </w:rPr>
        <w:t>（一）</w:t>
      </w:r>
      <w:r>
        <w:rPr>
          <w:sz w:val="28"/>
          <w:szCs w:val="28"/>
        </w:rPr>
        <w:t>区域地层</w:t>
      </w:r>
    </w:p>
    <w:p w14:paraId="7EBC93D9">
      <w:pPr>
        <w:topLinePunct/>
        <w:spacing w:line="360" w:lineRule="auto"/>
        <w:ind w:firstLine="560" w:firstLineChars="200"/>
        <w:rPr>
          <w:sz w:val="28"/>
          <w:szCs w:val="28"/>
        </w:rPr>
      </w:pPr>
      <w:r>
        <w:rPr>
          <w:rFonts w:hint="eastAsia"/>
          <w:sz w:val="28"/>
          <w:szCs w:val="28"/>
        </w:rPr>
        <w:t>该区出露太古代地层区划隶属华北地层大区，赤峰--哈尔滨地层区，赤峰地层分区；中、新生代地层区划为滨太平洋地层区，大兴安岭--燕山地层分区、乌兰浩特--赤峰地层小区。</w:t>
      </w:r>
    </w:p>
    <w:p w14:paraId="2380F328">
      <w:pPr>
        <w:topLinePunct/>
        <w:spacing w:line="360" w:lineRule="auto"/>
        <w:ind w:firstLine="560" w:firstLineChars="200"/>
        <w:rPr>
          <w:sz w:val="28"/>
          <w:szCs w:val="28"/>
        </w:rPr>
      </w:pPr>
      <w:r>
        <w:rPr>
          <w:rFonts w:hint="eastAsia"/>
          <w:sz w:val="28"/>
          <w:szCs w:val="28"/>
        </w:rPr>
        <w:t>本区域出露的地层由老到新主要有：中太古界</w:t>
      </w:r>
      <w:bookmarkStart w:id="60" w:name="_Hlk185441683"/>
      <w:r>
        <w:rPr>
          <w:rFonts w:hint="eastAsia"/>
          <w:sz w:val="28"/>
          <w:szCs w:val="28"/>
        </w:rPr>
        <w:t>乌拉山群 (Ar</w:t>
      </w:r>
      <w:r>
        <w:rPr>
          <w:rFonts w:hint="eastAsia"/>
          <w:sz w:val="28"/>
          <w:szCs w:val="28"/>
          <w:vertAlign w:val="subscript"/>
        </w:rPr>
        <w:t>2</w:t>
      </w:r>
      <w:r>
        <w:rPr>
          <w:rFonts w:hint="eastAsia"/>
          <w:sz w:val="28"/>
          <w:szCs w:val="28"/>
        </w:rPr>
        <w:t>W)</w:t>
      </w:r>
      <w:bookmarkEnd w:id="60"/>
      <w:r>
        <w:rPr>
          <w:rFonts w:hint="eastAsia"/>
          <w:sz w:val="28"/>
          <w:szCs w:val="28"/>
        </w:rPr>
        <w:t>、侏罗系上统白音高老组(J</w:t>
      </w:r>
      <w:r>
        <w:rPr>
          <w:rFonts w:hint="eastAsia"/>
          <w:sz w:val="28"/>
          <w:szCs w:val="28"/>
          <w:vertAlign w:val="subscript"/>
        </w:rPr>
        <w:t>3</w:t>
      </w:r>
      <w:r>
        <w:rPr>
          <w:rFonts w:hint="eastAsia"/>
          <w:i/>
          <w:iCs/>
          <w:sz w:val="28"/>
          <w:szCs w:val="28"/>
        </w:rPr>
        <w:t>b</w:t>
      </w:r>
      <w:r>
        <w:rPr>
          <w:rFonts w:hint="eastAsia"/>
          <w:sz w:val="28"/>
          <w:szCs w:val="28"/>
        </w:rPr>
        <w:t>)、侏罗系上统玛尼吐组(J</w:t>
      </w:r>
      <w:r>
        <w:rPr>
          <w:rFonts w:hint="eastAsia"/>
          <w:sz w:val="28"/>
          <w:szCs w:val="28"/>
          <w:vertAlign w:val="subscript"/>
        </w:rPr>
        <w:t>3</w:t>
      </w:r>
      <w:r>
        <w:rPr>
          <w:rFonts w:hint="eastAsia"/>
          <w:i/>
          <w:iCs/>
          <w:sz w:val="28"/>
          <w:szCs w:val="28"/>
        </w:rPr>
        <w:t>mn</w:t>
      </w:r>
      <w:r>
        <w:rPr>
          <w:rFonts w:hint="eastAsia"/>
          <w:sz w:val="28"/>
          <w:szCs w:val="28"/>
        </w:rPr>
        <w:t>)、</w:t>
      </w:r>
      <w:bookmarkStart w:id="61" w:name="_Hlk185441852"/>
      <w:r>
        <w:rPr>
          <w:rFonts w:hint="eastAsia"/>
          <w:sz w:val="28"/>
          <w:szCs w:val="28"/>
        </w:rPr>
        <w:t>上统土城子组(J</w:t>
      </w:r>
      <w:r>
        <w:rPr>
          <w:rFonts w:hint="eastAsia"/>
          <w:sz w:val="28"/>
          <w:szCs w:val="28"/>
          <w:vertAlign w:val="subscript"/>
        </w:rPr>
        <w:t>3</w:t>
      </w:r>
      <w:r>
        <w:rPr>
          <w:rFonts w:hint="eastAsia"/>
          <w:i/>
          <w:iCs/>
          <w:sz w:val="28"/>
          <w:szCs w:val="28"/>
        </w:rPr>
        <w:t>t</w:t>
      </w:r>
      <w:r>
        <w:rPr>
          <w:rFonts w:hint="eastAsia"/>
          <w:sz w:val="28"/>
          <w:szCs w:val="28"/>
        </w:rPr>
        <w:t>)</w:t>
      </w:r>
      <w:bookmarkEnd w:id="61"/>
      <w:r>
        <w:rPr>
          <w:rFonts w:hint="eastAsia"/>
          <w:sz w:val="28"/>
          <w:szCs w:val="28"/>
        </w:rPr>
        <w:t>、</w:t>
      </w:r>
      <w:bookmarkStart w:id="62" w:name="_Hlk185516455"/>
      <w:r>
        <w:rPr>
          <w:rFonts w:hint="eastAsia"/>
          <w:sz w:val="28"/>
          <w:szCs w:val="28"/>
        </w:rPr>
        <w:t>白垩系下统义县组(K</w:t>
      </w:r>
      <w:r>
        <w:rPr>
          <w:rFonts w:hint="eastAsia"/>
          <w:sz w:val="28"/>
          <w:szCs w:val="28"/>
          <w:vertAlign w:val="subscript"/>
        </w:rPr>
        <w:t>3</w:t>
      </w:r>
      <w:r>
        <w:rPr>
          <w:rFonts w:hint="eastAsia"/>
          <w:i/>
          <w:iCs/>
          <w:sz w:val="28"/>
          <w:szCs w:val="28"/>
        </w:rPr>
        <w:t>y</w:t>
      </w:r>
      <w:r>
        <w:rPr>
          <w:rFonts w:hint="eastAsia"/>
          <w:sz w:val="28"/>
          <w:szCs w:val="28"/>
        </w:rPr>
        <w:t>)</w:t>
      </w:r>
      <w:bookmarkEnd w:id="62"/>
      <w:r>
        <w:rPr>
          <w:rFonts w:hint="eastAsia"/>
          <w:sz w:val="28"/>
          <w:szCs w:val="28"/>
        </w:rPr>
        <w:t>，新近系汉诺坝组(N</w:t>
      </w:r>
      <w:r>
        <w:rPr>
          <w:rFonts w:hint="eastAsia"/>
          <w:sz w:val="28"/>
          <w:szCs w:val="28"/>
          <w:vertAlign w:val="subscript"/>
        </w:rPr>
        <w:t>1</w:t>
      </w:r>
      <w:r>
        <w:rPr>
          <w:rFonts w:hint="eastAsia"/>
          <w:sz w:val="28"/>
          <w:szCs w:val="28"/>
        </w:rPr>
        <w:t>h)及第四系（Q），由老至新分述如下：</w:t>
      </w:r>
    </w:p>
    <w:p w14:paraId="24FCFACF">
      <w:pPr>
        <w:topLinePunct/>
        <w:spacing w:line="360" w:lineRule="auto"/>
        <w:ind w:firstLine="560" w:firstLineChars="200"/>
        <w:rPr>
          <w:sz w:val="28"/>
          <w:szCs w:val="28"/>
        </w:rPr>
      </w:pPr>
      <w:r>
        <w:rPr>
          <w:rFonts w:hint="eastAsia"/>
          <w:sz w:val="28"/>
          <w:szCs w:val="28"/>
        </w:rPr>
        <w:t>A、中太古界</w:t>
      </w:r>
    </w:p>
    <w:p w14:paraId="182E904C">
      <w:pPr>
        <w:topLinePunct/>
        <w:spacing w:line="360" w:lineRule="auto"/>
        <w:ind w:firstLine="560" w:firstLineChars="200"/>
        <w:rPr>
          <w:sz w:val="28"/>
          <w:szCs w:val="28"/>
        </w:rPr>
      </w:pPr>
      <w:r>
        <w:rPr>
          <w:rFonts w:hint="eastAsia"/>
          <w:sz w:val="28"/>
          <w:szCs w:val="28"/>
        </w:rPr>
        <w:t>1、乌拉山群片麻岩组 (Ar</w:t>
      </w:r>
      <w:r>
        <w:rPr>
          <w:rFonts w:hint="eastAsia"/>
          <w:sz w:val="28"/>
          <w:szCs w:val="28"/>
          <w:vertAlign w:val="subscript"/>
        </w:rPr>
        <w:t>2</w:t>
      </w:r>
      <w:r>
        <w:rPr>
          <w:rFonts w:hint="eastAsia"/>
          <w:sz w:val="28"/>
          <w:szCs w:val="28"/>
        </w:rPr>
        <w:t>W</w:t>
      </w:r>
      <w:r>
        <w:rPr>
          <w:rFonts w:hint="eastAsia"/>
          <w:sz w:val="28"/>
          <w:szCs w:val="28"/>
          <w:vertAlign w:val="superscript"/>
        </w:rPr>
        <w:t>1</w:t>
      </w:r>
      <w:r>
        <w:rPr>
          <w:rFonts w:hint="eastAsia"/>
          <w:sz w:val="28"/>
          <w:szCs w:val="28"/>
        </w:rPr>
        <w:t>)</w:t>
      </w:r>
    </w:p>
    <w:p w14:paraId="4D6276D2">
      <w:pPr>
        <w:topLinePunct/>
        <w:spacing w:line="360" w:lineRule="auto"/>
        <w:ind w:firstLine="560" w:firstLineChars="200"/>
        <w:rPr>
          <w:sz w:val="28"/>
          <w:szCs w:val="28"/>
        </w:rPr>
      </w:pPr>
      <w:bookmarkStart w:id="63" w:name="_Hlk185442377"/>
      <w:r>
        <w:rPr>
          <w:rFonts w:hint="eastAsia"/>
          <w:sz w:val="28"/>
          <w:szCs w:val="28"/>
        </w:rPr>
        <w:t>在区域图的东部、中东部分布，东部分布的面积较大。</w:t>
      </w:r>
      <w:bookmarkEnd w:id="63"/>
      <w:r>
        <w:rPr>
          <w:rFonts w:hint="eastAsia"/>
          <w:sz w:val="28"/>
          <w:szCs w:val="28"/>
        </w:rPr>
        <w:t>为一套老变质岩地层，主要岩性为：灰绿色、深绿色角闪斜长片麻岩、斜长角闪片麻岩、黑云角闪斜长片麻岩为主，夹薄层石英岩、大理岩。该组地层走向北东，倾向北东，倾角</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w:t>
      </w:r>
    </w:p>
    <w:p w14:paraId="55752D81">
      <w:pPr>
        <w:topLinePunct/>
        <w:spacing w:line="360" w:lineRule="auto"/>
        <w:ind w:firstLine="560" w:firstLineChars="200"/>
        <w:rPr>
          <w:sz w:val="28"/>
          <w:szCs w:val="28"/>
        </w:rPr>
      </w:pPr>
      <w:r>
        <w:rPr>
          <w:rFonts w:hint="eastAsia"/>
          <w:sz w:val="28"/>
          <w:szCs w:val="28"/>
        </w:rPr>
        <w:t>2、乌拉山群大理岩组 (Ar</w:t>
      </w:r>
      <w:r>
        <w:rPr>
          <w:rFonts w:hint="eastAsia"/>
          <w:sz w:val="28"/>
          <w:szCs w:val="28"/>
          <w:vertAlign w:val="subscript"/>
        </w:rPr>
        <w:t>2</w:t>
      </w:r>
      <w:r>
        <w:rPr>
          <w:rFonts w:hint="eastAsia"/>
          <w:sz w:val="28"/>
          <w:szCs w:val="28"/>
        </w:rPr>
        <w:t>W</w:t>
      </w:r>
      <w:r>
        <w:rPr>
          <w:rFonts w:hint="eastAsia"/>
          <w:sz w:val="28"/>
          <w:szCs w:val="28"/>
          <w:vertAlign w:val="superscript"/>
        </w:rPr>
        <w:t>2</w:t>
      </w:r>
      <w:r>
        <w:rPr>
          <w:rFonts w:hint="eastAsia"/>
          <w:sz w:val="28"/>
          <w:szCs w:val="28"/>
        </w:rPr>
        <w:t>)</w:t>
      </w:r>
    </w:p>
    <w:p w14:paraId="0B5F9831">
      <w:pPr>
        <w:topLinePunct/>
        <w:spacing w:line="360" w:lineRule="auto"/>
        <w:ind w:firstLine="560" w:firstLineChars="200"/>
        <w:rPr>
          <w:sz w:val="28"/>
          <w:szCs w:val="28"/>
        </w:rPr>
      </w:pPr>
      <w:r>
        <w:rPr>
          <w:rFonts w:hint="eastAsia"/>
          <w:sz w:val="28"/>
          <w:szCs w:val="28"/>
        </w:rPr>
        <w:t>在区域图的东部、中东部分布，东部分布的面积较大。为一套老变质岩地层，主要岩性为：灰白色中厚层状大理岩、石英岩，局部夹含铁石英岩、斜长角闪片麻岩。。该组地层走向北东，倾向北东或南西，倾角</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°呈单斜产出。</w:t>
      </w:r>
    </w:p>
    <w:p w14:paraId="6D5E399C">
      <w:pPr>
        <w:topLinePunct/>
        <w:spacing w:line="360" w:lineRule="auto"/>
        <w:ind w:firstLine="560" w:firstLineChars="200"/>
        <w:rPr>
          <w:sz w:val="28"/>
          <w:szCs w:val="28"/>
        </w:rPr>
      </w:pPr>
      <w:r>
        <w:rPr>
          <w:rFonts w:hint="eastAsia"/>
          <w:sz w:val="28"/>
          <w:szCs w:val="28"/>
        </w:rPr>
        <w:t>B、中生界</w:t>
      </w:r>
    </w:p>
    <w:p w14:paraId="52D4FD26">
      <w:pPr>
        <w:topLinePunct/>
        <w:spacing w:line="360" w:lineRule="auto"/>
        <w:ind w:firstLine="560" w:firstLineChars="200"/>
        <w:rPr>
          <w:sz w:val="28"/>
          <w:szCs w:val="28"/>
        </w:rPr>
      </w:pPr>
      <w:r>
        <w:rPr>
          <w:rFonts w:hint="eastAsia"/>
          <w:sz w:val="28"/>
          <w:szCs w:val="28"/>
        </w:rPr>
        <w:t>1、侏罗系上统土城子组(J</w:t>
      </w:r>
      <w:r>
        <w:rPr>
          <w:rFonts w:hint="eastAsia"/>
          <w:sz w:val="28"/>
          <w:szCs w:val="28"/>
          <w:vertAlign w:val="subscript"/>
        </w:rPr>
        <w:t>3</w:t>
      </w:r>
      <w:r>
        <w:rPr>
          <w:rFonts w:hint="eastAsia"/>
          <w:sz w:val="28"/>
          <w:szCs w:val="28"/>
        </w:rPr>
        <w:t>t)</w:t>
      </w:r>
      <w:r>
        <w:rPr>
          <w:rFonts w:hint="eastAsia"/>
          <w:sz w:val="28"/>
          <w:szCs w:val="28"/>
        </w:rPr>
        <w:tab/>
      </w:r>
    </w:p>
    <w:p w14:paraId="50006ECC">
      <w:pPr>
        <w:topLinePunct/>
        <w:spacing w:line="360" w:lineRule="auto"/>
        <w:ind w:firstLine="560" w:firstLineChars="200"/>
        <w:rPr>
          <w:sz w:val="28"/>
          <w:szCs w:val="28"/>
        </w:rPr>
      </w:pPr>
      <w:r>
        <w:rPr>
          <w:rFonts w:hint="eastAsia"/>
          <w:sz w:val="28"/>
          <w:szCs w:val="28"/>
        </w:rPr>
        <w:t>分布范围较小，主要出露在矿区的南部，其岩性主要为土城子组：紫红色凝灰质砂岩、凝灰质砂砾岩、凝灰质砾岩。地层总厚度＞</w:t>
      </w:r>
      <w:r>
        <w:rPr>
          <w:rFonts w:hint="eastAsia" w:ascii="宋体" w:hAnsi="宋体" w:cs="宋体"/>
          <w:spacing w:val="13"/>
          <w:sz w:val="32"/>
          <w:szCs w:val="32"/>
        </w:rPr>
        <w:t>***</w:t>
      </w:r>
      <w:r>
        <w:rPr>
          <w:rFonts w:hint="eastAsia"/>
          <w:sz w:val="28"/>
          <w:szCs w:val="28"/>
        </w:rPr>
        <w:t>m。</w:t>
      </w:r>
    </w:p>
    <w:p w14:paraId="3BA779B4">
      <w:pPr>
        <w:topLinePunct/>
        <w:spacing w:line="360" w:lineRule="auto"/>
        <w:ind w:firstLine="560" w:firstLineChars="200"/>
        <w:rPr>
          <w:sz w:val="28"/>
          <w:szCs w:val="28"/>
        </w:rPr>
      </w:pPr>
      <w:r>
        <w:rPr>
          <w:rFonts w:hint="eastAsia"/>
          <w:sz w:val="28"/>
          <w:szCs w:val="28"/>
        </w:rPr>
        <w:t>2、侏罗系上统白音高老组(J</w:t>
      </w:r>
      <w:r>
        <w:rPr>
          <w:rFonts w:hint="eastAsia"/>
          <w:sz w:val="28"/>
          <w:szCs w:val="28"/>
          <w:vertAlign w:val="subscript"/>
        </w:rPr>
        <w:t>3</w:t>
      </w:r>
      <w:r>
        <w:rPr>
          <w:rFonts w:hint="eastAsia"/>
          <w:i/>
          <w:iCs/>
          <w:sz w:val="28"/>
          <w:szCs w:val="28"/>
        </w:rPr>
        <w:t>b</w:t>
      </w:r>
      <w:r>
        <w:rPr>
          <w:rFonts w:hint="eastAsia"/>
          <w:sz w:val="28"/>
          <w:szCs w:val="28"/>
        </w:rPr>
        <w:t>)</w:t>
      </w:r>
    </w:p>
    <w:p w14:paraId="22F4AFF4">
      <w:pPr>
        <w:topLinePunct/>
        <w:spacing w:line="360" w:lineRule="auto"/>
        <w:ind w:firstLine="560" w:firstLineChars="200"/>
        <w:rPr>
          <w:sz w:val="28"/>
          <w:szCs w:val="28"/>
        </w:rPr>
      </w:pPr>
      <w:r>
        <w:rPr>
          <w:rFonts w:hint="eastAsia"/>
          <w:sz w:val="28"/>
          <w:szCs w:val="28"/>
        </w:rPr>
        <w:t>（1）白音高老组一段(J</w:t>
      </w:r>
      <w:r>
        <w:rPr>
          <w:rFonts w:hint="eastAsia"/>
          <w:sz w:val="28"/>
          <w:szCs w:val="28"/>
          <w:vertAlign w:val="subscript"/>
        </w:rPr>
        <w:t>3</w:t>
      </w:r>
      <w:r>
        <w:rPr>
          <w:rFonts w:hint="eastAsia"/>
          <w:i/>
          <w:iCs/>
          <w:sz w:val="28"/>
          <w:szCs w:val="28"/>
        </w:rPr>
        <w:t>b</w:t>
      </w:r>
      <w:r>
        <w:rPr>
          <w:rFonts w:hint="eastAsia"/>
          <w:sz w:val="28"/>
          <w:szCs w:val="28"/>
          <w:vertAlign w:val="superscript"/>
        </w:rPr>
        <w:t>1</w:t>
      </w:r>
      <w:r>
        <w:rPr>
          <w:rFonts w:hint="eastAsia"/>
          <w:sz w:val="28"/>
          <w:szCs w:val="28"/>
        </w:rPr>
        <w:t>)：在区域图中分布较零散，主要在南西部分布，出露面积大小不等。地层主体以酸性火山岩夹沉积岩为特点；主要岩性为：浅紫灰色、灰色流纹岩、英安岩、英安质岩屑晶屑凝灰岩、流纹质岩屑晶屑凝灰岩，少量流纹质含角砾(熔结) 凝灰岩及沉积夹层，局部夹珍珠岩，偶夹有凝灰质砂岩。地层总厚度＞</w:t>
      </w:r>
      <w:r>
        <w:rPr>
          <w:rFonts w:hint="eastAsia" w:ascii="宋体" w:hAnsi="宋体" w:cs="宋体"/>
          <w:spacing w:val="13"/>
          <w:sz w:val="32"/>
          <w:szCs w:val="32"/>
        </w:rPr>
        <w:t>***</w:t>
      </w:r>
      <w:r>
        <w:rPr>
          <w:rFonts w:hint="eastAsia"/>
          <w:sz w:val="28"/>
          <w:szCs w:val="28"/>
        </w:rPr>
        <w:t>m。</w:t>
      </w:r>
    </w:p>
    <w:p w14:paraId="200EFB02">
      <w:pPr>
        <w:topLinePunct/>
        <w:spacing w:line="360" w:lineRule="auto"/>
        <w:ind w:firstLine="560" w:firstLineChars="200"/>
        <w:rPr>
          <w:sz w:val="28"/>
          <w:szCs w:val="28"/>
        </w:rPr>
      </w:pPr>
      <w:r>
        <w:rPr>
          <w:rFonts w:hint="eastAsia"/>
          <w:sz w:val="28"/>
          <w:szCs w:val="28"/>
        </w:rPr>
        <w:t>（2）白音高老组二段(J</w:t>
      </w:r>
      <w:r>
        <w:rPr>
          <w:rFonts w:hint="eastAsia"/>
          <w:sz w:val="28"/>
          <w:szCs w:val="28"/>
          <w:vertAlign w:val="subscript"/>
        </w:rPr>
        <w:t>3</w:t>
      </w:r>
      <w:r>
        <w:rPr>
          <w:rFonts w:hint="eastAsia"/>
          <w:i/>
          <w:iCs/>
          <w:sz w:val="28"/>
          <w:szCs w:val="28"/>
        </w:rPr>
        <w:t>b</w:t>
      </w:r>
      <w:r>
        <w:rPr>
          <w:rFonts w:hint="eastAsia"/>
          <w:sz w:val="28"/>
          <w:szCs w:val="28"/>
          <w:vertAlign w:val="superscript"/>
        </w:rPr>
        <w:t>2</w:t>
      </w:r>
      <w:r>
        <w:rPr>
          <w:rFonts w:hint="eastAsia"/>
          <w:sz w:val="28"/>
          <w:szCs w:val="28"/>
        </w:rPr>
        <w:t>)：在区域图中分布较零散，主要在北东及西部分布，出露面积大小不等。地层主体以酸性火山岩夹沉积岩为特点；主要岩性为：黄灰色、灰绿色含角砾岩屑晶屑凝灰岩、凝灰角砾岩、凝灰质砂岩、砂砾岩。地层总厚度＞</w:t>
      </w:r>
      <w:r>
        <w:rPr>
          <w:rFonts w:hint="eastAsia" w:ascii="宋体" w:hAnsi="宋体" w:cs="宋体"/>
          <w:spacing w:val="13"/>
          <w:sz w:val="32"/>
          <w:szCs w:val="32"/>
        </w:rPr>
        <w:t>***</w:t>
      </w:r>
      <w:r>
        <w:rPr>
          <w:rFonts w:hint="eastAsia"/>
          <w:sz w:val="28"/>
          <w:szCs w:val="28"/>
        </w:rPr>
        <w:t>m。</w:t>
      </w:r>
    </w:p>
    <w:p w14:paraId="79C04D9F">
      <w:pPr>
        <w:topLinePunct/>
        <w:spacing w:line="360" w:lineRule="auto"/>
        <w:ind w:firstLine="560" w:firstLineChars="200"/>
        <w:rPr>
          <w:sz w:val="28"/>
          <w:szCs w:val="28"/>
        </w:rPr>
      </w:pPr>
      <w:r>
        <w:rPr>
          <w:rFonts w:hint="eastAsia"/>
          <w:sz w:val="28"/>
          <w:szCs w:val="28"/>
        </w:rPr>
        <w:t>3、侏罗系上统玛尼吐组(J</w:t>
      </w:r>
      <w:r>
        <w:rPr>
          <w:rFonts w:hint="eastAsia"/>
          <w:sz w:val="28"/>
          <w:szCs w:val="28"/>
          <w:vertAlign w:val="subscript"/>
        </w:rPr>
        <w:t>3</w:t>
      </w:r>
      <w:r>
        <w:rPr>
          <w:rFonts w:hint="eastAsia"/>
          <w:i/>
          <w:iCs/>
          <w:sz w:val="28"/>
          <w:szCs w:val="28"/>
        </w:rPr>
        <w:t>mn</w:t>
      </w:r>
      <w:r>
        <w:rPr>
          <w:rFonts w:hint="eastAsia"/>
          <w:sz w:val="28"/>
          <w:szCs w:val="28"/>
        </w:rPr>
        <w:t>)</w:t>
      </w:r>
    </w:p>
    <w:p w14:paraId="616EBB0E">
      <w:pPr>
        <w:topLinePunct/>
        <w:spacing w:line="360" w:lineRule="auto"/>
        <w:ind w:firstLine="560" w:firstLineChars="200"/>
        <w:rPr>
          <w:sz w:val="28"/>
          <w:szCs w:val="28"/>
        </w:rPr>
      </w:pPr>
      <w:r>
        <w:rPr>
          <w:rFonts w:hint="eastAsia"/>
          <w:sz w:val="28"/>
          <w:szCs w:val="28"/>
        </w:rPr>
        <w:t>在区域图中大面积出露，主要岩性：安山岩、安山质凝灰熔岩、凝灰岩、凝灰角砾岩、熔结凝灰岩，局部见有浅灰、灰白色酸性玻屑一晶屑一岩屑凝灰岩、凝灰角砾岩及凝灰砂岩、凝灰角砾岩、凝灰砾岩等，地层总厚度</w:t>
      </w:r>
      <w:r>
        <w:rPr>
          <w:rFonts w:hint="eastAsia" w:ascii="宋体" w:hAnsi="宋体" w:cs="宋体"/>
          <w:spacing w:val="13"/>
          <w:sz w:val="32"/>
          <w:szCs w:val="32"/>
        </w:rPr>
        <w:t>***</w:t>
      </w:r>
      <w:r>
        <w:rPr>
          <w:rFonts w:hint="eastAsia"/>
          <w:sz w:val="28"/>
          <w:szCs w:val="28"/>
        </w:rPr>
        <w:t>m。</w:t>
      </w:r>
    </w:p>
    <w:p w14:paraId="700AF04F">
      <w:pPr>
        <w:topLinePunct/>
        <w:spacing w:line="360" w:lineRule="auto"/>
        <w:ind w:firstLine="560" w:firstLineChars="200"/>
        <w:rPr>
          <w:sz w:val="28"/>
          <w:szCs w:val="28"/>
        </w:rPr>
      </w:pPr>
      <w:r>
        <w:rPr>
          <w:rFonts w:hint="eastAsia"/>
          <w:sz w:val="28"/>
          <w:szCs w:val="28"/>
        </w:rPr>
        <w:t>4、白垩系下统义县组(K</w:t>
      </w:r>
      <w:r>
        <w:rPr>
          <w:rFonts w:hint="eastAsia"/>
          <w:sz w:val="28"/>
          <w:szCs w:val="28"/>
          <w:vertAlign w:val="subscript"/>
        </w:rPr>
        <w:t>3</w:t>
      </w:r>
      <w:r>
        <w:rPr>
          <w:rFonts w:hint="eastAsia"/>
          <w:sz w:val="28"/>
          <w:szCs w:val="28"/>
        </w:rPr>
        <w:t>y)</w:t>
      </w:r>
    </w:p>
    <w:p w14:paraId="6EB1F9F0">
      <w:pPr>
        <w:topLinePunct/>
        <w:spacing w:line="360" w:lineRule="auto"/>
        <w:ind w:firstLine="560" w:firstLineChars="200"/>
        <w:rPr>
          <w:sz w:val="28"/>
          <w:szCs w:val="28"/>
        </w:rPr>
      </w:pPr>
      <w:r>
        <w:rPr>
          <w:rFonts w:hint="eastAsia"/>
          <w:sz w:val="28"/>
          <w:szCs w:val="28"/>
        </w:rPr>
        <w:t>在区域图中分布范围较小，仅出露在矿区的北西部，其岩性主要为灰绿色、紫灰色（杏仁状）安山岩、玄武安山岩为组，局部夹安山质集块岩、安山质集块角砾岩、集块角砾熔岩。地层总厚度＞</w:t>
      </w:r>
      <w:r>
        <w:rPr>
          <w:rFonts w:hint="eastAsia" w:ascii="宋体" w:hAnsi="宋体" w:cs="宋体"/>
          <w:spacing w:val="13"/>
          <w:sz w:val="32"/>
          <w:szCs w:val="32"/>
        </w:rPr>
        <w:t>***</w:t>
      </w:r>
      <w:r>
        <w:rPr>
          <w:rFonts w:hint="eastAsia"/>
          <w:sz w:val="28"/>
          <w:szCs w:val="28"/>
        </w:rPr>
        <w:t>m。</w:t>
      </w:r>
    </w:p>
    <w:p w14:paraId="3CCE541D">
      <w:pPr>
        <w:topLinePunct/>
        <w:spacing w:line="360" w:lineRule="auto"/>
        <w:ind w:firstLine="560" w:firstLineChars="200"/>
        <w:rPr>
          <w:sz w:val="28"/>
          <w:szCs w:val="28"/>
        </w:rPr>
      </w:pPr>
      <w:r>
        <w:rPr>
          <w:rFonts w:hint="eastAsia"/>
          <w:sz w:val="28"/>
          <w:szCs w:val="28"/>
        </w:rPr>
        <w:t>C、新生界</w:t>
      </w:r>
    </w:p>
    <w:p w14:paraId="527DB3FA">
      <w:pPr>
        <w:topLinePunct/>
        <w:spacing w:line="360" w:lineRule="auto"/>
        <w:ind w:firstLine="560" w:firstLineChars="200"/>
        <w:rPr>
          <w:sz w:val="28"/>
          <w:szCs w:val="28"/>
        </w:rPr>
      </w:pPr>
      <w:r>
        <w:rPr>
          <w:rFonts w:hint="eastAsia"/>
          <w:sz w:val="28"/>
          <w:szCs w:val="28"/>
        </w:rPr>
        <w:t>1、新近系汉诺坝组（Nh）</w:t>
      </w:r>
    </w:p>
    <w:p w14:paraId="3B6E56B0">
      <w:pPr>
        <w:topLinePunct/>
        <w:spacing w:line="360" w:lineRule="auto"/>
        <w:ind w:firstLine="560" w:firstLineChars="200"/>
        <w:rPr>
          <w:sz w:val="28"/>
          <w:szCs w:val="28"/>
        </w:rPr>
      </w:pPr>
      <w:r>
        <w:rPr>
          <w:rFonts w:hint="eastAsia"/>
          <w:sz w:val="28"/>
          <w:szCs w:val="28"/>
        </w:rPr>
        <w:t>本组地层在赤峰地区主要分布于赤峰至克什克腾旗一带，西与河北围场的汉诺坝组为同一地质体。</w:t>
      </w:r>
    </w:p>
    <w:p w14:paraId="130061C0">
      <w:pPr>
        <w:topLinePunct/>
        <w:spacing w:line="360" w:lineRule="auto"/>
        <w:ind w:firstLine="560" w:firstLineChars="200"/>
        <w:rPr>
          <w:sz w:val="28"/>
          <w:szCs w:val="28"/>
        </w:rPr>
      </w:pPr>
      <w:r>
        <w:rPr>
          <w:rFonts w:hint="eastAsia"/>
          <w:sz w:val="28"/>
          <w:szCs w:val="28"/>
        </w:rPr>
        <w:t>岩性为一套灰黑色、黑色紫、灰色橄榄玄武岩、辉石玄武岩、玄武岩夹红色泥岩、灰白色泥岩、砂岩及页岩。局部含煤线。含腹足类及植物化石。厚度＜</w:t>
      </w:r>
      <w:r>
        <w:rPr>
          <w:rFonts w:hint="eastAsia" w:ascii="宋体" w:hAnsi="宋体" w:cs="宋体"/>
          <w:spacing w:val="13"/>
          <w:sz w:val="32"/>
          <w:szCs w:val="32"/>
        </w:rPr>
        <w:t>***</w:t>
      </w:r>
      <w:r>
        <w:rPr>
          <w:rFonts w:hint="eastAsia"/>
          <w:sz w:val="28"/>
          <w:szCs w:val="28"/>
        </w:rPr>
        <w:t>m。</w:t>
      </w:r>
    </w:p>
    <w:p w14:paraId="10B2C4FD">
      <w:pPr>
        <w:topLinePunct/>
        <w:spacing w:line="360" w:lineRule="auto"/>
        <w:ind w:firstLine="560" w:firstLineChars="200"/>
        <w:rPr>
          <w:sz w:val="28"/>
          <w:szCs w:val="28"/>
        </w:rPr>
      </w:pPr>
      <w:r>
        <w:rPr>
          <w:rFonts w:hint="eastAsia"/>
          <w:sz w:val="28"/>
          <w:szCs w:val="28"/>
        </w:rPr>
        <w:t>2、第四系（Q）</w:t>
      </w:r>
    </w:p>
    <w:p w14:paraId="353BE744">
      <w:pPr>
        <w:topLinePunct/>
        <w:spacing w:line="360" w:lineRule="auto"/>
        <w:ind w:firstLine="560" w:firstLineChars="200"/>
        <w:rPr>
          <w:sz w:val="28"/>
          <w:szCs w:val="28"/>
        </w:rPr>
      </w:pPr>
      <w:r>
        <w:rPr>
          <w:rFonts w:hint="eastAsia"/>
          <w:sz w:val="28"/>
          <w:szCs w:val="28"/>
        </w:rPr>
        <w:t>区内分布广泛，主要分布于河流两侧、沟谷及平坦地段，岩性主要为粉土、砂质粘土、砂土冲洪积砂砾石及残坡积层，地层厚度：</w:t>
      </w:r>
      <w:r>
        <w:rPr>
          <w:rFonts w:hint="eastAsia" w:ascii="宋体" w:hAnsi="宋体" w:cs="宋体"/>
          <w:spacing w:val="13"/>
          <w:sz w:val="32"/>
          <w:szCs w:val="32"/>
        </w:rPr>
        <w:t>***</w:t>
      </w:r>
      <w:r>
        <w:rPr>
          <w:rFonts w:hint="eastAsia"/>
          <w:sz w:val="28"/>
          <w:szCs w:val="28"/>
        </w:rPr>
        <w:t>m-</w:t>
      </w:r>
      <w:r>
        <w:rPr>
          <w:rFonts w:hint="eastAsia" w:ascii="宋体" w:hAnsi="宋体" w:cs="宋体"/>
          <w:spacing w:val="13"/>
          <w:sz w:val="32"/>
          <w:szCs w:val="32"/>
        </w:rPr>
        <w:t>***</w:t>
      </w:r>
      <w:r>
        <w:rPr>
          <w:rFonts w:hint="eastAsia"/>
          <w:sz w:val="28"/>
          <w:szCs w:val="28"/>
        </w:rPr>
        <w:t>m。</w:t>
      </w:r>
    </w:p>
    <w:p w14:paraId="5623EEDF">
      <w:pPr>
        <w:topLinePunct/>
        <w:spacing w:line="360" w:lineRule="auto"/>
        <w:ind w:firstLine="560" w:firstLineChars="200"/>
        <w:rPr>
          <w:sz w:val="28"/>
          <w:szCs w:val="28"/>
        </w:rPr>
      </w:pPr>
      <w:r>
        <w:rPr>
          <w:rFonts w:hint="eastAsia"/>
          <w:sz w:val="28"/>
          <w:szCs w:val="28"/>
        </w:rPr>
        <w:t>（二）</w:t>
      </w:r>
      <w:r>
        <w:rPr>
          <w:sz w:val="28"/>
          <w:szCs w:val="28"/>
        </w:rPr>
        <w:t>区域构造</w:t>
      </w:r>
    </w:p>
    <w:p w14:paraId="3B8FD2AE">
      <w:pPr>
        <w:topLinePunct/>
        <w:spacing w:line="360" w:lineRule="auto"/>
        <w:ind w:firstLine="560" w:firstLineChars="200"/>
        <w:rPr>
          <w:sz w:val="28"/>
          <w:szCs w:val="28"/>
        </w:rPr>
      </w:pPr>
      <w:r>
        <w:rPr>
          <w:rFonts w:hint="eastAsia"/>
          <w:sz w:val="28"/>
          <w:szCs w:val="28"/>
        </w:rPr>
        <w:t>该区位于华北地台北缘，内蒙地轴东段三级构造单元云雾山隆起北端，断裂构造发育。</w:t>
      </w:r>
    </w:p>
    <w:p w14:paraId="179225BF">
      <w:pPr>
        <w:topLinePunct/>
        <w:spacing w:line="360" w:lineRule="auto"/>
        <w:ind w:firstLine="560" w:firstLineChars="200"/>
        <w:rPr>
          <w:sz w:val="28"/>
          <w:szCs w:val="28"/>
        </w:rPr>
      </w:pPr>
      <w:r>
        <w:rPr>
          <w:rFonts w:hint="eastAsia"/>
          <w:sz w:val="28"/>
          <w:szCs w:val="28"/>
        </w:rPr>
        <w:t>1、东西向断裂：该断裂带在区域图中部，以阴河为代表总体呈东西向，在地貌上表现为较宽的河谷，河谷两侧岩浆岩发育，主要有花岗岩、玄武岩，该断裂规模较大，且多期活动，具张扭性特征。</w:t>
      </w:r>
    </w:p>
    <w:p w14:paraId="5CBEBD44">
      <w:pPr>
        <w:topLinePunct/>
        <w:spacing w:line="360" w:lineRule="auto"/>
        <w:ind w:firstLine="560" w:firstLineChars="200"/>
        <w:rPr>
          <w:sz w:val="28"/>
          <w:szCs w:val="28"/>
        </w:rPr>
      </w:pPr>
      <w:r>
        <w:rPr>
          <w:rFonts w:hint="eastAsia"/>
          <w:sz w:val="28"/>
          <w:szCs w:val="28"/>
        </w:rPr>
        <w:t>2、在主干断裂的两侧有次一级断裂和破碎带，主要为近南北向及北东向断裂，该断裂切割了太古界和侏罗系地层。</w:t>
      </w:r>
    </w:p>
    <w:p w14:paraId="1C6FD257">
      <w:pPr>
        <w:spacing w:line="360" w:lineRule="auto"/>
        <w:ind w:firstLine="562" w:firstLineChars="200"/>
        <w:outlineLvl w:val="2"/>
        <w:rPr>
          <w:b/>
          <w:bCs/>
          <w:sz w:val="28"/>
          <w:szCs w:val="28"/>
        </w:rPr>
      </w:pPr>
      <w:r>
        <w:rPr>
          <w:b/>
          <w:bCs/>
          <w:sz w:val="28"/>
          <w:szCs w:val="28"/>
        </w:rPr>
        <w:t>二、矿区地层</w:t>
      </w:r>
    </w:p>
    <w:p w14:paraId="08E51805">
      <w:pPr>
        <w:spacing w:line="360" w:lineRule="auto"/>
        <w:ind w:firstLine="560" w:firstLineChars="200"/>
        <w:rPr>
          <w:sz w:val="28"/>
          <w:szCs w:val="28"/>
        </w:rPr>
      </w:pPr>
      <w:r>
        <w:rPr>
          <w:rFonts w:hint="eastAsia"/>
          <w:sz w:val="28"/>
          <w:szCs w:val="28"/>
        </w:rPr>
        <w:t>矿区内仅出露地层为新近系中新统汉诺坝组（N</w:t>
      </w:r>
      <w:r>
        <w:rPr>
          <w:rFonts w:hint="eastAsia"/>
          <w:sz w:val="28"/>
          <w:szCs w:val="28"/>
          <w:vertAlign w:val="subscript"/>
        </w:rPr>
        <w:t>1</w:t>
      </w:r>
      <w:r>
        <w:rPr>
          <w:rFonts w:hint="eastAsia"/>
          <w:sz w:val="28"/>
          <w:szCs w:val="28"/>
        </w:rPr>
        <w:t>h）及第四系全新统(Qh)。</w:t>
      </w:r>
    </w:p>
    <w:p w14:paraId="57D72512">
      <w:pPr>
        <w:spacing w:line="360" w:lineRule="auto"/>
        <w:ind w:firstLine="560" w:firstLineChars="200"/>
        <w:rPr>
          <w:sz w:val="28"/>
          <w:szCs w:val="28"/>
        </w:rPr>
      </w:pPr>
      <w:r>
        <w:rPr>
          <w:rFonts w:hint="eastAsia"/>
          <w:sz w:val="28"/>
          <w:szCs w:val="28"/>
        </w:rPr>
        <w:t>1、</w:t>
      </w:r>
      <w:bookmarkStart w:id="64" w:name="_Hlk199965570"/>
      <w:r>
        <w:rPr>
          <w:rFonts w:hint="eastAsia"/>
          <w:sz w:val="28"/>
          <w:szCs w:val="28"/>
        </w:rPr>
        <w:t>新近系中新统汉诺坝组（N</w:t>
      </w:r>
      <w:r>
        <w:rPr>
          <w:rFonts w:hint="eastAsia"/>
          <w:sz w:val="28"/>
          <w:szCs w:val="28"/>
          <w:vertAlign w:val="subscript"/>
        </w:rPr>
        <w:t>1</w:t>
      </w:r>
      <w:r>
        <w:rPr>
          <w:rFonts w:hint="eastAsia"/>
          <w:sz w:val="28"/>
          <w:szCs w:val="28"/>
        </w:rPr>
        <w:t>h）</w:t>
      </w:r>
      <w:bookmarkEnd w:id="64"/>
    </w:p>
    <w:p w14:paraId="73B618A6">
      <w:pPr>
        <w:spacing w:line="360" w:lineRule="auto"/>
        <w:ind w:firstLine="560" w:firstLineChars="200"/>
        <w:rPr>
          <w:sz w:val="28"/>
          <w:szCs w:val="28"/>
        </w:rPr>
      </w:pPr>
      <w:r>
        <w:rPr>
          <w:rFonts w:hint="eastAsia"/>
          <w:sz w:val="28"/>
          <w:szCs w:val="28"/>
        </w:rPr>
        <w:t>该组地层在矿区南东部广泛出露，形成玄武岩台地，全部见玄武岩（矿体）。</w:t>
      </w:r>
    </w:p>
    <w:p w14:paraId="2BDC94D6">
      <w:pPr>
        <w:spacing w:line="360" w:lineRule="auto"/>
        <w:ind w:firstLine="560" w:firstLineChars="200"/>
        <w:rPr>
          <w:sz w:val="28"/>
          <w:szCs w:val="28"/>
        </w:rPr>
      </w:pPr>
      <w:r>
        <w:rPr>
          <w:rFonts w:hint="eastAsia"/>
          <w:sz w:val="28"/>
          <w:szCs w:val="28"/>
        </w:rPr>
        <w:t>玄武岩呈灰—灰黑色，斑状结构，块状构造。岩石中斑晶矿物可见橄榄石和辉石。橄榄石呈半自形短柱状、粒状；辉石呈半自形-不规则板柱状、粒状，斑晶矿物粒径</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mm，含量</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岩石基质主要由大量斜长石和辉石组成，次为火山玻璃，少量橄榄石、金属矿物等。斜长石呈半自形板条状、条柱状，在斜长石的空隙及格架中，充填着大量辉石微粒、火山玻璃及少量橄榄石、金属矿物等，呈间粒间隐结构。辉石微粒呈不规则板柱状、粒状，火山玻璃呈浅褐色。</w:t>
      </w:r>
    </w:p>
    <w:p w14:paraId="4846AB63">
      <w:pPr>
        <w:spacing w:line="360" w:lineRule="auto"/>
        <w:ind w:firstLine="560" w:firstLineChars="200"/>
        <w:rPr>
          <w:sz w:val="28"/>
          <w:szCs w:val="28"/>
        </w:rPr>
      </w:pPr>
      <w:r>
        <w:rPr>
          <w:rFonts w:hint="eastAsia"/>
          <w:sz w:val="28"/>
          <w:szCs w:val="28"/>
        </w:rPr>
        <w:t>经露天采场、钻孔揭露，矿区全部为原生基岩。可作为建筑用碎石。</w:t>
      </w:r>
    </w:p>
    <w:p w14:paraId="5A29C00B">
      <w:pPr>
        <w:spacing w:line="360" w:lineRule="auto"/>
        <w:ind w:firstLine="560" w:firstLineChars="200"/>
        <w:rPr>
          <w:sz w:val="28"/>
          <w:szCs w:val="28"/>
        </w:rPr>
      </w:pPr>
      <w:r>
        <w:rPr>
          <w:rFonts w:hint="eastAsia"/>
          <w:sz w:val="28"/>
          <w:szCs w:val="28"/>
        </w:rPr>
        <w:t>2、第四系全新统(Qh)：核实区已全部进行剥离，仅零星出现在核实区内，岩性为黄土、砂质粘土等坡积物，厚度可忽略不计。</w:t>
      </w:r>
    </w:p>
    <w:p w14:paraId="0EB93FFD">
      <w:pPr>
        <w:spacing w:line="360" w:lineRule="auto"/>
        <w:ind w:firstLine="562" w:firstLineChars="200"/>
        <w:outlineLvl w:val="2"/>
        <w:rPr>
          <w:b/>
          <w:bCs/>
          <w:sz w:val="28"/>
          <w:szCs w:val="28"/>
        </w:rPr>
      </w:pPr>
      <w:r>
        <w:rPr>
          <w:b/>
          <w:bCs/>
          <w:sz w:val="28"/>
          <w:szCs w:val="28"/>
        </w:rPr>
        <w:t>三、矿区构造</w:t>
      </w:r>
    </w:p>
    <w:p w14:paraId="73D88627">
      <w:pPr>
        <w:widowControl/>
        <w:spacing w:line="360" w:lineRule="auto"/>
        <w:ind w:firstLine="560" w:firstLineChars="200"/>
        <w:textAlignment w:val="bottom"/>
        <w:rPr>
          <w:rFonts w:hint="eastAsia" w:ascii="宋体" w:hAnsi="宋体" w:cs="宋体"/>
          <w:kern w:val="0"/>
          <w:sz w:val="28"/>
          <w:szCs w:val="28"/>
        </w:rPr>
      </w:pPr>
      <w:r>
        <w:rPr>
          <w:rFonts w:hint="eastAsia" w:ascii="宋体" w:hAnsi="宋体" w:cs="宋体"/>
          <w:kern w:val="0"/>
          <w:sz w:val="28"/>
          <w:szCs w:val="28"/>
        </w:rPr>
        <w:t>矿区范围内出露为汉诺坝组玄武岩（β），岩性单一，褶皱、断裂构造不发育，对矿体的改造、破坏作用不大。</w:t>
      </w:r>
    </w:p>
    <w:p w14:paraId="549F7DAD">
      <w:pPr>
        <w:widowControl/>
        <w:spacing w:line="360" w:lineRule="auto"/>
        <w:ind w:firstLine="560" w:firstLineChars="200"/>
        <w:textAlignment w:val="bottom"/>
        <w:rPr>
          <w:rFonts w:hint="eastAsia" w:ascii="宋体" w:hAnsi="宋体" w:cs="宋体"/>
          <w:kern w:val="0"/>
          <w:sz w:val="28"/>
          <w:szCs w:val="28"/>
        </w:rPr>
      </w:pPr>
      <w:r>
        <w:rPr>
          <w:rFonts w:hint="eastAsia" w:ascii="宋体" w:hAnsi="宋体" w:cs="宋体"/>
          <w:kern w:val="0"/>
          <w:sz w:val="28"/>
          <w:szCs w:val="28"/>
        </w:rPr>
        <w:t>本矿区由于地层岩性简单，矿区内未见明显断裂构造。</w:t>
      </w:r>
    </w:p>
    <w:p w14:paraId="05A54B44">
      <w:pPr>
        <w:spacing w:line="360" w:lineRule="auto"/>
        <w:ind w:firstLine="562" w:firstLineChars="200"/>
        <w:outlineLvl w:val="2"/>
        <w:rPr>
          <w:b/>
          <w:bCs/>
          <w:sz w:val="28"/>
          <w:szCs w:val="28"/>
        </w:rPr>
      </w:pPr>
      <w:r>
        <w:rPr>
          <w:b/>
          <w:bCs/>
          <w:sz w:val="28"/>
          <w:szCs w:val="28"/>
        </w:rPr>
        <w:t>四、岩浆岩</w:t>
      </w:r>
    </w:p>
    <w:p w14:paraId="31451505">
      <w:pPr>
        <w:spacing w:line="360" w:lineRule="auto"/>
        <w:ind w:firstLine="560" w:firstLineChars="200"/>
        <w:rPr>
          <w:sz w:val="28"/>
          <w:szCs w:val="28"/>
        </w:rPr>
      </w:pPr>
      <w:r>
        <w:rPr>
          <w:rFonts w:hint="eastAsia"/>
          <w:sz w:val="28"/>
          <w:szCs w:val="28"/>
        </w:rPr>
        <w:t>矿区内未见侵入岩及脉岩出露。</w:t>
      </w:r>
    </w:p>
    <w:p w14:paraId="424425D3">
      <w:pPr>
        <w:spacing w:line="360" w:lineRule="auto"/>
        <w:ind w:firstLine="562" w:firstLineChars="200"/>
        <w:outlineLvl w:val="2"/>
        <w:rPr>
          <w:b/>
          <w:bCs/>
          <w:sz w:val="28"/>
          <w:szCs w:val="28"/>
        </w:rPr>
      </w:pPr>
      <w:r>
        <w:rPr>
          <w:b/>
          <w:bCs/>
          <w:sz w:val="28"/>
          <w:szCs w:val="28"/>
        </w:rPr>
        <w:t>五、区域地壳稳定性</w:t>
      </w:r>
    </w:p>
    <w:p w14:paraId="4B6BF4A8">
      <w:pPr>
        <w:spacing w:line="360" w:lineRule="auto"/>
        <w:ind w:firstLine="560" w:firstLineChars="200"/>
        <w:rPr>
          <w:sz w:val="28"/>
          <w:szCs w:val="28"/>
        </w:rPr>
      </w:pPr>
      <w:bookmarkStart w:id="65" w:name="_Toc210478047"/>
      <w:r>
        <w:rPr>
          <w:sz w:val="28"/>
          <w:szCs w:val="28"/>
        </w:rPr>
        <w:t>根据《中国地震动参数区划图》(GB 18306—2015)，本区地震动峰值加速度为</w:t>
      </w:r>
      <w:r>
        <w:rPr>
          <w:rFonts w:hint="eastAsia" w:ascii="宋体" w:hAnsi="宋体" w:cs="宋体"/>
          <w:spacing w:val="13"/>
          <w:sz w:val="32"/>
          <w:szCs w:val="32"/>
        </w:rPr>
        <w:t>***</w:t>
      </w:r>
      <w:r>
        <w:rPr>
          <w:sz w:val="28"/>
          <w:szCs w:val="28"/>
        </w:rPr>
        <w:t>g，反应谱特征周期为</w:t>
      </w:r>
      <w:r>
        <w:rPr>
          <w:rFonts w:hint="eastAsia" w:ascii="宋体" w:hAnsi="宋体" w:cs="宋体"/>
          <w:spacing w:val="13"/>
          <w:sz w:val="32"/>
          <w:szCs w:val="32"/>
        </w:rPr>
        <w:t>***</w:t>
      </w:r>
      <w:r>
        <w:rPr>
          <w:sz w:val="28"/>
          <w:szCs w:val="28"/>
        </w:rPr>
        <w:t>s，比照Ⅱ类场地地震动峰值加速度与地震烈度对照表，地震烈度为Ⅵ度，该区域地壳属稳定区。</w:t>
      </w:r>
    </w:p>
    <w:p w14:paraId="0795A52E">
      <w:pPr>
        <w:spacing w:line="360" w:lineRule="auto"/>
        <w:ind w:firstLine="562" w:firstLineChars="200"/>
        <w:outlineLvl w:val="2"/>
        <w:rPr>
          <w:b/>
          <w:bCs/>
          <w:sz w:val="28"/>
          <w:szCs w:val="28"/>
        </w:rPr>
      </w:pPr>
      <w:r>
        <w:rPr>
          <w:b/>
          <w:bCs/>
          <w:sz w:val="28"/>
          <w:szCs w:val="28"/>
        </w:rPr>
        <w:t>六、水文地质</w:t>
      </w:r>
    </w:p>
    <w:p w14:paraId="12EE8884">
      <w:pPr>
        <w:spacing w:line="360" w:lineRule="auto"/>
        <w:ind w:firstLine="560" w:firstLineChars="200"/>
        <w:rPr>
          <w:sz w:val="28"/>
          <w:szCs w:val="28"/>
        </w:rPr>
      </w:pPr>
      <w:r>
        <w:rPr>
          <w:rFonts w:hint="eastAsia"/>
          <w:kern w:val="0"/>
          <w:sz w:val="28"/>
          <w:szCs w:val="28"/>
        </w:rPr>
        <w:t xml:space="preserve">矿区位于低山区，地形坡度总体为 </w:t>
      </w:r>
      <w:r>
        <w:rPr>
          <w:rFonts w:hint="eastAsia" w:ascii="宋体" w:hAnsi="宋体" w:cs="宋体"/>
          <w:spacing w:val="13"/>
          <w:sz w:val="32"/>
          <w:szCs w:val="32"/>
        </w:rPr>
        <w:t>***</w:t>
      </w:r>
      <w:r>
        <w:rPr>
          <w:rFonts w:hint="eastAsia"/>
          <w:kern w:val="0"/>
          <w:sz w:val="28"/>
          <w:szCs w:val="28"/>
        </w:rPr>
        <w:t>°，海拔</w:t>
      </w:r>
      <w:r>
        <w:rPr>
          <w:rFonts w:hint="eastAsia" w:ascii="宋体" w:hAnsi="宋体" w:cs="宋体"/>
          <w:spacing w:val="13"/>
          <w:sz w:val="32"/>
          <w:szCs w:val="32"/>
        </w:rPr>
        <w:t>***</w:t>
      </w:r>
      <w:r>
        <w:rPr>
          <w:rFonts w:hint="eastAsia"/>
          <w:kern w:val="0"/>
          <w:sz w:val="28"/>
          <w:szCs w:val="28"/>
        </w:rPr>
        <w:t>-</w:t>
      </w:r>
      <w:r>
        <w:rPr>
          <w:rFonts w:hint="eastAsia" w:ascii="宋体" w:hAnsi="宋体" w:cs="宋体"/>
          <w:spacing w:val="13"/>
          <w:sz w:val="32"/>
          <w:szCs w:val="32"/>
        </w:rPr>
        <w:t>***</w:t>
      </w:r>
      <w:r>
        <w:rPr>
          <w:rFonts w:hint="eastAsia"/>
          <w:kern w:val="0"/>
          <w:sz w:val="28"/>
          <w:szCs w:val="28"/>
        </w:rPr>
        <w:t>m，相对高差</w:t>
      </w:r>
      <w:r>
        <w:rPr>
          <w:rFonts w:hint="eastAsia" w:ascii="宋体" w:hAnsi="宋体" w:cs="宋体"/>
          <w:spacing w:val="13"/>
          <w:sz w:val="32"/>
          <w:szCs w:val="32"/>
        </w:rPr>
        <w:t>***</w:t>
      </w:r>
      <w:r>
        <w:rPr>
          <w:rFonts w:hint="eastAsia"/>
          <w:kern w:val="0"/>
          <w:sz w:val="28"/>
          <w:szCs w:val="28"/>
        </w:rPr>
        <w:t>m，矿区全区基岩裸露。</w:t>
      </w:r>
      <w:r>
        <w:rPr>
          <w:rFonts w:hint="eastAsia"/>
          <w:sz w:val="28"/>
          <w:szCs w:val="28"/>
        </w:rPr>
        <w:t>矿</w:t>
      </w:r>
      <w:r>
        <w:rPr>
          <w:sz w:val="28"/>
          <w:szCs w:val="28"/>
        </w:rPr>
        <w:t>区内地表无常年性水体存在，地表水系不发育，</w:t>
      </w:r>
      <w:r>
        <w:rPr>
          <w:rFonts w:hint="eastAsia"/>
          <w:sz w:val="28"/>
          <w:szCs w:val="28"/>
        </w:rPr>
        <w:t>当地最低侵蚀基准面为标高</w:t>
      </w:r>
      <w:r>
        <w:rPr>
          <w:rFonts w:hint="eastAsia" w:ascii="宋体" w:hAnsi="宋体" w:cs="宋体"/>
          <w:spacing w:val="13"/>
          <w:sz w:val="32"/>
          <w:szCs w:val="32"/>
        </w:rPr>
        <w:t>***</w:t>
      </w:r>
      <w:r>
        <w:rPr>
          <w:rFonts w:hint="eastAsia"/>
          <w:sz w:val="28"/>
          <w:szCs w:val="28"/>
        </w:rPr>
        <w:t>m。最高洪水水位为</w:t>
      </w:r>
      <w:r>
        <w:rPr>
          <w:rFonts w:hint="eastAsia" w:ascii="宋体" w:hAnsi="宋体" w:cs="宋体"/>
          <w:spacing w:val="13"/>
          <w:sz w:val="32"/>
          <w:szCs w:val="32"/>
        </w:rPr>
        <w:t>***</w:t>
      </w:r>
      <w:r>
        <w:rPr>
          <w:rFonts w:hint="eastAsia"/>
          <w:sz w:val="28"/>
          <w:szCs w:val="28"/>
        </w:rPr>
        <w:t>m。</w:t>
      </w:r>
    </w:p>
    <w:p w14:paraId="63F7E945">
      <w:pPr>
        <w:spacing w:line="360" w:lineRule="auto"/>
        <w:ind w:firstLine="560" w:firstLineChars="200"/>
        <w:rPr>
          <w:sz w:val="28"/>
          <w:szCs w:val="28"/>
        </w:rPr>
      </w:pPr>
      <w:r>
        <w:rPr>
          <w:rFonts w:hint="eastAsia"/>
          <w:sz w:val="28"/>
          <w:szCs w:val="28"/>
        </w:rPr>
        <w:t>（一）</w:t>
      </w:r>
      <w:r>
        <w:rPr>
          <w:sz w:val="28"/>
          <w:szCs w:val="28"/>
        </w:rPr>
        <w:t>岩（矿）层的富水性</w:t>
      </w:r>
    </w:p>
    <w:p w14:paraId="38BCFA8C">
      <w:pPr>
        <w:spacing w:line="360" w:lineRule="auto"/>
        <w:ind w:firstLine="560" w:firstLineChars="200"/>
        <w:rPr>
          <w:sz w:val="28"/>
          <w:szCs w:val="28"/>
        </w:rPr>
      </w:pPr>
      <w:r>
        <w:rPr>
          <w:rFonts w:hint="eastAsia"/>
          <w:sz w:val="28"/>
          <w:szCs w:val="28"/>
        </w:rPr>
        <w:t>1、透水不含水层</w:t>
      </w:r>
    </w:p>
    <w:p w14:paraId="44E497B6">
      <w:pPr>
        <w:spacing w:line="360" w:lineRule="auto"/>
        <w:ind w:firstLine="560" w:firstLineChars="200"/>
        <w:rPr>
          <w:sz w:val="28"/>
          <w:szCs w:val="28"/>
        </w:rPr>
      </w:pPr>
      <w:r>
        <w:rPr>
          <w:rFonts w:hint="eastAsia"/>
          <w:sz w:val="28"/>
          <w:szCs w:val="28"/>
        </w:rPr>
        <w:t>根据矿区内施工的地质钻孔水文地质编录工作。根据编录结果，揭露的地层岩性为玄武岩，均不含水，区内基岩风化带中岩石裂隙发育，局部见有钙质充填，局部裂面见有褐色氧化铁染，强风化带发育平均深度为</w:t>
      </w:r>
      <w:r>
        <w:rPr>
          <w:rFonts w:hint="eastAsia" w:ascii="宋体" w:hAnsi="宋体" w:cs="宋体"/>
          <w:spacing w:val="13"/>
          <w:sz w:val="32"/>
          <w:szCs w:val="32"/>
        </w:rPr>
        <w:t>***</w:t>
      </w:r>
      <w:r>
        <w:rPr>
          <w:rFonts w:hint="eastAsia"/>
          <w:sz w:val="28"/>
          <w:szCs w:val="28"/>
        </w:rPr>
        <w:t>m，中等风化带平均发育深度为</w:t>
      </w:r>
      <w:r>
        <w:rPr>
          <w:rFonts w:hint="eastAsia" w:ascii="宋体" w:hAnsi="宋体" w:cs="宋体"/>
          <w:spacing w:val="13"/>
          <w:sz w:val="32"/>
          <w:szCs w:val="32"/>
        </w:rPr>
        <w:t>***</w:t>
      </w:r>
      <w:r>
        <w:rPr>
          <w:rFonts w:hint="eastAsia"/>
          <w:sz w:val="28"/>
          <w:szCs w:val="28"/>
        </w:rPr>
        <w:t>m。</w:t>
      </w:r>
    </w:p>
    <w:p w14:paraId="109D0C91">
      <w:pPr>
        <w:spacing w:line="360" w:lineRule="auto"/>
        <w:ind w:firstLine="560" w:firstLineChars="200"/>
        <w:rPr>
          <w:sz w:val="28"/>
          <w:szCs w:val="28"/>
        </w:rPr>
      </w:pPr>
      <w:r>
        <w:rPr>
          <w:rFonts w:hint="eastAsia"/>
          <w:sz w:val="28"/>
          <w:szCs w:val="28"/>
        </w:rPr>
        <w:t>根据简易水文地质观测资料显示，在施工钻孔时，孔内未见漏浆严重，另外，通过矿区水文地质测绘资料显示，矿区地貌类型为低山区，现状矿区已形成采坑，岩性为玄武岩，采坑底部最低标高为</w:t>
      </w:r>
      <w:r>
        <w:rPr>
          <w:rFonts w:hint="eastAsia" w:ascii="宋体" w:hAnsi="宋体" w:cs="宋体"/>
          <w:spacing w:val="13"/>
          <w:sz w:val="32"/>
          <w:szCs w:val="32"/>
        </w:rPr>
        <w:t>***</w:t>
      </w:r>
      <w:r>
        <w:rPr>
          <w:rFonts w:hint="eastAsia"/>
          <w:sz w:val="28"/>
          <w:szCs w:val="28"/>
        </w:rPr>
        <w:t>m，亦未见地下水出露。</w:t>
      </w:r>
    </w:p>
    <w:p w14:paraId="73F7DC48">
      <w:pPr>
        <w:spacing w:line="360" w:lineRule="auto"/>
        <w:ind w:firstLine="560" w:firstLineChars="200"/>
        <w:rPr>
          <w:sz w:val="28"/>
          <w:szCs w:val="28"/>
        </w:rPr>
      </w:pPr>
      <w:r>
        <w:rPr>
          <w:rFonts w:hint="eastAsia"/>
          <w:sz w:val="28"/>
          <w:szCs w:val="28"/>
        </w:rPr>
        <w:t>综上所述，钻孔孔底标高为</w:t>
      </w:r>
      <w:r>
        <w:rPr>
          <w:rFonts w:hint="eastAsia" w:ascii="宋体" w:hAnsi="宋体" w:cs="宋体"/>
          <w:spacing w:val="13"/>
          <w:sz w:val="32"/>
          <w:szCs w:val="32"/>
        </w:rPr>
        <w:t>***</w:t>
      </w:r>
      <w:r>
        <w:rPr>
          <w:rFonts w:hint="eastAsia"/>
          <w:sz w:val="28"/>
          <w:szCs w:val="28"/>
        </w:rPr>
        <w:t>m，资源储量估算最低标高</w:t>
      </w:r>
      <w:r>
        <w:rPr>
          <w:rFonts w:hint="eastAsia" w:ascii="宋体" w:hAnsi="宋体" w:cs="宋体"/>
          <w:spacing w:val="13"/>
          <w:sz w:val="32"/>
          <w:szCs w:val="32"/>
        </w:rPr>
        <w:t>***</w:t>
      </w:r>
      <w:r>
        <w:rPr>
          <w:rFonts w:hint="eastAsia"/>
          <w:sz w:val="28"/>
          <w:szCs w:val="28"/>
        </w:rPr>
        <w:t>m。因此矿区内未揭露含水层，该岩层为透水不含水层。</w:t>
      </w:r>
    </w:p>
    <w:p w14:paraId="06CAAC8C">
      <w:pPr>
        <w:spacing w:line="360" w:lineRule="auto"/>
        <w:ind w:firstLine="560" w:firstLineChars="200"/>
        <w:rPr>
          <w:sz w:val="28"/>
          <w:szCs w:val="28"/>
        </w:rPr>
      </w:pPr>
      <w:r>
        <w:rPr>
          <w:rFonts w:hint="eastAsia"/>
          <w:sz w:val="28"/>
          <w:szCs w:val="28"/>
        </w:rPr>
        <w:t>2、隔水层</w:t>
      </w:r>
    </w:p>
    <w:p w14:paraId="284A2A0A">
      <w:pPr>
        <w:spacing w:line="360" w:lineRule="auto"/>
        <w:ind w:firstLine="560" w:firstLineChars="200"/>
        <w:rPr>
          <w:sz w:val="28"/>
          <w:szCs w:val="28"/>
        </w:rPr>
      </w:pPr>
      <w:r>
        <w:rPr>
          <w:rFonts w:hint="eastAsia"/>
          <w:sz w:val="28"/>
          <w:szCs w:val="28"/>
        </w:rPr>
        <w:t>矿区隔水层主要为玄武岩，灰-灰黑色，斑状结构，块状构造，斑晶主要为斜长石、角闪石。基质为隐晶质。岩石由不透水不含水，为隔水层。</w:t>
      </w:r>
    </w:p>
    <w:p w14:paraId="403B776F">
      <w:pPr>
        <w:spacing w:line="360" w:lineRule="auto"/>
        <w:ind w:firstLine="560" w:firstLineChars="200"/>
        <w:rPr>
          <w:sz w:val="28"/>
          <w:szCs w:val="28"/>
        </w:rPr>
      </w:pPr>
      <w:r>
        <w:rPr>
          <w:rFonts w:hint="eastAsia"/>
          <w:sz w:val="28"/>
          <w:szCs w:val="28"/>
        </w:rPr>
        <w:t>（二）</w:t>
      </w:r>
      <w:r>
        <w:rPr>
          <w:sz w:val="28"/>
          <w:szCs w:val="28"/>
        </w:rPr>
        <w:t>地下水补给、径流及排泄</w:t>
      </w:r>
    </w:p>
    <w:p w14:paraId="4461A0D6">
      <w:pPr>
        <w:spacing w:line="360" w:lineRule="auto"/>
        <w:ind w:firstLine="560" w:firstLineChars="200"/>
        <w:rPr>
          <w:sz w:val="28"/>
          <w:szCs w:val="28"/>
        </w:rPr>
      </w:pPr>
      <w:r>
        <w:rPr>
          <w:rFonts w:hint="eastAsia"/>
          <w:sz w:val="28"/>
          <w:szCs w:val="28"/>
        </w:rPr>
        <w:t>区内地下水补给以大气降水为主，大气降水以地表水的形式一部分以蒸发的方式进行排泄，大部分通过基岩山区以地表径流的方式沿切沟径流排泄出区外，地下水在地形控制下由高到低向下运移。</w:t>
      </w:r>
    </w:p>
    <w:p w14:paraId="7063FE77">
      <w:pPr>
        <w:spacing w:line="360" w:lineRule="auto"/>
        <w:ind w:firstLine="560" w:firstLineChars="200"/>
        <w:rPr>
          <w:sz w:val="28"/>
          <w:szCs w:val="28"/>
        </w:rPr>
      </w:pPr>
      <w:r>
        <w:rPr>
          <w:rFonts w:hint="eastAsia"/>
          <w:sz w:val="28"/>
          <w:szCs w:val="28"/>
        </w:rPr>
        <w:t>（三）</w:t>
      </w:r>
      <w:r>
        <w:rPr>
          <w:sz w:val="28"/>
          <w:szCs w:val="28"/>
        </w:rPr>
        <w:t>充水因素</w:t>
      </w:r>
    </w:p>
    <w:p w14:paraId="47261B6F">
      <w:pPr>
        <w:spacing w:line="360" w:lineRule="auto"/>
        <w:ind w:firstLine="560" w:firstLineChars="200"/>
        <w:rPr>
          <w:sz w:val="28"/>
          <w:szCs w:val="28"/>
        </w:rPr>
      </w:pPr>
      <w:r>
        <w:rPr>
          <w:rFonts w:hint="eastAsia"/>
          <w:sz w:val="28"/>
          <w:szCs w:val="28"/>
        </w:rPr>
        <w:t>1、充水水源</w:t>
      </w:r>
    </w:p>
    <w:p w14:paraId="1BF74313">
      <w:pPr>
        <w:spacing w:line="360" w:lineRule="auto"/>
        <w:ind w:firstLine="560" w:firstLineChars="200"/>
        <w:rPr>
          <w:sz w:val="28"/>
          <w:szCs w:val="28"/>
        </w:rPr>
      </w:pPr>
      <w:r>
        <w:rPr>
          <w:rFonts w:hint="eastAsia"/>
          <w:sz w:val="28"/>
          <w:szCs w:val="28"/>
        </w:rPr>
        <w:t>核实区最低侵蚀基准面为</w:t>
      </w:r>
      <w:r>
        <w:rPr>
          <w:rFonts w:hint="eastAsia" w:ascii="宋体" w:hAnsi="宋体" w:cs="宋体"/>
          <w:spacing w:val="13"/>
          <w:sz w:val="32"/>
          <w:szCs w:val="32"/>
        </w:rPr>
        <w:t>***</w:t>
      </w:r>
      <w:r>
        <w:rPr>
          <w:rFonts w:hint="eastAsia"/>
          <w:sz w:val="28"/>
          <w:szCs w:val="28"/>
        </w:rPr>
        <w:t>m，矿体估算最低标高为</w:t>
      </w:r>
      <w:r>
        <w:rPr>
          <w:rFonts w:hint="eastAsia" w:ascii="宋体" w:hAnsi="宋体" w:cs="宋体"/>
          <w:spacing w:val="13"/>
          <w:sz w:val="32"/>
          <w:szCs w:val="32"/>
        </w:rPr>
        <w:t>***</w:t>
      </w:r>
      <w:r>
        <w:rPr>
          <w:rFonts w:hint="eastAsia"/>
          <w:sz w:val="28"/>
          <w:szCs w:val="28"/>
        </w:rPr>
        <w:t>m，垂直范围内矿体估算标高位于核实区最低侵蚀基准面以上，矿区周边无松散岩类孔隙水、基岩裂隙水水位标高为</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m，位于矿体最低标高以下。矿床主要充水水源为大气降水。</w:t>
      </w:r>
    </w:p>
    <w:p w14:paraId="77D4E9E5">
      <w:pPr>
        <w:spacing w:line="360" w:lineRule="auto"/>
        <w:ind w:firstLine="560" w:firstLineChars="200"/>
        <w:rPr>
          <w:sz w:val="28"/>
          <w:szCs w:val="28"/>
        </w:rPr>
      </w:pPr>
      <w:r>
        <w:rPr>
          <w:rFonts w:hint="eastAsia"/>
          <w:sz w:val="28"/>
          <w:szCs w:val="28"/>
        </w:rPr>
        <w:t>2、充水通道</w:t>
      </w:r>
    </w:p>
    <w:p w14:paraId="3E1DE6A9">
      <w:pPr>
        <w:spacing w:line="360" w:lineRule="auto"/>
        <w:ind w:firstLine="560" w:firstLineChars="200"/>
        <w:rPr>
          <w:sz w:val="28"/>
          <w:szCs w:val="28"/>
        </w:rPr>
      </w:pPr>
      <w:r>
        <w:rPr>
          <w:rFonts w:hint="eastAsia"/>
          <w:sz w:val="28"/>
          <w:szCs w:val="28"/>
        </w:rPr>
        <w:t>矿床上部充水通道主要为风化带网状裂隙，下部充水通道主要以构造裂隙通道为主，因此大气降水或外围基岩裂隙水通过上部基岩风化裂隙带，以及下部构造裂隙或断裂破碎带渗入，是充水水源进入矿坑的主要通道，此外，还存在风钻炮眼、爆破震动裂隙等人为导致的矿床充水通道。</w:t>
      </w:r>
    </w:p>
    <w:p w14:paraId="1C26AD99">
      <w:pPr>
        <w:spacing w:line="360" w:lineRule="auto"/>
        <w:ind w:firstLine="560" w:firstLineChars="200"/>
        <w:rPr>
          <w:sz w:val="28"/>
          <w:szCs w:val="28"/>
        </w:rPr>
      </w:pPr>
      <w:r>
        <w:rPr>
          <w:rFonts w:hint="eastAsia"/>
          <w:sz w:val="28"/>
          <w:szCs w:val="28"/>
        </w:rPr>
        <w:t>3、充水强度</w:t>
      </w:r>
    </w:p>
    <w:p w14:paraId="12DE9602">
      <w:pPr>
        <w:spacing w:line="360" w:lineRule="auto"/>
        <w:ind w:firstLine="560" w:firstLineChars="200"/>
        <w:rPr>
          <w:sz w:val="28"/>
          <w:szCs w:val="28"/>
        </w:rPr>
      </w:pPr>
      <w:r>
        <w:rPr>
          <w:rFonts w:hint="eastAsia"/>
          <w:sz w:val="28"/>
          <w:szCs w:val="28"/>
        </w:rPr>
        <w:t>矿体位于当地侵蚀基准面以上，开采矿床的充水强度受大气降水、破碎带的影响明显，矿床充水含水层的透水性差，富水性弱，补给条件差，矿床的充水强度弱，且随季节变化，疏干时水位下降较快，矿坑的正常涌水对生产不构成太大影响。</w:t>
      </w:r>
    </w:p>
    <w:p w14:paraId="002D92E3">
      <w:pPr>
        <w:spacing w:line="360" w:lineRule="auto"/>
        <w:ind w:firstLine="560" w:firstLineChars="200"/>
        <w:rPr>
          <w:sz w:val="28"/>
          <w:szCs w:val="28"/>
        </w:rPr>
      </w:pPr>
      <w:r>
        <w:rPr>
          <w:rFonts w:hint="eastAsia"/>
          <w:sz w:val="28"/>
          <w:szCs w:val="28"/>
        </w:rPr>
        <w:t>4、构造裂隙水对矿坑涌水的影响</w:t>
      </w:r>
    </w:p>
    <w:p w14:paraId="6F68BEDE">
      <w:pPr>
        <w:spacing w:line="360" w:lineRule="auto"/>
        <w:ind w:firstLine="560" w:firstLineChars="200"/>
        <w:rPr>
          <w:sz w:val="28"/>
          <w:szCs w:val="28"/>
        </w:rPr>
      </w:pPr>
      <w:r>
        <w:rPr>
          <w:rFonts w:hint="eastAsia"/>
          <w:sz w:val="28"/>
          <w:szCs w:val="28"/>
        </w:rPr>
        <w:t>矿区内断裂构造不发育，根据部分地质钻孔水文地质编录发现，揭露的地层岩性为玄武岩，岩石裂隙较发育，未见地下水活动痕迹，通过实地水位测量，未见地下水。</w:t>
      </w:r>
    </w:p>
    <w:p w14:paraId="206F3187">
      <w:pPr>
        <w:spacing w:line="360" w:lineRule="auto"/>
        <w:ind w:firstLine="560" w:firstLineChars="200"/>
        <w:rPr>
          <w:sz w:val="28"/>
          <w:szCs w:val="28"/>
        </w:rPr>
      </w:pPr>
      <w:r>
        <w:rPr>
          <w:rFonts w:hint="eastAsia"/>
          <w:sz w:val="28"/>
          <w:szCs w:val="28"/>
        </w:rPr>
        <w:t>（四）</w:t>
      </w:r>
      <w:r>
        <w:rPr>
          <w:sz w:val="28"/>
          <w:szCs w:val="28"/>
        </w:rPr>
        <w:t>涌水量预测</w:t>
      </w:r>
    </w:p>
    <w:p w14:paraId="64CBD90A">
      <w:pPr>
        <w:spacing w:line="360" w:lineRule="auto"/>
        <w:ind w:firstLine="560" w:firstLineChars="200"/>
        <w:rPr>
          <w:rFonts w:hint="eastAsia" w:ascii="宋体" w:hAnsi="宋体" w:cs="宋体"/>
          <w:sz w:val="28"/>
          <w:szCs w:val="28"/>
        </w:rPr>
      </w:pPr>
      <w:r>
        <w:rPr>
          <w:rFonts w:hint="eastAsia" w:ascii="宋体" w:hAnsi="宋体" w:cs="宋体"/>
          <w:sz w:val="28"/>
          <w:szCs w:val="28"/>
        </w:rPr>
        <w:t>1、预测方法及公式选定</w:t>
      </w:r>
    </w:p>
    <w:p w14:paraId="7B523C08">
      <w:pPr>
        <w:spacing w:line="360" w:lineRule="auto"/>
        <w:ind w:firstLine="560" w:firstLineChars="200"/>
        <w:rPr>
          <w:rFonts w:hint="eastAsia" w:ascii="宋体" w:hAnsi="宋体" w:cs="宋体"/>
          <w:sz w:val="28"/>
          <w:szCs w:val="28"/>
        </w:rPr>
      </w:pPr>
      <w:r>
        <w:rPr>
          <w:rFonts w:hint="eastAsia" w:ascii="宋体" w:hAnsi="宋体" w:cs="宋体"/>
          <w:sz w:val="28"/>
          <w:szCs w:val="28"/>
        </w:rPr>
        <w:t>根据</w:t>
      </w:r>
      <w:r>
        <w:rPr>
          <w:rFonts w:hint="eastAsia" w:ascii="宋体" w:hAnsi="宋体" w:cs="宋体"/>
          <w:kern w:val="28"/>
          <w:sz w:val="28"/>
          <w:szCs w:val="28"/>
        </w:rPr>
        <w:t>《矿坑涌水量预测计算规程》（DZ/T 0342-2020）</w:t>
      </w:r>
      <w:r>
        <w:rPr>
          <w:rFonts w:hint="eastAsia" w:ascii="宋体" w:hAnsi="宋体" w:cs="宋体"/>
          <w:sz w:val="28"/>
          <w:szCs w:val="28"/>
        </w:rPr>
        <w:t>、《矿区水文地质工程地质勘查规范》（GB/T 12719-2021）</w:t>
      </w:r>
      <w:r>
        <w:rPr>
          <w:rFonts w:hint="eastAsia" w:ascii="宋体" w:hAnsi="宋体" w:cs="宋体"/>
          <w:kern w:val="28"/>
          <w:sz w:val="28"/>
          <w:szCs w:val="28"/>
        </w:rPr>
        <w:t>，</w:t>
      </w:r>
      <w:r>
        <w:rPr>
          <w:rFonts w:hint="eastAsia" w:ascii="宋体" w:hAnsi="宋体" w:cs="宋体"/>
          <w:sz w:val="28"/>
          <w:szCs w:val="28"/>
        </w:rPr>
        <w:t>并结合区内实际调查结果、矿体形态、分布及充水方式，确定对矿区采用汇入采坑的方法预测采坑正常汇水量、最大汇水量，具体计算公式选定如下：</w:t>
      </w:r>
    </w:p>
    <w:p w14:paraId="1CD5F239">
      <w:pPr>
        <w:spacing w:line="360" w:lineRule="auto"/>
        <w:ind w:firstLine="560" w:firstLineChars="200"/>
        <w:rPr>
          <w:rFonts w:hint="eastAsia" w:ascii="宋体" w:hAnsi="宋体" w:cs="宋体"/>
          <w:sz w:val="28"/>
          <w:szCs w:val="28"/>
        </w:rPr>
      </w:pPr>
      <w:r>
        <w:rPr>
          <w:rFonts w:hint="eastAsia" w:ascii="宋体" w:hAnsi="宋体" w:cs="宋体"/>
          <w:sz w:val="28"/>
          <w:szCs w:val="28"/>
        </w:rPr>
        <w:t>汇入采坑水量计算公式：Q</w:t>
      </w:r>
      <w:r>
        <w:rPr>
          <w:rFonts w:hint="eastAsia" w:ascii="宋体" w:hAnsi="宋体" w:cs="宋体"/>
          <w:sz w:val="28"/>
          <w:szCs w:val="28"/>
          <w:vertAlign w:val="subscript"/>
        </w:rPr>
        <w:t>汇</w:t>
      </w:r>
      <w:r>
        <w:rPr>
          <w:rFonts w:hint="eastAsia" w:ascii="宋体" w:hAnsi="宋体" w:cs="宋体"/>
          <w:sz w:val="28"/>
          <w:szCs w:val="28"/>
        </w:rPr>
        <w:t>=</w:t>
      </w:r>
      <w:r>
        <w:rPr>
          <w:rFonts w:hint="eastAsia" w:ascii="宋体" w:hAnsi="宋体" w:cs="宋体"/>
          <w:i/>
          <w:sz w:val="28"/>
          <w:szCs w:val="28"/>
        </w:rPr>
        <w:t>F</w:t>
      </w:r>
      <w:r>
        <w:rPr>
          <w:rFonts w:hint="eastAsia" w:ascii="宋体" w:hAnsi="宋体" w:cs="宋体"/>
          <w:i/>
          <w:sz w:val="28"/>
          <w:szCs w:val="28"/>
          <w:vertAlign w:val="subscript"/>
        </w:rPr>
        <w:t>汇</w:t>
      </w:r>
      <w:r>
        <w:rPr>
          <w:rFonts w:hint="eastAsia" w:ascii="宋体" w:hAnsi="宋体" w:cs="宋体"/>
          <w:i/>
          <w:sz w:val="28"/>
          <w:szCs w:val="28"/>
        </w:rPr>
        <w:t>×P×</w:t>
      </w:r>
      <w:r>
        <w:rPr>
          <w:rFonts w:hint="eastAsia" w:ascii="宋体" w:hAnsi="宋体" w:cs="宋体"/>
          <w:sz w:val="28"/>
          <w:szCs w:val="28"/>
        </w:rPr>
        <w:t>α</w:t>
      </w:r>
    </w:p>
    <w:p w14:paraId="56BA3D29">
      <w:pPr>
        <w:spacing w:line="360" w:lineRule="auto"/>
        <w:ind w:firstLine="560" w:firstLineChars="200"/>
        <w:rPr>
          <w:rFonts w:hint="eastAsia" w:ascii="宋体" w:hAnsi="宋体" w:cs="宋体"/>
          <w:sz w:val="28"/>
          <w:szCs w:val="28"/>
        </w:rPr>
      </w:pPr>
      <w:r>
        <w:rPr>
          <w:rFonts w:hint="eastAsia" w:ascii="宋体" w:hAnsi="宋体" w:cs="宋体"/>
          <w:sz w:val="28"/>
          <w:szCs w:val="28"/>
        </w:rPr>
        <w:t>式中：Q</w:t>
      </w:r>
      <w:r>
        <w:rPr>
          <w:rFonts w:hint="eastAsia" w:ascii="宋体" w:hAnsi="宋体" w:cs="宋体"/>
          <w:sz w:val="28"/>
          <w:szCs w:val="28"/>
          <w:vertAlign w:val="subscript"/>
        </w:rPr>
        <w:t>汇</w:t>
      </w:r>
      <w:r>
        <w:rPr>
          <w:rFonts w:hint="eastAsia" w:ascii="宋体" w:hAnsi="宋体" w:cs="宋体"/>
          <w:sz w:val="28"/>
          <w:szCs w:val="28"/>
        </w:rPr>
        <w:t>—汇入采坑水量（m</w:t>
      </w:r>
      <w:r>
        <w:rPr>
          <w:rFonts w:hint="eastAsia" w:ascii="宋体" w:hAnsi="宋体" w:cs="宋体"/>
          <w:sz w:val="28"/>
          <w:szCs w:val="28"/>
          <w:vertAlign w:val="superscript"/>
        </w:rPr>
        <w:t>3</w:t>
      </w:r>
      <w:r>
        <w:rPr>
          <w:rFonts w:hint="eastAsia" w:ascii="宋体" w:hAnsi="宋体" w:cs="宋体"/>
          <w:sz w:val="28"/>
          <w:szCs w:val="28"/>
        </w:rPr>
        <w:t>/d）</w:t>
      </w:r>
    </w:p>
    <w:p w14:paraId="41C94089">
      <w:pPr>
        <w:spacing w:line="360" w:lineRule="auto"/>
        <w:ind w:firstLine="1400" w:firstLineChars="500"/>
        <w:rPr>
          <w:rFonts w:hint="eastAsia" w:ascii="宋体" w:hAnsi="宋体" w:cs="宋体"/>
          <w:sz w:val="28"/>
          <w:szCs w:val="28"/>
        </w:rPr>
      </w:pPr>
      <w:r>
        <w:rPr>
          <w:rFonts w:hint="eastAsia" w:ascii="宋体" w:hAnsi="宋体" w:cs="宋体"/>
          <w:sz w:val="28"/>
          <w:szCs w:val="28"/>
        </w:rPr>
        <w:t>F</w:t>
      </w:r>
      <w:r>
        <w:rPr>
          <w:rFonts w:hint="eastAsia" w:ascii="宋体" w:hAnsi="宋体" w:cs="宋体"/>
          <w:sz w:val="28"/>
          <w:szCs w:val="28"/>
          <w:vertAlign w:val="subscript"/>
        </w:rPr>
        <w:t>汇</w:t>
      </w:r>
      <w:r>
        <w:rPr>
          <w:rFonts w:hint="eastAsia" w:ascii="宋体" w:hAnsi="宋体" w:cs="宋体"/>
          <w:sz w:val="28"/>
          <w:szCs w:val="28"/>
        </w:rPr>
        <w:t>—采坑汇水面积（</w:t>
      </w:r>
      <w:r>
        <w:rPr>
          <w:rFonts w:hint="eastAsia" w:ascii="宋体" w:hAnsi="宋体" w:cs="宋体"/>
          <w:spacing w:val="13"/>
          <w:sz w:val="32"/>
          <w:szCs w:val="32"/>
        </w:rPr>
        <w:t>***</w:t>
      </w:r>
      <w:r>
        <w:rPr>
          <w:rFonts w:hint="eastAsia" w:ascii="宋体" w:hAnsi="宋体" w:cs="宋体"/>
          <w:sz w:val="28"/>
          <w:szCs w:val="28"/>
        </w:rPr>
        <w:t>m</w:t>
      </w:r>
      <w:r>
        <w:rPr>
          <w:rFonts w:hint="eastAsia" w:ascii="宋体" w:hAnsi="宋体" w:cs="宋体"/>
          <w:sz w:val="28"/>
          <w:szCs w:val="28"/>
          <w:vertAlign w:val="superscript"/>
        </w:rPr>
        <w:t>2</w:t>
      </w:r>
      <w:r>
        <w:rPr>
          <w:rFonts w:hint="eastAsia" w:ascii="宋体" w:hAnsi="宋体" w:cs="宋体"/>
          <w:sz w:val="28"/>
          <w:szCs w:val="28"/>
        </w:rPr>
        <w:t>）</w:t>
      </w:r>
    </w:p>
    <w:p w14:paraId="60BD9E29">
      <w:pPr>
        <w:spacing w:line="360" w:lineRule="auto"/>
        <w:ind w:firstLine="1400" w:firstLineChars="500"/>
        <w:rPr>
          <w:rFonts w:hint="eastAsia" w:ascii="宋体" w:hAnsi="宋体" w:cs="宋体"/>
          <w:sz w:val="28"/>
          <w:szCs w:val="28"/>
        </w:rPr>
      </w:pPr>
      <w:r>
        <w:rPr>
          <w:rFonts w:hint="eastAsia" w:ascii="宋体" w:hAnsi="宋体" w:cs="宋体"/>
          <w:i/>
          <w:sz w:val="28"/>
          <w:szCs w:val="28"/>
        </w:rPr>
        <w:t>P</w:t>
      </w:r>
      <w:r>
        <w:rPr>
          <w:rFonts w:hint="eastAsia" w:ascii="宋体" w:hAnsi="宋体" w:cs="宋体"/>
          <w:sz w:val="28"/>
          <w:szCs w:val="28"/>
        </w:rPr>
        <w:t>—日平均/最大降雨量（m）</w:t>
      </w:r>
    </w:p>
    <w:p w14:paraId="6569754A">
      <w:pPr>
        <w:spacing w:line="360" w:lineRule="auto"/>
        <w:ind w:firstLine="1400" w:firstLineChars="500"/>
        <w:rPr>
          <w:rFonts w:hint="eastAsia" w:ascii="宋体" w:hAnsi="宋体" w:cs="宋体"/>
          <w:sz w:val="28"/>
          <w:szCs w:val="28"/>
        </w:rPr>
      </w:pPr>
      <w:r>
        <w:rPr>
          <w:rFonts w:hint="eastAsia" w:ascii="宋体" w:hAnsi="宋体" w:cs="宋体"/>
          <w:sz w:val="28"/>
          <w:szCs w:val="28"/>
        </w:rPr>
        <w:t>α—地表径流系数（本次采用</w:t>
      </w:r>
      <w:r>
        <w:rPr>
          <w:rFonts w:hint="eastAsia" w:ascii="宋体" w:hAnsi="宋体" w:cs="宋体"/>
          <w:spacing w:val="13"/>
          <w:sz w:val="32"/>
          <w:szCs w:val="32"/>
        </w:rPr>
        <w:t>***</w:t>
      </w:r>
      <w:r>
        <w:rPr>
          <w:rFonts w:hint="eastAsia" w:ascii="宋体" w:hAnsi="宋体" w:cs="宋体"/>
          <w:sz w:val="28"/>
          <w:szCs w:val="28"/>
        </w:rPr>
        <w:t>）</w:t>
      </w:r>
    </w:p>
    <w:p w14:paraId="19C59564">
      <w:pPr>
        <w:spacing w:line="360" w:lineRule="auto"/>
        <w:ind w:firstLine="560" w:firstLineChars="200"/>
        <w:rPr>
          <w:rFonts w:hint="eastAsia" w:ascii="宋体" w:hAnsi="宋体" w:cs="宋体"/>
          <w:sz w:val="28"/>
          <w:szCs w:val="28"/>
        </w:rPr>
      </w:pPr>
      <w:r>
        <w:rPr>
          <w:rFonts w:hint="eastAsia" w:ascii="宋体" w:hAnsi="宋体" w:cs="宋体"/>
          <w:sz w:val="28"/>
          <w:szCs w:val="28"/>
        </w:rPr>
        <w:t>2、参数选择</w:t>
      </w:r>
    </w:p>
    <w:p w14:paraId="4C00DA52">
      <w:pPr>
        <w:spacing w:line="360" w:lineRule="auto"/>
        <w:ind w:firstLine="560" w:firstLineChars="200"/>
        <w:rPr>
          <w:rFonts w:hint="eastAsia" w:ascii="宋体" w:hAnsi="宋体" w:cs="宋体"/>
          <w:sz w:val="28"/>
          <w:szCs w:val="28"/>
        </w:rPr>
      </w:pPr>
      <w:r>
        <w:rPr>
          <w:rFonts w:hint="eastAsia" w:ascii="宋体" w:hAnsi="宋体" w:cs="宋体"/>
          <w:sz w:val="28"/>
          <w:szCs w:val="28"/>
        </w:rPr>
        <w:t>根据上述计算公式并结合矿体分布、形态等结果及近十年年平均降水量</w:t>
      </w:r>
      <w:r>
        <w:rPr>
          <w:rFonts w:hint="eastAsia" w:ascii="宋体" w:hAnsi="宋体" w:cs="宋体"/>
          <w:spacing w:val="13"/>
          <w:sz w:val="32"/>
          <w:szCs w:val="32"/>
        </w:rPr>
        <w:t>***</w:t>
      </w:r>
      <w:r>
        <w:rPr>
          <w:rFonts w:hint="eastAsia" w:ascii="宋体" w:hAnsi="宋体" w:cs="宋体"/>
          <w:sz w:val="28"/>
          <w:szCs w:val="28"/>
        </w:rPr>
        <w:t>mm，日最大降雨量</w:t>
      </w:r>
      <w:r>
        <w:rPr>
          <w:rFonts w:hint="eastAsia" w:ascii="宋体" w:hAnsi="宋体" w:cs="宋体"/>
          <w:spacing w:val="13"/>
          <w:sz w:val="32"/>
          <w:szCs w:val="32"/>
        </w:rPr>
        <w:t xml:space="preserve">*** </w:t>
      </w:r>
      <w:r>
        <w:rPr>
          <w:rFonts w:hint="eastAsia" w:ascii="宋体" w:hAnsi="宋体" w:cs="宋体"/>
          <w:sz w:val="28"/>
          <w:szCs w:val="28"/>
        </w:rPr>
        <w:t>mm。汇水面积以地形分水岭为界线，并结合截水沟位置及水流方向，综合圈定汇水面积。见表2-2。</w:t>
      </w:r>
    </w:p>
    <w:p w14:paraId="57C45015">
      <w:pPr>
        <w:jc w:val="center"/>
        <w:rPr>
          <w:rFonts w:hint="eastAsia" w:ascii="宋体" w:hAnsi="宋体"/>
          <w:b/>
          <w:bCs/>
          <w:spacing w:val="-2"/>
          <w:sz w:val="24"/>
          <w:szCs w:val="24"/>
          <w:lang w:val="zh-CN"/>
        </w:rPr>
      </w:pPr>
      <w:r>
        <w:rPr>
          <w:rFonts w:hint="eastAsia" w:ascii="宋体" w:hAnsi="宋体"/>
          <w:b/>
          <w:bCs/>
          <w:spacing w:val="-2"/>
          <w:sz w:val="24"/>
          <w:szCs w:val="24"/>
          <w:lang w:val="zh-CN"/>
        </w:rPr>
        <w:t>表2-2   计算公式参数统计表</w:t>
      </w:r>
    </w:p>
    <w:p w14:paraId="21411CBC">
      <w:pPr>
        <w:spacing w:before="120" w:beforeLines="50" w:line="360" w:lineRule="auto"/>
        <w:ind w:firstLine="512" w:firstLineChars="183"/>
        <w:rPr>
          <w:rFonts w:hint="eastAsia" w:ascii="宋体" w:hAnsi="宋体" w:cs="宋体"/>
          <w:sz w:val="28"/>
          <w:szCs w:val="28"/>
        </w:rPr>
      </w:pPr>
      <w:r>
        <w:rPr>
          <w:rFonts w:hint="eastAsia" w:ascii="宋体" w:hAnsi="宋体" w:cs="宋体"/>
          <w:sz w:val="28"/>
          <w:szCs w:val="28"/>
        </w:rPr>
        <w:t>3、预测计算及结果评价</w:t>
      </w:r>
    </w:p>
    <w:p w14:paraId="59F80960">
      <w:pPr>
        <w:spacing w:line="360" w:lineRule="auto"/>
        <w:ind w:firstLine="560" w:firstLineChars="200"/>
        <w:rPr>
          <w:rFonts w:hint="eastAsia" w:ascii="宋体" w:hAnsi="宋体" w:cs="宋体"/>
          <w:sz w:val="28"/>
          <w:szCs w:val="28"/>
        </w:rPr>
      </w:pPr>
      <w:r>
        <w:rPr>
          <w:rFonts w:hint="eastAsia" w:ascii="宋体" w:hAnsi="宋体" w:cs="宋体"/>
          <w:sz w:val="28"/>
          <w:szCs w:val="28"/>
        </w:rPr>
        <w:t>综上所述，矿区内露天采坑在正常降雨条件下，降入露天采坑的汇水量为</w:t>
      </w:r>
      <w:r>
        <w:rPr>
          <w:rFonts w:hint="eastAsia" w:ascii="宋体" w:hAnsi="宋体" w:cs="宋体"/>
          <w:spacing w:val="13"/>
          <w:sz w:val="32"/>
          <w:szCs w:val="32"/>
        </w:rPr>
        <w:t>***</w:t>
      </w:r>
      <w:r>
        <w:rPr>
          <w:rFonts w:hint="eastAsia" w:ascii="宋体" w:hAnsi="宋体" w:cs="宋体"/>
          <w:sz w:val="28"/>
          <w:szCs w:val="28"/>
        </w:rPr>
        <w:t>m</w:t>
      </w:r>
      <w:r>
        <w:rPr>
          <w:rFonts w:hint="eastAsia" w:ascii="宋体" w:hAnsi="宋体" w:cs="宋体"/>
          <w:sz w:val="28"/>
          <w:szCs w:val="28"/>
          <w:vertAlign w:val="superscript"/>
        </w:rPr>
        <w:t>3</w:t>
      </w:r>
      <w:r>
        <w:rPr>
          <w:rFonts w:hint="eastAsia" w:ascii="宋体" w:hAnsi="宋体" w:cs="宋体"/>
          <w:sz w:val="28"/>
          <w:szCs w:val="28"/>
        </w:rPr>
        <w:t>/d；在极端天气条件下，降入露天采坑的汇水量为</w:t>
      </w:r>
      <w:r>
        <w:rPr>
          <w:rFonts w:hint="eastAsia" w:ascii="宋体" w:hAnsi="宋体" w:cs="宋体"/>
          <w:spacing w:val="13"/>
          <w:sz w:val="32"/>
          <w:szCs w:val="32"/>
        </w:rPr>
        <w:t>***</w:t>
      </w:r>
      <w:r>
        <w:rPr>
          <w:rFonts w:hint="eastAsia" w:ascii="宋体" w:hAnsi="宋体" w:cs="宋体"/>
          <w:sz w:val="28"/>
          <w:szCs w:val="28"/>
        </w:rPr>
        <w:t>m</w:t>
      </w:r>
      <w:r>
        <w:rPr>
          <w:rFonts w:hint="eastAsia" w:ascii="宋体" w:hAnsi="宋体" w:cs="宋体"/>
          <w:sz w:val="28"/>
          <w:szCs w:val="28"/>
          <w:vertAlign w:val="superscript"/>
        </w:rPr>
        <w:t>3</w:t>
      </w:r>
      <w:r>
        <w:rPr>
          <w:rFonts w:hint="eastAsia" w:ascii="宋体" w:hAnsi="宋体" w:cs="宋体"/>
          <w:sz w:val="28"/>
          <w:szCs w:val="28"/>
        </w:rPr>
        <w:t>/d。</w:t>
      </w:r>
    </w:p>
    <w:p w14:paraId="1B8C80BE">
      <w:pPr>
        <w:spacing w:line="360" w:lineRule="auto"/>
        <w:ind w:firstLine="560" w:firstLineChars="200"/>
        <w:rPr>
          <w:sz w:val="32"/>
          <w:szCs w:val="32"/>
        </w:rPr>
      </w:pPr>
      <w:r>
        <w:rPr>
          <w:rFonts w:hint="eastAsia" w:ascii="宋体" w:hAnsi="宋体" w:cs="宋体"/>
          <w:sz w:val="28"/>
          <w:szCs w:val="28"/>
        </w:rPr>
        <w:t>本报告采用汇入采坑水量的计算方法对矿区涌水量进行了预测，利用的预测方法、计算公式及预测的涌水量符合矿区水文地质工程地质勘查规范。</w:t>
      </w:r>
    </w:p>
    <w:p w14:paraId="7833BCD5">
      <w:pPr>
        <w:spacing w:line="360" w:lineRule="auto"/>
        <w:ind w:firstLine="560" w:firstLineChars="200"/>
        <w:rPr>
          <w:sz w:val="28"/>
          <w:szCs w:val="28"/>
        </w:rPr>
      </w:pPr>
      <w:bookmarkStart w:id="66" w:name="OLE_LINK16"/>
      <w:r>
        <w:rPr>
          <w:rFonts w:hint="eastAsia"/>
          <w:sz w:val="28"/>
          <w:szCs w:val="28"/>
        </w:rPr>
        <w:t>（五）</w:t>
      </w:r>
      <w:r>
        <w:rPr>
          <w:sz w:val="28"/>
          <w:szCs w:val="28"/>
        </w:rPr>
        <w:t>水文地质勘查类型</w:t>
      </w:r>
      <w:bookmarkEnd w:id="66"/>
    </w:p>
    <w:p w14:paraId="73E01FFA">
      <w:pPr>
        <w:spacing w:line="360" w:lineRule="auto"/>
        <w:ind w:firstLine="560" w:firstLineChars="200"/>
        <w:rPr>
          <w:sz w:val="28"/>
          <w:szCs w:val="28"/>
        </w:rPr>
      </w:pPr>
      <w:r>
        <w:rPr>
          <w:rFonts w:hint="eastAsia"/>
          <w:sz w:val="28"/>
          <w:szCs w:val="28"/>
        </w:rPr>
        <w:t>矿区内主要矿体埋藏相对较浅，位于当地侵蚀基准面以上，区内自然排水条件较好；主要充水岩层随季节变化而变化，仅在大气降水的条件下对矿区充水岩层进行补给，补给条件差；矿区地表局部基岩裸露，大部分被第四系覆盖，水文地质边界条件简单；矿区内岩层为透水不含水层，区内矿体底部泥岩为隔水岩层，具有较好的隔水作用。根据《矿区水文地质工程地质勘查规范》（GB/T 12719-2021），矿区水文地质勘查类型属第二类，第一型，即以裂隙含水层充水为主的水文地质条件简单型矿床。</w:t>
      </w:r>
    </w:p>
    <w:p w14:paraId="7837A989">
      <w:pPr>
        <w:spacing w:line="360" w:lineRule="auto"/>
        <w:ind w:firstLine="562" w:firstLineChars="200"/>
        <w:outlineLvl w:val="2"/>
        <w:rPr>
          <w:b/>
          <w:bCs/>
          <w:sz w:val="28"/>
          <w:szCs w:val="28"/>
        </w:rPr>
      </w:pPr>
      <w:r>
        <w:rPr>
          <w:b/>
          <w:bCs/>
          <w:sz w:val="28"/>
          <w:szCs w:val="28"/>
        </w:rPr>
        <w:t>七、工程地质特征</w:t>
      </w:r>
    </w:p>
    <w:p w14:paraId="0A6FE662">
      <w:pPr>
        <w:spacing w:line="360" w:lineRule="auto"/>
        <w:ind w:firstLine="560" w:firstLineChars="200"/>
        <w:rPr>
          <w:bCs/>
          <w:sz w:val="28"/>
          <w:szCs w:val="28"/>
        </w:rPr>
      </w:pPr>
      <w:r>
        <w:rPr>
          <w:rFonts w:hint="eastAsia"/>
          <w:bCs/>
          <w:sz w:val="28"/>
          <w:szCs w:val="28"/>
        </w:rPr>
        <w:t>（一）</w:t>
      </w:r>
      <w:r>
        <w:rPr>
          <w:bCs/>
          <w:sz w:val="28"/>
          <w:szCs w:val="28"/>
        </w:rPr>
        <w:t>工程地质岩组划分</w:t>
      </w:r>
    </w:p>
    <w:p w14:paraId="01E5E997">
      <w:pPr>
        <w:spacing w:line="360" w:lineRule="auto"/>
        <w:ind w:firstLine="560" w:firstLineChars="200"/>
        <w:rPr>
          <w:sz w:val="28"/>
          <w:szCs w:val="28"/>
        </w:rPr>
      </w:pPr>
      <w:r>
        <w:rPr>
          <w:rFonts w:hint="eastAsia"/>
          <w:sz w:val="28"/>
          <w:szCs w:val="28"/>
        </w:rPr>
        <w:t>矿区工程地质条件受构造、矿体形态、岩性及岩石风化程度等多种因素的影响和控制，根据区内地质岩性特征、构造、岩石抗压强度等条件将本区岩石划分成两个工程地质岩组，具体如下：</w:t>
      </w:r>
    </w:p>
    <w:p w14:paraId="6C3EEADE">
      <w:pPr>
        <w:autoSpaceDE w:val="0"/>
        <w:autoSpaceDN w:val="0"/>
        <w:adjustRightInd w:val="0"/>
        <w:snapToGrid w:val="0"/>
        <w:spacing w:line="360" w:lineRule="auto"/>
        <w:ind w:firstLine="560" w:firstLineChars="200"/>
        <w:rPr>
          <w:sz w:val="28"/>
          <w:szCs w:val="28"/>
        </w:rPr>
      </w:pPr>
      <w:r>
        <w:rPr>
          <w:rFonts w:hint="eastAsia"/>
          <w:sz w:val="28"/>
          <w:szCs w:val="28"/>
        </w:rPr>
        <w:t>1、坚硬组</w:t>
      </w:r>
    </w:p>
    <w:p w14:paraId="44C53C83">
      <w:pPr>
        <w:autoSpaceDE w:val="0"/>
        <w:autoSpaceDN w:val="0"/>
        <w:adjustRightInd w:val="0"/>
        <w:snapToGrid w:val="0"/>
        <w:spacing w:line="360" w:lineRule="auto"/>
        <w:ind w:firstLine="560" w:firstLineChars="200"/>
        <w:rPr>
          <w:sz w:val="28"/>
          <w:szCs w:val="28"/>
        </w:rPr>
      </w:pPr>
      <w:r>
        <w:rPr>
          <w:rFonts w:hint="eastAsia"/>
          <w:sz w:val="28"/>
          <w:szCs w:val="28"/>
        </w:rPr>
        <w:t>大面积分布于区内，岩性主要为玄武岩，区内基岩裸露性较好，岩石节理裂隙较发育，一般可见</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条/m，裂隙宽</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mm，岩石质地坚硬-半坚硬，新鲜岩石单轴饱和抗压强度</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MPa。</w:t>
      </w:r>
    </w:p>
    <w:p w14:paraId="5DAF53B7">
      <w:pPr>
        <w:autoSpaceDE w:val="0"/>
        <w:autoSpaceDN w:val="0"/>
        <w:adjustRightInd w:val="0"/>
        <w:snapToGrid w:val="0"/>
        <w:spacing w:line="360" w:lineRule="auto"/>
        <w:ind w:firstLine="560" w:firstLineChars="200"/>
        <w:rPr>
          <w:sz w:val="28"/>
          <w:szCs w:val="28"/>
        </w:rPr>
      </w:pPr>
      <w:r>
        <w:rPr>
          <w:rFonts w:hint="eastAsia"/>
          <w:sz w:val="28"/>
          <w:szCs w:val="28"/>
        </w:rPr>
        <w:t>2、松散软弱岩组</w:t>
      </w:r>
    </w:p>
    <w:p w14:paraId="2A2B836D">
      <w:pPr>
        <w:autoSpaceDE w:val="0"/>
        <w:autoSpaceDN w:val="0"/>
        <w:adjustRightInd w:val="0"/>
        <w:snapToGrid w:val="0"/>
        <w:spacing w:line="360" w:lineRule="auto"/>
        <w:ind w:firstLine="560" w:firstLineChars="200"/>
        <w:rPr>
          <w:sz w:val="28"/>
          <w:szCs w:val="28"/>
        </w:rPr>
      </w:pPr>
      <w:r>
        <w:rPr>
          <w:rFonts w:hint="eastAsia"/>
          <w:sz w:val="28"/>
          <w:szCs w:val="28"/>
        </w:rPr>
        <w:t>零星分布于矿区内</w:t>
      </w:r>
      <w:r>
        <w:rPr>
          <w:sz w:val="28"/>
          <w:szCs w:val="28"/>
        </w:rPr>
        <w:t>，岩性为</w:t>
      </w:r>
      <w:r>
        <w:rPr>
          <w:rFonts w:hint="eastAsia"/>
          <w:sz w:val="28"/>
          <w:szCs w:val="28"/>
        </w:rPr>
        <w:t>第四系全新统（Qh），饱和抗压强度小于</w:t>
      </w:r>
      <w:r>
        <w:rPr>
          <w:rFonts w:hint="eastAsia" w:ascii="宋体" w:hAnsi="宋体" w:cs="宋体"/>
          <w:spacing w:val="13"/>
          <w:sz w:val="32"/>
          <w:szCs w:val="32"/>
        </w:rPr>
        <w:t>***</w:t>
      </w:r>
      <w:r>
        <w:rPr>
          <w:rFonts w:hint="eastAsia"/>
          <w:sz w:val="28"/>
          <w:szCs w:val="28"/>
        </w:rPr>
        <w:t>MPa。</w:t>
      </w:r>
    </w:p>
    <w:p w14:paraId="625DAE4F">
      <w:pPr>
        <w:autoSpaceDE w:val="0"/>
        <w:autoSpaceDN w:val="0"/>
        <w:adjustRightInd w:val="0"/>
        <w:snapToGrid w:val="0"/>
        <w:spacing w:line="360" w:lineRule="auto"/>
        <w:ind w:firstLine="560" w:firstLineChars="200"/>
        <w:rPr>
          <w:sz w:val="28"/>
          <w:szCs w:val="28"/>
        </w:rPr>
      </w:pPr>
      <w:r>
        <w:rPr>
          <w:rFonts w:hint="eastAsia"/>
          <w:sz w:val="28"/>
          <w:szCs w:val="28"/>
        </w:rPr>
        <w:t>根据矿区内3组岩石力学样品实验成果：</w:t>
      </w:r>
    </w:p>
    <w:p w14:paraId="3EF4F201">
      <w:pPr>
        <w:topLinePunct/>
        <w:spacing w:line="276" w:lineRule="auto"/>
        <w:ind w:firstLine="420" w:firstLineChars="200"/>
        <w:jc w:val="center"/>
        <w:rPr>
          <w:rFonts w:hint="eastAsia" w:ascii="黑体" w:hAnsi="黑体" w:eastAsia="黑体"/>
          <w:color w:val="000000"/>
          <w:szCs w:val="21"/>
        </w:rPr>
      </w:pPr>
      <w:r>
        <w:rPr>
          <w:rFonts w:ascii="黑体" w:hAnsi="黑体" w:eastAsia="黑体"/>
          <w:color w:val="000000"/>
          <w:szCs w:val="21"/>
        </w:rPr>
        <w:t>表</w:t>
      </w:r>
      <w:r>
        <w:rPr>
          <w:rFonts w:hint="eastAsia" w:ascii="黑体" w:hAnsi="黑体" w:eastAsia="黑体"/>
          <w:color w:val="000000"/>
          <w:szCs w:val="21"/>
        </w:rPr>
        <w:t>2-3</w:t>
      </w:r>
      <w:r>
        <w:rPr>
          <w:rFonts w:ascii="黑体" w:hAnsi="黑体" w:eastAsia="黑体"/>
          <w:color w:val="000000"/>
          <w:szCs w:val="21"/>
        </w:rPr>
        <w:t xml:space="preserve">  </w:t>
      </w:r>
      <w:r>
        <w:rPr>
          <w:rFonts w:hint="eastAsia" w:ascii="黑体" w:hAnsi="黑体" w:eastAsia="黑体"/>
          <w:color w:val="000000"/>
          <w:szCs w:val="21"/>
        </w:rPr>
        <w:t xml:space="preserve"> </w:t>
      </w:r>
      <w:r>
        <w:rPr>
          <w:rFonts w:ascii="黑体" w:hAnsi="黑体" w:eastAsia="黑体"/>
          <w:color w:val="000000"/>
          <w:szCs w:val="21"/>
        </w:rPr>
        <w:t>岩石物理力学性质试验成果表</w:t>
      </w:r>
    </w:p>
    <w:p w14:paraId="55F4DA04">
      <w:pPr>
        <w:autoSpaceDE w:val="0"/>
        <w:autoSpaceDN w:val="0"/>
        <w:adjustRightInd w:val="0"/>
        <w:snapToGrid w:val="0"/>
        <w:rPr>
          <w:sz w:val="20"/>
        </w:rPr>
      </w:pPr>
    </w:p>
    <w:p w14:paraId="2D5CBA80">
      <w:pPr>
        <w:autoSpaceDE w:val="0"/>
        <w:autoSpaceDN w:val="0"/>
        <w:adjustRightInd w:val="0"/>
        <w:snapToGrid w:val="0"/>
        <w:spacing w:line="360" w:lineRule="auto"/>
        <w:ind w:firstLine="560" w:firstLineChars="200"/>
        <w:rPr>
          <w:sz w:val="28"/>
          <w:szCs w:val="28"/>
        </w:rPr>
      </w:pPr>
      <w:r>
        <w:rPr>
          <w:rFonts w:hint="eastAsia"/>
          <w:sz w:val="28"/>
          <w:szCs w:val="28"/>
        </w:rPr>
        <w:t>（二）工程地质条件</w:t>
      </w:r>
    </w:p>
    <w:p w14:paraId="596B7B51">
      <w:pPr>
        <w:autoSpaceDE w:val="0"/>
        <w:autoSpaceDN w:val="0"/>
        <w:adjustRightInd w:val="0"/>
        <w:snapToGrid w:val="0"/>
        <w:spacing w:line="360" w:lineRule="auto"/>
        <w:ind w:firstLine="560" w:firstLineChars="200"/>
        <w:rPr>
          <w:sz w:val="28"/>
          <w:szCs w:val="28"/>
        </w:rPr>
      </w:pPr>
      <w:r>
        <w:rPr>
          <w:rFonts w:hint="eastAsia"/>
          <w:sz w:val="28"/>
          <w:szCs w:val="28"/>
        </w:rPr>
        <w:t>根据本次调查资料，2024年核实工作矿区钻孔揭露岩性主要为玄武岩，矿体围岩以玄武岩为主。</w:t>
      </w:r>
    </w:p>
    <w:p w14:paraId="0B66C2D2">
      <w:pPr>
        <w:autoSpaceDE w:val="0"/>
        <w:autoSpaceDN w:val="0"/>
        <w:adjustRightInd w:val="0"/>
        <w:snapToGrid w:val="0"/>
        <w:spacing w:line="360" w:lineRule="auto"/>
        <w:ind w:firstLine="560" w:firstLineChars="200"/>
        <w:rPr>
          <w:sz w:val="28"/>
          <w:szCs w:val="28"/>
        </w:rPr>
      </w:pPr>
      <w:r>
        <w:rPr>
          <w:rFonts w:hint="eastAsia"/>
          <w:sz w:val="28"/>
          <w:szCs w:val="28"/>
        </w:rPr>
        <w:t>1、岩石质量评价</w:t>
      </w:r>
    </w:p>
    <w:p w14:paraId="004CB774">
      <w:pPr>
        <w:autoSpaceDE w:val="0"/>
        <w:autoSpaceDN w:val="0"/>
        <w:adjustRightInd w:val="0"/>
        <w:snapToGrid w:val="0"/>
        <w:spacing w:line="360" w:lineRule="auto"/>
        <w:ind w:firstLine="560" w:firstLineChars="200"/>
        <w:rPr>
          <w:sz w:val="28"/>
          <w:szCs w:val="28"/>
        </w:rPr>
      </w:pPr>
      <w:r>
        <w:rPr>
          <w:rFonts w:hint="eastAsia"/>
          <w:sz w:val="28"/>
          <w:szCs w:val="28"/>
        </w:rPr>
        <w:t>根据钻孔RQD值统计资料，参照《矿区水文地质工程地质勘查规范》（GB/T12719-2021）岩石质量分级标准（表2-4）</w:t>
      </w:r>
    </w:p>
    <w:p w14:paraId="1A26835B">
      <w:pPr>
        <w:jc w:val="center"/>
        <w:rPr>
          <w:rFonts w:hint="eastAsia" w:ascii="宋体" w:hAnsi="宋体"/>
          <w:b/>
          <w:color w:val="000000"/>
          <w:sz w:val="24"/>
          <w:szCs w:val="24"/>
        </w:rPr>
      </w:pPr>
      <w:r>
        <w:rPr>
          <w:rFonts w:ascii="宋体" w:hAnsi="宋体"/>
          <w:b/>
          <w:bCs/>
          <w:spacing w:val="-2"/>
          <w:sz w:val="24"/>
          <w:szCs w:val="24"/>
          <w:lang w:val="zh-CN"/>
        </w:rPr>
        <w:t>表</w:t>
      </w:r>
      <w:r>
        <w:rPr>
          <w:rFonts w:hint="eastAsia" w:ascii="宋体" w:hAnsi="宋体"/>
          <w:b/>
          <w:bCs/>
          <w:spacing w:val="-2"/>
          <w:sz w:val="24"/>
          <w:szCs w:val="24"/>
          <w:lang w:val="zh-CN"/>
        </w:rPr>
        <w:t xml:space="preserve">2-4  </w:t>
      </w:r>
      <w:r>
        <w:rPr>
          <w:rFonts w:ascii="宋体" w:hAnsi="宋体"/>
          <w:b/>
          <w:bCs/>
          <w:spacing w:val="-2"/>
          <w:sz w:val="24"/>
          <w:szCs w:val="24"/>
          <w:lang w:val="zh-CN"/>
        </w:rPr>
        <w:t>岩石质量分级标准表</w:t>
      </w:r>
    </w:p>
    <w:p w14:paraId="528A05F6">
      <w:pPr>
        <w:autoSpaceDE w:val="0"/>
        <w:autoSpaceDN w:val="0"/>
        <w:adjustRightInd w:val="0"/>
        <w:snapToGrid w:val="0"/>
        <w:spacing w:line="360" w:lineRule="auto"/>
        <w:ind w:firstLine="560" w:firstLineChars="200"/>
        <w:rPr>
          <w:sz w:val="28"/>
          <w:szCs w:val="28"/>
        </w:rPr>
      </w:pPr>
      <w:r>
        <w:rPr>
          <w:sz w:val="28"/>
          <w:szCs w:val="28"/>
        </w:rPr>
        <w:t>评价公式：RQD（%）=（Lp/Lt）×100%</w:t>
      </w:r>
    </w:p>
    <w:p w14:paraId="141396A7">
      <w:pPr>
        <w:autoSpaceDE w:val="0"/>
        <w:autoSpaceDN w:val="0"/>
        <w:adjustRightInd w:val="0"/>
        <w:snapToGrid w:val="0"/>
        <w:spacing w:line="360" w:lineRule="auto"/>
        <w:ind w:firstLine="1134" w:firstLineChars="405"/>
        <w:rPr>
          <w:sz w:val="28"/>
          <w:szCs w:val="28"/>
        </w:rPr>
      </w:pPr>
      <w:r>
        <w:rPr>
          <w:sz w:val="28"/>
          <w:szCs w:val="28"/>
        </w:rPr>
        <w:t>式中：Lp某岩组&gt;10cm完整岩芯长度之和（m）</w:t>
      </w:r>
    </w:p>
    <w:p w14:paraId="4E873A04">
      <w:pPr>
        <w:autoSpaceDE w:val="0"/>
        <w:autoSpaceDN w:val="0"/>
        <w:adjustRightInd w:val="0"/>
        <w:snapToGrid w:val="0"/>
        <w:spacing w:line="360" w:lineRule="auto"/>
        <w:ind w:firstLine="1134" w:firstLineChars="405"/>
        <w:rPr>
          <w:sz w:val="28"/>
          <w:szCs w:val="28"/>
        </w:rPr>
      </w:pPr>
      <w:r>
        <w:rPr>
          <w:sz w:val="28"/>
          <w:szCs w:val="28"/>
        </w:rPr>
        <w:t>Lt某岩组钻探总进尺（m）</w:t>
      </w:r>
    </w:p>
    <w:p w14:paraId="34C991E2">
      <w:pPr>
        <w:tabs>
          <w:tab w:val="left" w:pos="720"/>
        </w:tabs>
        <w:topLinePunct/>
        <w:autoSpaceDE w:val="0"/>
        <w:autoSpaceDN w:val="0"/>
        <w:adjustRightInd w:val="0"/>
        <w:spacing w:line="360" w:lineRule="auto"/>
        <w:jc w:val="center"/>
        <w:rPr>
          <w:rFonts w:hint="eastAsia" w:ascii="宋体" w:hAnsi="宋体"/>
          <w:b/>
          <w:bCs/>
          <w:spacing w:val="-2"/>
          <w:sz w:val="24"/>
          <w:szCs w:val="24"/>
          <w:lang w:val="zh-CN"/>
        </w:rPr>
      </w:pPr>
      <w:r>
        <w:rPr>
          <w:rFonts w:ascii="宋体" w:hAnsi="宋体"/>
          <w:b/>
          <w:bCs/>
          <w:spacing w:val="-2"/>
          <w:sz w:val="24"/>
          <w:szCs w:val="24"/>
          <w:lang w:val="zh-CN"/>
        </w:rPr>
        <w:t>表</w:t>
      </w:r>
      <w:r>
        <w:rPr>
          <w:rFonts w:hint="eastAsia" w:ascii="宋体" w:hAnsi="宋体"/>
          <w:b/>
          <w:bCs/>
          <w:spacing w:val="-2"/>
          <w:sz w:val="24"/>
          <w:szCs w:val="24"/>
          <w:lang w:val="zh-CN"/>
        </w:rPr>
        <w:t xml:space="preserve">2-5  </w:t>
      </w:r>
      <w:r>
        <w:rPr>
          <w:rFonts w:ascii="宋体" w:hAnsi="宋体"/>
          <w:b/>
          <w:bCs/>
          <w:spacing w:val="-2"/>
          <w:sz w:val="24"/>
          <w:szCs w:val="24"/>
          <w:lang w:val="zh-CN"/>
        </w:rPr>
        <w:t>岩（矿）石质量分级表</w:t>
      </w:r>
    </w:p>
    <w:p w14:paraId="33EE4A31">
      <w:pPr>
        <w:autoSpaceDE w:val="0"/>
        <w:autoSpaceDN w:val="0"/>
        <w:adjustRightInd w:val="0"/>
        <w:snapToGrid w:val="0"/>
        <w:spacing w:line="360" w:lineRule="auto"/>
        <w:ind w:firstLine="560" w:firstLineChars="200"/>
        <w:rPr>
          <w:sz w:val="28"/>
          <w:szCs w:val="28"/>
        </w:rPr>
      </w:pPr>
      <w:r>
        <w:rPr>
          <w:sz w:val="28"/>
          <w:szCs w:val="28"/>
        </w:rPr>
        <w:t>评价结果显示：区内岩（矿）石在统计的层位中，</w:t>
      </w:r>
      <w:r>
        <w:rPr>
          <w:rFonts w:hint="eastAsia"/>
          <w:sz w:val="28"/>
          <w:szCs w:val="28"/>
        </w:rPr>
        <w:t>极好</w:t>
      </w:r>
      <w:r>
        <w:rPr>
          <w:sz w:val="28"/>
          <w:szCs w:val="28"/>
        </w:rPr>
        <w:t>的占</w:t>
      </w:r>
      <w:r>
        <w:rPr>
          <w:rFonts w:hint="eastAsia"/>
          <w:sz w:val="28"/>
          <w:szCs w:val="28"/>
        </w:rPr>
        <w:t>100</w:t>
      </w:r>
      <w:r>
        <w:rPr>
          <w:sz w:val="28"/>
          <w:szCs w:val="28"/>
        </w:rPr>
        <w:t>%，岩石质量以</w:t>
      </w:r>
      <w:r>
        <w:rPr>
          <w:rFonts w:hint="eastAsia"/>
          <w:sz w:val="28"/>
          <w:szCs w:val="28"/>
        </w:rPr>
        <w:t>极好</w:t>
      </w:r>
      <w:r>
        <w:rPr>
          <w:sz w:val="28"/>
          <w:szCs w:val="28"/>
        </w:rPr>
        <w:t>的为主。岩</w:t>
      </w:r>
      <w:r>
        <w:rPr>
          <w:rFonts w:hint="eastAsia"/>
          <w:sz w:val="28"/>
          <w:szCs w:val="28"/>
        </w:rPr>
        <w:t>性</w:t>
      </w:r>
      <w:r>
        <w:rPr>
          <w:sz w:val="28"/>
          <w:szCs w:val="28"/>
        </w:rPr>
        <w:t>为：</w:t>
      </w:r>
      <w:r>
        <w:rPr>
          <w:rFonts w:hint="eastAsia"/>
          <w:sz w:val="28"/>
          <w:szCs w:val="28"/>
        </w:rPr>
        <w:t>玄武岩。</w:t>
      </w:r>
    </w:p>
    <w:p w14:paraId="57A11164">
      <w:pPr>
        <w:autoSpaceDE w:val="0"/>
        <w:autoSpaceDN w:val="0"/>
        <w:adjustRightInd w:val="0"/>
        <w:snapToGrid w:val="0"/>
        <w:spacing w:line="360" w:lineRule="auto"/>
        <w:ind w:firstLine="560" w:firstLineChars="200"/>
        <w:rPr>
          <w:sz w:val="28"/>
          <w:szCs w:val="28"/>
        </w:rPr>
      </w:pPr>
      <w:r>
        <w:rPr>
          <w:rFonts w:hint="eastAsia"/>
          <w:sz w:val="28"/>
          <w:szCs w:val="28"/>
        </w:rPr>
        <w:t>2、岩体完整性评价</w:t>
      </w:r>
    </w:p>
    <w:p w14:paraId="59251021">
      <w:pPr>
        <w:autoSpaceDE w:val="0"/>
        <w:autoSpaceDN w:val="0"/>
        <w:adjustRightInd w:val="0"/>
        <w:snapToGrid w:val="0"/>
        <w:spacing w:line="360" w:lineRule="auto"/>
        <w:ind w:firstLine="560" w:firstLineChars="200"/>
        <w:rPr>
          <w:sz w:val="28"/>
          <w:szCs w:val="28"/>
        </w:rPr>
      </w:pPr>
      <w:r>
        <w:rPr>
          <w:rFonts w:hint="eastAsia"/>
          <w:sz w:val="28"/>
          <w:szCs w:val="28"/>
        </w:rPr>
        <w:t>根据钻孔RQD值统计资料，参照《矿区水文地质工程地质勘查规范》（GB/T12719-2021）岩体完整性划分标准（表2-6）</w:t>
      </w:r>
    </w:p>
    <w:p w14:paraId="7DE8A3EB">
      <w:pPr>
        <w:tabs>
          <w:tab w:val="left" w:pos="720"/>
        </w:tabs>
        <w:topLinePunct/>
        <w:autoSpaceDE w:val="0"/>
        <w:autoSpaceDN w:val="0"/>
        <w:adjustRightInd w:val="0"/>
        <w:spacing w:line="360" w:lineRule="auto"/>
        <w:jc w:val="center"/>
        <w:rPr>
          <w:rFonts w:hint="eastAsia" w:ascii="宋体" w:hAnsi="宋体"/>
          <w:b/>
          <w:bCs/>
          <w:spacing w:val="-2"/>
          <w:sz w:val="24"/>
          <w:szCs w:val="24"/>
          <w:lang w:val="zh-CN"/>
        </w:rPr>
      </w:pPr>
      <w:r>
        <w:rPr>
          <w:rFonts w:ascii="宋体" w:hAnsi="宋体"/>
          <w:b/>
          <w:bCs/>
          <w:spacing w:val="-2"/>
          <w:sz w:val="24"/>
          <w:szCs w:val="24"/>
          <w:lang w:val="zh-CN"/>
        </w:rPr>
        <w:t>表</w:t>
      </w:r>
      <w:r>
        <w:rPr>
          <w:rFonts w:hint="eastAsia" w:ascii="宋体" w:hAnsi="宋体"/>
          <w:b/>
          <w:bCs/>
          <w:spacing w:val="-2"/>
          <w:sz w:val="24"/>
          <w:szCs w:val="24"/>
          <w:lang w:val="zh-CN"/>
        </w:rPr>
        <w:t xml:space="preserve">2-6  </w:t>
      </w:r>
      <w:r>
        <w:rPr>
          <w:rFonts w:ascii="宋体" w:hAnsi="宋体"/>
          <w:b/>
          <w:bCs/>
          <w:spacing w:val="-2"/>
          <w:sz w:val="24"/>
          <w:szCs w:val="24"/>
          <w:lang w:val="zh-CN"/>
        </w:rPr>
        <w:t>岩体完整性划分标准表</w:t>
      </w:r>
    </w:p>
    <w:p w14:paraId="60E557B8">
      <w:pPr>
        <w:autoSpaceDE w:val="0"/>
        <w:autoSpaceDN w:val="0"/>
        <w:adjustRightInd w:val="0"/>
        <w:snapToGrid w:val="0"/>
        <w:ind w:firstLine="400" w:firstLineChars="200"/>
        <w:rPr>
          <w:sz w:val="20"/>
        </w:rPr>
      </w:pPr>
    </w:p>
    <w:p w14:paraId="596316AB">
      <w:pPr>
        <w:autoSpaceDE w:val="0"/>
        <w:autoSpaceDN w:val="0"/>
        <w:adjustRightInd w:val="0"/>
        <w:snapToGrid w:val="0"/>
        <w:spacing w:line="360" w:lineRule="auto"/>
        <w:ind w:firstLine="560" w:firstLineChars="200"/>
        <w:rPr>
          <w:sz w:val="28"/>
          <w:szCs w:val="28"/>
        </w:rPr>
      </w:pPr>
      <w:r>
        <w:rPr>
          <w:sz w:val="28"/>
          <w:szCs w:val="28"/>
        </w:rPr>
        <w:t>评价公式：RQD（%）=（Lp/Lt）×100%</w:t>
      </w:r>
    </w:p>
    <w:p w14:paraId="49697C61">
      <w:pPr>
        <w:autoSpaceDE w:val="0"/>
        <w:autoSpaceDN w:val="0"/>
        <w:adjustRightInd w:val="0"/>
        <w:snapToGrid w:val="0"/>
        <w:spacing w:line="360" w:lineRule="auto"/>
        <w:ind w:firstLine="1134" w:firstLineChars="405"/>
        <w:rPr>
          <w:sz w:val="28"/>
          <w:szCs w:val="28"/>
        </w:rPr>
      </w:pPr>
      <w:r>
        <w:rPr>
          <w:sz w:val="28"/>
          <w:szCs w:val="28"/>
        </w:rPr>
        <w:t>式中：Lp某岩组&gt;10cm完整岩芯长度之和（m）；</w:t>
      </w:r>
    </w:p>
    <w:p w14:paraId="6ED58268">
      <w:pPr>
        <w:autoSpaceDE w:val="0"/>
        <w:autoSpaceDN w:val="0"/>
        <w:adjustRightInd w:val="0"/>
        <w:snapToGrid w:val="0"/>
        <w:spacing w:line="360" w:lineRule="auto"/>
        <w:ind w:firstLine="1134" w:firstLineChars="405"/>
        <w:rPr>
          <w:sz w:val="28"/>
          <w:szCs w:val="28"/>
        </w:rPr>
      </w:pPr>
      <w:r>
        <w:rPr>
          <w:sz w:val="28"/>
          <w:szCs w:val="28"/>
        </w:rPr>
        <w:t>Lt某岩组钻探总进尺（m）。</w:t>
      </w:r>
    </w:p>
    <w:p w14:paraId="0FF8C293">
      <w:pPr>
        <w:tabs>
          <w:tab w:val="left" w:pos="720"/>
        </w:tabs>
        <w:topLinePunct/>
        <w:autoSpaceDE w:val="0"/>
        <w:autoSpaceDN w:val="0"/>
        <w:adjustRightInd w:val="0"/>
        <w:spacing w:line="360" w:lineRule="auto"/>
        <w:jc w:val="center"/>
        <w:rPr>
          <w:rFonts w:hint="eastAsia" w:ascii="宋体" w:hAnsi="宋体"/>
          <w:b/>
          <w:bCs/>
          <w:spacing w:val="-2"/>
          <w:sz w:val="24"/>
          <w:szCs w:val="24"/>
          <w:lang w:val="zh-CN"/>
        </w:rPr>
      </w:pPr>
      <w:r>
        <w:rPr>
          <w:rFonts w:ascii="宋体" w:hAnsi="宋体"/>
          <w:b/>
          <w:bCs/>
          <w:spacing w:val="-2"/>
          <w:sz w:val="24"/>
          <w:szCs w:val="24"/>
          <w:lang w:val="zh-CN"/>
        </w:rPr>
        <w:t>表</w:t>
      </w:r>
      <w:r>
        <w:rPr>
          <w:rFonts w:hint="eastAsia" w:ascii="宋体" w:hAnsi="宋体"/>
          <w:b/>
          <w:bCs/>
          <w:spacing w:val="-2"/>
          <w:sz w:val="24"/>
          <w:szCs w:val="24"/>
          <w:lang w:val="zh-CN"/>
        </w:rPr>
        <w:t xml:space="preserve">2-7  </w:t>
      </w:r>
      <w:r>
        <w:rPr>
          <w:rFonts w:ascii="宋体" w:hAnsi="宋体"/>
          <w:b/>
          <w:bCs/>
          <w:spacing w:val="-2"/>
          <w:sz w:val="24"/>
          <w:szCs w:val="24"/>
          <w:lang w:val="zh-CN"/>
        </w:rPr>
        <w:t>岩（矿）体完整性分级表</w:t>
      </w:r>
    </w:p>
    <w:p w14:paraId="554D3F5E">
      <w:pPr>
        <w:autoSpaceDE w:val="0"/>
        <w:autoSpaceDN w:val="0"/>
        <w:adjustRightInd w:val="0"/>
        <w:snapToGrid w:val="0"/>
        <w:spacing w:line="360" w:lineRule="auto"/>
        <w:ind w:firstLine="560" w:firstLineChars="200"/>
        <w:rPr>
          <w:sz w:val="28"/>
          <w:szCs w:val="28"/>
        </w:rPr>
      </w:pPr>
      <w:r>
        <w:rPr>
          <w:sz w:val="28"/>
          <w:szCs w:val="28"/>
        </w:rPr>
        <w:t>评价结果显示：区内岩（矿）石在统计的层位中，完整性</w:t>
      </w:r>
      <w:r>
        <w:rPr>
          <w:rFonts w:hint="eastAsia"/>
          <w:sz w:val="28"/>
          <w:szCs w:val="28"/>
        </w:rPr>
        <w:t>极好占100.00</w:t>
      </w:r>
      <w:r>
        <w:rPr>
          <w:sz w:val="28"/>
          <w:szCs w:val="28"/>
        </w:rPr>
        <w:t>%，岩石完整性以</w:t>
      </w:r>
      <w:r>
        <w:rPr>
          <w:rFonts w:hint="eastAsia"/>
          <w:sz w:val="28"/>
          <w:szCs w:val="28"/>
        </w:rPr>
        <w:t>极好</w:t>
      </w:r>
      <w:r>
        <w:rPr>
          <w:sz w:val="28"/>
          <w:szCs w:val="28"/>
        </w:rPr>
        <w:t>的为主。岩性为：</w:t>
      </w:r>
      <w:r>
        <w:rPr>
          <w:rFonts w:hint="eastAsia"/>
          <w:sz w:val="28"/>
          <w:szCs w:val="28"/>
        </w:rPr>
        <w:t>玄武岩</w:t>
      </w:r>
      <w:r>
        <w:rPr>
          <w:sz w:val="28"/>
          <w:szCs w:val="28"/>
        </w:rPr>
        <w:t>。</w:t>
      </w:r>
    </w:p>
    <w:p w14:paraId="0F84DB4F">
      <w:pPr>
        <w:autoSpaceDE w:val="0"/>
        <w:autoSpaceDN w:val="0"/>
        <w:adjustRightInd w:val="0"/>
        <w:snapToGrid w:val="0"/>
        <w:spacing w:line="360" w:lineRule="auto"/>
        <w:ind w:firstLine="560" w:firstLineChars="200"/>
        <w:rPr>
          <w:sz w:val="28"/>
          <w:szCs w:val="28"/>
        </w:rPr>
      </w:pPr>
      <w:r>
        <w:rPr>
          <w:rFonts w:hint="eastAsia"/>
          <w:sz w:val="28"/>
          <w:szCs w:val="28"/>
        </w:rPr>
        <w:t>根据矿区钻孔统计结果：区内强风化带的平均厚度为</w:t>
      </w:r>
      <w:r>
        <w:rPr>
          <w:rFonts w:hint="eastAsia" w:ascii="宋体" w:hAnsi="宋体" w:cs="宋体"/>
          <w:spacing w:val="13"/>
          <w:sz w:val="32"/>
          <w:szCs w:val="32"/>
        </w:rPr>
        <w:t>***</w:t>
      </w:r>
      <w:r>
        <w:rPr>
          <w:rFonts w:hint="eastAsia"/>
          <w:sz w:val="28"/>
          <w:szCs w:val="28"/>
        </w:rPr>
        <w:t>m，中等风化带的平均厚度为</w:t>
      </w:r>
      <w:r>
        <w:rPr>
          <w:rFonts w:hint="eastAsia" w:ascii="宋体" w:hAnsi="宋体" w:cs="宋体"/>
          <w:spacing w:val="13"/>
          <w:sz w:val="32"/>
          <w:szCs w:val="32"/>
        </w:rPr>
        <w:t>***</w:t>
      </w:r>
      <w:r>
        <w:rPr>
          <w:rFonts w:hint="eastAsia"/>
          <w:sz w:val="28"/>
          <w:szCs w:val="28"/>
        </w:rPr>
        <w:t>m。区内岩石强风化带岩石质量良、局部岩体破碎；中等风化带岩石质量良、岩体较破碎。</w:t>
      </w:r>
    </w:p>
    <w:p w14:paraId="76DE1739">
      <w:pPr>
        <w:autoSpaceDE w:val="0"/>
        <w:autoSpaceDN w:val="0"/>
        <w:adjustRightInd w:val="0"/>
        <w:snapToGrid w:val="0"/>
        <w:spacing w:line="360" w:lineRule="auto"/>
        <w:ind w:firstLine="560" w:firstLineChars="200"/>
        <w:rPr>
          <w:sz w:val="28"/>
          <w:szCs w:val="28"/>
        </w:rPr>
      </w:pPr>
      <w:r>
        <w:rPr>
          <w:rFonts w:hint="eastAsia"/>
          <w:sz w:val="28"/>
          <w:szCs w:val="28"/>
        </w:rPr>
        <w:t>（三）主要工程地质问题</w:t>
      </w:r>
    </w:p>
    <w:p w14:paraId="412DE862">
      <w:pPr>
        <w:autoSpaceDE w:val="0"/>
        <w:autoSpaceDN w:val="0"/>
        <w:adjustRightInd w:val="0"/>
        <w:snapToGrid w:val="0"/>
        <w:spacing w:line="360" w:lineRule="auto"/>
        <w:ind w:firstLine="560" w:firstLineChars="200"/>
        <w:rPr>
          <w:sz w:val="28"/>
          <w:szCs w:val="28"/>
        </w:rPr>
      </w:pPr>
      <w:r>
        <w:rPr>
          <w:rFonts w:hint="eastAsia"/>
          <w:sz w:val="28"/>
          <w:szCs w:val="28"/>
        </w:rPr>
        <w:t>1、采场边坡、围岩的稳定性</w:t>
      </w:r>
    </w:p>
    <w:p w14:paraId="1938C90D">
      <w:pPr>
        <w:autoSpaceDE w:val="0"/>
        <w:autoSpaceDN w:val="0"/>
        <w:adjustRightInd w:val="0"/>
        <w:snapToGrid w:val="0"/>
        <w:spacing w:line="360" w:lineRule="auto"/>
        <w:ind w:firstLine="560" w:firstLineChars="200"/>
        <w:rPr>
          <w:sz w:val="28"/>
          <w:szCs w:val="28"/>
        </w:rPr>
      </w:pPr>
      <w:r>
        <w:rPr>
          <w:rFonts w:hint="eastAsia"/>
          <w:sz w:val="28"/>
          <w:szCs w:val="28"/>
        </w:rPr>
        <w:t>矿体为玄武岩，矿体围岩以玄武岩为主，局部岩体较破碎，局部地段岩石风化强烈，裂隙发育，每米一般可见2-9条，密集段可见</w:t>
      </w:r>
      <w:r>
        <w:rPr>
          <w:rFonts w:hint="eastAsia" w:ascii="宋体" w:hAnsi="宋体" w:cs="宋体"/>
          <w:spacing w:val="13"/>
          <w:sz w:val="32"/>
          <w:szCs w:val="32"/>
        </w:rPr>
        <w:t>***</w:t>
      </w:r>
      <w:r>
        <w:rPr>
          <w:rFonts w:hint="eastAsia"/>
          <w:sz w:val="28"/>
          <w:szCs w:val="28"/>
        </w:rPr>
        <w:t>条以上，岩石呈松散状或碎块状，其稳定性一般，易片帮落石，在一定程度上破坏了岩体稳定性，给采矿工程带来一定难度。建议严格按照开发利用方案设计开采，加强围岩稳定监测及防护，避免各类不良事故的发生，确保安全生产。</w:t>
      </w:r>
    </w:p>
    <w:p w14:paraId="3285BC35">
      <w:pPr>
        <w:autoSpaceDE w:val="0"/>
        <w:autoSpaceDN w:val="0"/>
        <w:adjustRightInd w:val="0"/>
        <w:snapToGrid w:val="0"/>
        <w:spacing w:line="360" w:lineRule="auto"/>
        <w:ind w:firstLine="560" w:firstLineChars="200"/>
        <w:rPr>
          <w:sz w:val="28"/>
          <w:szCs w:val="28"/>
        </w:rPr>
      </w:pPr>
      <w:r>
        <w:rPr>
          <w:rFonts w:hint="eastAsia"/>
          <w:sz w:val="28"/>
          <w:szCs w:val="28"/>
        </w:rPr>
        <w:t>随着露天采坑深度的增加，坑壁在机械震动及爆破等外应力、重力作用下，可能会沿着层间裂隙面引发小型崩塌，影响矿山正常生产。应在露天采场周围设置网围栏。生产期间加强对露天采场边坡的监测，对围岩破碎地段及局部不稳定边坡进行削坡，使露天采场边坡角不大于设计边坡角，消除崩塌、滑坡隐患。</w:t>
      </w:r>
    </w:p>
    <w:p w14:paraId="4F9217D7">
      <w:pPr>
        <w:autoSpaceDE w:val="0"/>
        <w:autoSpaceDN w:val="0"/>
        <w:adjustRightInd w:val="0"/>
        <w:snapToGrid w:val="0"/>
        <w:spacing w:line="360" w:lineRule="auto"/>
        <w:ind w:firstLine="560" w:firstLineChars="200"/>
        <w:rPr>
          <w:bCs/>
          <w:sz w:val="28"/>
          <w:szCs w:val="28"/>
        </w:rPr>
      </w:pPr>
      <w:r>
        <w:rPr>
          <w:rFonts w:hint="eastAsia"/>
          <w:bCs/>
          <w:sz w:val="28"/>
          <w:szCs w:val="28"/>
        </w:rPr>
        <w:t>2、矿区各类不良自然现象及工程地质问题</w:t>
      </w:r>
    </w:p>
    <w:p w14:paraId="32A98419">
      <w:pPr>
        <w:autoSpaceDE w:val="0"/>
        <w:autoSpaceDN w:val="0"/>
        <w:adjustRightInd w:val="0"/>
        <w:snapToGrid w:val="0"/>
        <w:spacing w:line="360" w:lineRule="auto"/>
        <w:ind w:firstLine="560" w:firstLineChars="200"/>
        <w:rPr>
          <w:sz w:val="28"/>
          <w:szCs w:val="28"/>
        </w:rPr>
      </w:pPr>
      <w:r>
        <w:rPr>
          <w:sz w:val="28"/>
          <w:szCs w:val="28"/>
        </w:rPr>
        <w:t>目前，矿山未发生任何不良工程地质现象，</w:t>
      </w:r>
      <w:r>
        <w:rPr>
          <w:rFonts w:hint="eastAsia"/>
          <w:sz w:val="28"/>
          <w:szCs w:val="28"/>
        </w:rPr>
        <w:t>矿床顶板岩石局部破碎，</w:t>
      </w:r>
      <w:r>
        <w:rPr>
          <w:sz w:val="28"/>
          <w:szCs w:val="28"/>
        </w:rPr>
        <w:t>随着矿山规模的不断扩大，可能出现的主要工程地质问题是</w:t>
      </w:r>
      <w:r>
        <w:rPr>
          <w:rFonts w:hint="eastAsia"/>
          <w:sz w:val="28"/>
          <w:szCs w:val="28"/>
        </w:rPr>
        <w:t>强降雨对破碎岩层的侵蚀作用</w:t>
      </w:r>
      <w:r>
        <w:rPr>
          <w:sz w:val="28"/>
          <w:szCs w:val="28"/>
        </w:rPr>
        <w:t>，</w:t>
      </w:r>
      <w:r>
        <w:rPr>
          <w:rFonts w:hint="eastAsia"/>
          <w:sz w:val="28"/>
          <w:szCs w:val="28"/>
        </w:rPr>
        <w:t>引发的崩塌、滑坡、泥石流</w:t>
      </w:r>
      <w:r>
        <w:rPr>
          <w:sz w:val="28"/>
          <w:szCs w:val="28"/>
        </w:rPr>
        <w:t>等</w:t>
      </w:r>
      <w:r>
        <w:rPr>
          <w:rFonts w:hint="eastAsia"/>
          <w:sz w:val="28"/>
          <w:szCs w:val="28"/>
        </w:rPr>
        <w:t>，</w:t>
      </w:r>
      <w:r>
        <w:rPr>
          <w:sz w:val="28"/>
          <w:szCs w:val="28"/>
        </w:rPr>
        <w:t>对此要引起高度重视。建议今后在</w:t>
      </w:r>
      <w:r>
        <w:rPr>
          <w:rFonts w:hint="eastAsia"/>
          <w:sz w:val="28"/>
          <w:szCs w:val="28"/>
        </w:rPr>
        <w:t>开采</w:t>
      </w:r>
      <w:r>
        <w:rPr>
          <w:sz w:val="28"/>
          <w:szCs w:val="28"/>
        </w:rPr>
        <w:t>过程中对</w:t>
      </w:r>
      <w:r>
        <w:rPr>
          <w:rFonts w:hint="eastAsia"/>
          <w:sz w:val="28"/>
          <w:szCs w:val="28"/>
        </w:rPr>
        <w:t>边坡放缓</w:t>
      </w:r>
      <w:r>
        <w:rPr>
          <w:sz w:val="28"/>
          <w:szCs w:val="28"/>
        </w:rPr>
        <w:t>，防止</w:t>
      </w:r>
      <w:r>
        <w:rPr>
          <w:rFonts w:hint="eastAsia"/>
          <w:sz w:val="28"/>
          <w:szCs w:val="28"/>
        </w:rPr>
        <w:t>崩塌等</w:t>
      </w:r>
      <w:r>
        <w:rPr>
          <w:sz w:val="28"/>
          <w:szCs w:val="28"/>
        </w:rPr>
        <w:t>造成各类事故的发生。</w:t>
      </w:r>
    </w:p>
    <w:p w14:paraId="2C3D89A0">
      <w:pPr>
        <w:autoSpaceDE w:val="0"/>
        <w:autoSpaceDN w:val="0"/>
        <w:adjustRightInd w:val="0"/>
        <w:snapToGrid w:val="0"/>
        <w:spacing w:line="360" w:lineRule="auto"/>
        <w:ind w:firstLine="560" w:firstLineChars="200"/>
        <w:rPr>
          <w:sz w:val="28"/>
          <w:szCs w:val="28"/>
        </w:rPr>
      </w:pPr>
      <w:r>
        <w:rPr>
          <w:sz w:val="28"/>
          <w:szCs w:val="28"/>
        </w:rPr>
        <w:t>矿石</w:t>
      </w:r>
      <w:r>
        <w:rPr>
          <w:rFonts w:hint="eastAsia"/>
          <w:sz w:val="28"/>
          <w:szCs w:val="28"/>
        </w:rPr>
        <w:t>、</w:t>
      </w:r>
      <w:r>
        <w:rPr>
          <w:sz w:val="28"/>
          <w:szCs w:val="28"/>
        </w:rPr>
        <w:t>废石的排放也应根据矿山地形坡度堆放于地势较缓地带</w:t>
      </w:r>
      <w:r>
        <w:rPr>
          <w:rFonts w:hint="eastAsia"/>
          <w:sz w:val="28"/>
          <w:szCs w:val="28"/>
        </w:rPr>
        <w:t>，</w:t>
      </w:r>
      <w:r>
        <w:rPr>
          <w:sz w:val="28"/>
          <w:szCs w:val="28"/>
        </w:rPr>
        <w:t>在矿石</w:t>
      </w:r>
      <w:r>
        <w:rPr>
          <w:rFonts w:hint="eastAsia"/>
          <w:sz w:val="28"/>
          <w:szCs w:val="28"/>
        </w:rPr>
        <w:t>、</w:t>
      </w:r>
      <w:r>
        <w:rPr>
          <w:sz w:val="28"/>
          <w:szCs w:val="28"/>
        </w:rPr>
        <w:t>废石堆下坡侧应修筑浆砌石挡墙</w:t>
      </w:r>
      <w:r>
        <w:rPr>
          <w:rFonts w:hint="eastAsia"/>
          <w:sz w:val="28"/>
          <w:szCs w:val="28"/>
        </w:rPr>
        <w:t>，以防止矿石、废石堆垮塌及滚石事故的发生。</w:t>
      </w:r>
    </w:p>
    <w:p w14:paraId="4FD59119">
      <w:pPr>
        <w:autoSpaceDE w:val="0"/>
        <w:autoSpaceDN w:val="0"/>
        <w:adjustRightInd w:val="0"/>
        <w:snapToGrid w:val="0"/>
        <w:spacing w:line="360" w:lineRule="auto"/>
        <w:ind w:firstLine="560" w:firstLineChars="200"/>
        <w:rPr>
          <w:sz w:val="28"/>
          <w:szCs w:val="28"/>
        </w:rPr>
      </w:pPr>
      <w:r>
        <w:rPr>
          <w:rFonts w:hint="eastAsia"/>
          <w:sz w:val="28"/>
          <w:szCs w:val="28"/>
        </w:rPr>
        <w:t>（四）工程地质勘查类型的划分</w:t>
      </w:r>
    </w:p>
    <w:p w14:paraId="4F2C3AFB">
      <w:pPr>
        <w:autoSpaceDE w:val="0"/>
        <w:autoSpaceDN w:val="0"/>
        <w:adjustRightInd w:val="0"/>
        <w:snapToGrid w:val="0"/>
        <w:spacing w:line="360" w:lineRule="auto"/>
        <w:ind w:firstLine="560" w:firstLineChars="200"/>
        <w:rPr>
          <w:sz w:val="28"/>
          <w:szCs w:val="28"/>
        </w:rPr>
      </w:pPr>
      <w:r>
        <w:rPr>
          <w:rFonts w:hint="eastAsia"/>
          <w:sz w:val="28"/>
          <w:szCs w:val="28"/>
        </w:rPr>
        <w:t>矿区地层岩性简单，地质构造不发育，岩体结构以块状结构为主，靠近矿体处顶底板岩体稳定性良好，综合评价，参照《矿区水文地质工程地质勘查规范》（GB/T12719-2021）综合评价，矿区工程地质勘探类型属于块状岩类为主的工程地质条件简单的矿床，即第三类、简单型。</w:t>
      </w:r>
    </w:p>
    <w:p w14:paraId="6EDF9349">
      <w:pPr>
        <w:spacing w:line="360" w:lineRule="auto"/>
        <w:ind w:left="278" w:firstLine="562" w:firstLineChars="200"/>
        <w:outlineLvl w:val="2"/>
        <w:rPr>
          <w:b/>
          <w:bCs/>
          <w:sz w:val="28"/>
          <w:szCs w:val="28"/>
        </w:rPr>
      </w:pPr>
      <w:r>
        <w:rPr>
          <w:b/>
          <w:bCs/>
          <w:sz w:val="28"/>
          <w:szCs w:val="28"/>
        </w:rPr>
        <w:t>八、矿体地质特征</w:t>
      </w:r>
    </w:p>
    <w:p w14:paraId="12224B23">
      <w:pPr>
        <w:spacing w:line="360" w:lineRule="auto"/>
        <w:ind w:firstLine="560" w:firstLineChars="200"/>
        <w:rPr>
          <w:sz w:val="28"/>
          <w:szCs w:val="28"/>
        </w:rPr>
      </w:pPr>
      <w:r>
        <w:rPr>
          <w:rFonts w:hint="eastAsia"/>
          <w:sz w:val="28"/>
          <w:szCs w:val="28"/>
        </w:rPr>
        <w:t>1、矿体特征</w:t>
      </w:r>
    </w:p>
    <w:p w14:paraId="48A93BAE">
      <w:pPr>
        <w:spacing w:line="360" w:lineRule="auto"/>
        <w:ind w:firstLine="560" w:firstLineChars="200"/>
        <w:rPr>
          <w:bCs/>
          <w:sz w:val="28"/>
          <w:szCs w:val="28"/>
        </w:rPr>
      </w:pPr>
      <w:r>
        <w:rPr>
          <w:bCs/>
          <w:sz w:val="28"/>
          <w:szCs w:val="28"/>
        </w:rPr>
        <w:t>本矿为一小型建筑用碎石矿，</w:t>
      </w:r>
      <w:r>
        <w:rPr>
          <w:rFonts w:hint="eastAsia"/>
          <w:bCs/>
          <w:sz w:val="28"/>
          <w:szCs w:val="28"/>
        </w:rPr>
        <w:t>矿体为新近系汉诺坝组（Nh）玄武岩，</w:t>
      </w:r>
      <w:r>
        <w:rPr>
          <w:bCs/>
          <w:sz w:val="28"/>
          <w:szCs w:val="28"/>
        </w:rPr>
        <w:t>形成时代为新近</w:t>
      </w:r>
      <w:r>
        <w:rPr>
          <w:rFonts w:hint="eastAsia"/>
          <w:bCs/>
          <w:sz w:val="28"/>
          <w:szCs w:val="28"/>
        </w:rPr>
        <w:t>纪</w:t>
      </w:r>
      <w:r>
        <w:rPr>
          <w:bCs/>
          <w:sz w:val="28"/>
          <w:szCs w:val="28"/>
        </w:rPr>
        <w:t>。</w:t>
      </w:r>
    </w:p>
    <w:p w14:paraId="1F63645F">
      <w:pPr>
        <w:spacing w:line="360" w:lineRule="auto"/>
        <w:ind w:firstLine="560" w:firstLineChars="200"/>
        <w:rPr>
          <w:bCs/>
          <w:sz w:val="28"/>
          <w:szCs w:val="28"/>
        </w:rPr>
      </w:pPr>
      <w:r>
        <w:rPr>
          <w:rFonts w:hint="eastAsia"/>
          <w:bCs/>
          <w:sz w:val="28"/>
          <w:szCs w:val="28"/>
        </w:rPr>
        <w:t>玄武岩矿体分布在整个矿区，</w:t>
      </w:r>
      <w:r>
        <w:rPr>
          <w:bCs/>
          <w:sz w:val="28"/>
          <w:szCs w:val="28"/>
        </w:rPr>
        <w:t>矿体为厚层状</w:t>
      </w:r>
      <w:r>
        <w:rPr>
          <w:rFonts w:hint="eastAsia"/>
          <w:bCs/>
          <w:sz w:val="28"/>
          <w:szCs w:val="28"/>
        </w:rPr>
        <w:t>，形态稳定，规模较大，（延至矿区以外）。</w:t>
      </w:r>
    </w:p>
    <w:p w14:paraId="430E420A">
      <w:pPr>
        <w:spacing w:line="360" w:lineRule="auto"/>
        <w:ind w:firstLine="560" w:firstLineChars="200"/>
        <w:rPr>
          <w:bCs/>
          <w:sz w:val="28"/>
          <w:szCs w:val="28"/>
        </w:rPr>
      </w:pPr>
      <w:r>
        <w:rPr>
          <w:rFonts w:hint="eastAsia"/>
          <w:bCs/>
          <w:sz w:val="28"/>
          <w:szCs w:val="28"/>
        </w:rPr>
        <w:t>矿区内玄武岩</w:t>
      </w:r>
      <w:r>
        <w:rPr>
          <w:bCs/>
          <w:sz w:val="28"/>
          <w:szCs w:val="28"/>
        </w:rPr>
        <w:t>矿体</w:t>
      </w:r>
      <w:r>
        <w:rPr>
          <w:rFonts w:hint="eastAsia"/>
          <w:bCs/>
          <w:sz w:val="28"/>
          <w:szCs w:val="28"/>
        </w:rPr>
        <w:t>长轴方</w:t>
      </w:r>
      <w:r>
        <w:rPr>
          <w:bCs/>
          <w:sz w:val="28"/>
          <w:szCs w:val="28"/>
        </w:rPr>
        <w:t>向总体</w:t>
      </w:r>
      <w:r>
        <w:rPr>
          <w:rFonts w:hint="eastAsia"/>
          <w:bCs/>
          <w:sz w:val="28"/>
          <w:szCs w:val="28"/>
        </w:rPr>
        <w:t>为北西，倾向南西，倾角</w:t>
      </w:r>
      <w:r>
        <w:rPr>
          <w:rFonts w:hint="eastAsia" w:ascii="宋体" w:hAnsi="宋体" w:cs="宋体"/>
          <w:spacing w:val="13"/>
          <w:sz w:val="32"/>
          <w:szCs w:val="32"/>
        </w:rPr>
        <w:t>***</w:t>
      </w:r>
      <w:r>
        <w:rPr>
          <w:rFonts w:hint="eastAsia"/>
          <w:bCs/>
          <w:sz w:val="28"/>
          <w:szCs w:val="28"/>
        </w:rPr>
        <w:t>—</w:t>
      </w:r>
      <w:r>
        <w:rPr>
          <w:rFonts w:hint="eastAsia" w:ascii="宋体" w:hAnsi="宋体" w:cs="宋体"/>
          <w:spacing w:val="13"/>
          <w:sz w:val="32"/>
          <w:szCs w:val="32"/>
        </w:rPr>
        <w:t>***</w:t>
      </w:r>
      <w:r>
        <w:rPr>
          <w:rFonts w:hint="eastAsia"/>
          <w:bCs/>
          <w:sz w:val="28"/>
          <w:szCs w:val="28"/>
        </w:rPr>
        <w:t>°近于直立。</w:t>
      </w:r>
    </w:p>
    <w:p w14:paraId="150855F3">
      <w:pPr>
        <w:spacing w:line="360" w:lineRule="auto"/>
        <w:ind w:firstLine="560" w:firstLineChars="200"/>
        <w:rPr>
          <w:bCs/>
          <w:sz w:val="28"/>
          <w:szCs w:val="28"/>
        </w:rPr>
      </w:pPr>
      <w:r>
        <w:rPr>
          <w:rFonts w:hint="eastAsia"/>
          <w:bCs/>
          <w:sz w:val="28"/>
          <w:szCs w:val="28"/>
        </w:rPr>
        <w:t>本次普查由3条勘查线和在勘查线上布置的探槽工程控制矿体长</w:t>
      </w:r>
      <w:r>
        <w:rPr>
          <w:rFonts w:hint="eastAsia" w:ascii="宋体" w:hAnsi="宋体" w:cs="宋体"/>
          <w:spacing w:val="13"/>
          <w:sz w:val="32"/>
          <w:szCs w:val="32"/>
        </w:rPr>
        <w:t>***</w:t>
      </w:r>
      <w:r>
        <w:rPr>
          <w:rFonts w:hint="eastAsia"/>
          <w:bCs/>
          <w:sz w:val="28"/>
          <w:szCs w:val="28"/>
        </w:rPr>
        <w:t>m，宽</w:t>
      </w:r>
      <w:r>
        <w:rPr>
          <w:rFonts w:hint="eastAsia" w:ascii="宋体" w:hAnsi="宋体" w:cs="宋体"/>
          <w:spacing w:val="13"/>
          <w:sz w:val="32"/>
          <w:szCs w:val="32"/>
        </w:rPr>
        <w:t>***</w:t>
      </w:r>
      <w:r>
        <w:rPr>
          <w:rFonts w:hint="eastAsia"/>
          <w:bCs/>
          <w:sz w:val="28"/>
          <w:szCs w:val="28"/>
        </w:rPr>
        <w:t>m，矿体的深度根据原开采形成的露天采坑勘查深</w:t>
      </w:r>
      <w:r>
        <w:rPr>
          <w:rFonts w:hint="eastAsia" w:ascii="宋体" w:hAnsi="宋体" w:cs="宋体"/>
          <w:spacing w:val="13"/>
          <w:sz w:val="32"/>
          <w:szCs w:val="32"/>
        </w:rPr>
        <w:t>***</w:t>
      </w:r>
      <w:r>
        <w:rPr>
          <w:rFonts w:hint="eastAsia"/>
          <w:bCs/>
          <w:sz w:val="28"/>
          <w:szCs w:val="28"/>
        </w:rPr>
        <w:t>—</w:t>
      </w:r>
      <w:r>
        <w:rPr>
          <w:rFonts w:hint="eastAsia" w:ascii="宋体" w:hAnsi="宋体" w:cs="宋体"/>
          <w:spacing w:val="13"/>
          <w:sz w:val="32"/>
          <w:szCs w:val="32"/>
        </w:rPr>
        <w:t>***</w:t>
      </w:r>
      <w:r>
        <w:rPr>
          <w:rFonts w:hint="eastAsia"/>
          <w:bCs/>
          <w:sz w:val="28"/>
          <w:szCs w:val="28"/>
        </w:rPr>
        <w:t>m（未见底）</w:t>
      </w:r>
      <w:r>
        <w:rPr>
          <w:bCs/>
          <w:sz w:val="28"/>
          <w:szCs w:val="28"/>
        </w:rPr>
        <w:t>。</w:t>
      </w:r>
    </w:p>
    <w:p w14:paraId="7BD5F65C">
      <w:pPr>
        <w:spacing w:line="360" w:lineRule="auto"/>
        <w:ind w:firstLine="560" w:firstLineChars="200"/>
        <w:rPr>
          <w:bCs/>
          <w:sz w:val="28"/>
          <w:szCs w:val="28"/>
        </w:rPr>
      </w:pPr>
      <w:r>
        <w:rPr>
          <w:bCs/>
          <w:sz w:val="28"/>
          <w:szCs w:val="28"/>
        </w:rPr>
        <w:t>根据</w:t>
      </w:r>
      <w:r>
        <w:rPr>
          <w:rFonts w:hint="eastAsia"/>
          <w:bCs/>
          <w:sz w:val="28"/>
          <w:szCs w:val="28"/>
        </w:rPr>
        <w:t>原露天采坑和</w:t>
      </w:r>
      <w:r>
        <w:rPr>
          <w:bCs/>
          <w:sz w:val="28"/>
          <w:szCs w:val="28"/>
        </w:rPr>
        <w:t>探槽</w:t>
      </w:r>
      <w:r>
        <w:rPr>
          <w:rFonts w:hint="eastAsia"/>
          <w:bCs/>
          <w:sz w:val="28"/>
          <w:szCs w:val="28"/>
        </w:rPr>
        <w:t>勘查</w:t>
      </w:r>
      <w:r>
        <w:rPr>
          <w:bCs/>
          <w:sz w:val="28"/>
          <w:szCs w:val="28"/>
        </w:rPr>
        <w:t>；</w:t>
      </w:r>
      <w:r>
        <w:rPr>
          <w:rFonts w:hint="eastAsia"/>
          <w:bCs/>
          <w:sz w:val="28"/>
          <w:szCs w:val="28"/>
        </w:rPr>
        <w:t>近</w:t>
      </w:r>
      <w:r>
        <w:rPr>
          <w:bCs/>
          <w:sz w:val="28"/>
          <w:szCs w:val="28"/>
        </w:rPr>
        <w:t>地表矿体风化较强，表现为呈细小的</w:t>
      </w:r>
      <w:r>
        <w:rPr>
          <w:rFonts w:hint="eastAsia"/>
          <w:bCs/>
          <w:sz w:val="28"/>
          <w:szCs w:val="28"/>
        </w:rPr>
        <w:t>节理、</w:t>
      </w:r>
      <w:r>
        <w:rPr>
          <w:bCs/>
          <w:sz w:val="28"/>
          <w:szCs w:val="28"/>
        </w:rPr>
        <w:t>裂隙，</w:t>
      </w:r>
      <w:r>
        <w:rPr>
          <w:rFonts w:hint="eastAsia"/>
          <w:bCs/>
          <w:sz w:val="28"/>
          <w:szCs w:val="28"/>
        </w:rPr>
        <w:t>但</w:t>
      </w:r>
      <w:r>
        <w:rPr>
          <w:bCs/>
          <w:sz w:val="28"/>
          <w:szCs w:val="28"/>
        </w:rPr>
        <w:t>没有明显的破碎。往深部裂隙逐渐减少。该矿体风化层厚度</w:t>
      </w:r>
      <w:r>
        <w:rPr>
          <w:rFonts w:hint="eastAsia" w:ascii="宋体" w:hAnsi="宋体" w:cs="宋体"/>
          <w:spacing w:val="13"/>
          <w:sz w:val="32"/>
          <w:szCs w:val="32"/>
        </w:rPr>
        <w:t>***</w:t>
      </w:r>
      <w:r>
        <w:rPr>
          <w:rFonts w:hint="eastAsia"/>
          <w:bCs/>
          <w:sz w:val="28"/>
          <w:szCs w:val="28"/>
        </w:rPr>
        <w:t>—</w:t>
      </w:r>
      <w:r>
        <w:rPr>
          <w:rFonts w:hint="eastAsia" w:ascii="宋体" w:hAnsi="宋体" w:cs="宋体"/>
          <w:spacing w:val="13"/>
          <w:sz w:val="32"/>
          <w:szCs w:val="32"/>
        </w:rPr>
        <w:t>***</w:t>
      </w:r>
      <w:r>
        <w:rPr>
          <w:bCs/>
          <w:sz w:val="28"/>
          <w:szCs w:val="28"/>
        </w:rPr>
        <w:t>m。</w:t>
      </w:r>
    </w:p>
    <w:p w14:paraId="5A591245">
      <w:pPr>
        <w:spacing w:line="360" w:lineRule="auto"/>
        <w:ind w:firstLine="560" w:firstLineChars="200"/>
        <w:rPr>
          <w:sz w:val="28"/>
          <w:szCs w:val="28"/>
        </w:rPr>
      </w:pPr>
      <w:r>
        <w:rPr>
          <w:rFonts w:hint="eastAsia"/>
          <w:bCs/>
          <w:sz w:val="28"/>
          <w:szCs w:val="28"/>
        </w:rPr>
        <w:t>资源储量估算面积：</w:t>
      </w:r>
      <w:r>
        <w:rPr>
          <w:rFonts w:hint="eastAsia" w:ascii="宋体" w:hAnsi="宋体" w:cs="宋体"/>
          <w:spacing w:val="13"/>
          <w:sz w:val="32"/>
          <w:szCs w:val="32"/>
        </w:rPr>
        <w:t>***</w:t>
      </w:r>
      <w:r>
        <w:rPr>
          <w:bCs/>
          <w:sz w:val="28"/>
          <w:szCs w:val="28"/>
        </w:rPr>
        <w:t>m</w:t>
      </w:r>
      <w:r>
        <w:rPr>
          <w:rFonts w:hint="eastAsia"/>
          <w:bCs/>
          <w:sz w:val="28"/>
          <w:szCs w:val="28"/>
          <w:vertAlign w:val="superscript"/>
        </w:rPr>
        <w:t>2</w:t>
      </w:r>
      <w:r>
        <w:rPr>
          <w:rFonts w:hint="eastAsia"/>
          <w:bCs/>
          <w:sz w:val="28"/>
          <w:szCs w:val="28"/>
        </w:rPr>
        <w:t>其中包括原露天采坑底部的玄武岩估算面积</w:t>
      </w:r>
      <w:r>
        <w:rPr>
          <w:rFonts w:hint="eastAsia" w:ascii="宋体" w:hAnsi="宋体" w:cs="宋体"/>
          <w:spacing w:val="13"/>
          <w:sz w:val="32"/>
          <w:szCs w:val="32"/>
        </w:rPr>
        <w:t>***</w:t>
      </w:r>
      <w:r>
        <w:rPr>
          <w:bCs/>
          <w:sz w:val="28"/>
          <w:szCs w:val="28"/>
        </w:rPr>
        <w:t>m</w:t>
      </w:r>
      <w:r>
        <w:rPr>
          <w:rFonts w:hint="eastAsia"/>
          <w:bCs/>
          <w:sz w:val="28"/>
          <w:szCs w:val="28"/>
          <w:vertAlign w:val="superscript"/>
        </w:rPr>
        <w:t>2</w:t>
      </w:r>
      <w:r>
        <w:rPr>
          <w:rFonts w:hint="eastAsia"/>
          <w:bCs/>
          <w:sz w:val="28"/>
          <w:szCs w:val="28"/>
        </w:rPr>
        <w:t>该面积不需要剥离，实际剥离面积：</w:t>
      </w:r>
      <w:r>
        <w:rPr>
          <w:rFonts w:hint="eastAsia" w:ascii="宋体" w:hAnsi="宋体" w:cs="宋体"/>
          <w:spacing w:val="13"/>
          <w:sz w:val="32"/>
          <w:szCs w:val="32"/>
        </w:rPr>
        <w:t>***</w:t>
      </w:r>
      <w:r>
        <w:rPr>
          <w:bCs/>
          <w:sz w:val="28"/>
          <w:szCs w:val="28"/>
        </w:rPr>
        <w:t>m</w:t>
      </w:r>
      <w:r>
        <w:rPr>
          <w:rFonts w:hint="eastAsia"/>
          <w:bCs/>
          <w:sz w:val="28"/>
          <w:szCs w:val="28"/>
          <w:vertAlign w:val="superscript"/>
        </w:rPr>
        <w:t>2</w:t>
      </w:r>
      <w:r>
        <w:rPr>
          <w:rFonts w:hint="eastAsia"/>
          <w:bCs/>
          <w:sz w:val="28"/>
          <w:szCs w:val="28"/>
        </w:rPr>
        <w:t>。风化层厚度平均</w:t>
      </w:r>
      <w:r>
        <w:rPr>
          <w:rFonts w:hint="eastAsia" w:ascii="宋体" w:hAnsi="宋体" w:cs="宋体"/>
          <w:spacing w:val="13"/>
          <w:sz w:val="32"/>
          <w:szCs w:val="32"/>
        </w:rPr>
        <w:t>***</w:t>
      </w:r>
      <w:r>
        <w:rPr>
          <w:rFonts w:hint="eastAsia"/>
          <w:bCs/>
          <w:sz w:val="28"/>
          <w:szCs w:val="28"/>
        </w:rPr>
        <w:t>m，玄武岩矿体平均厚度</w:t>
      </w:r>
      <w:r>
        <w:rPr>
          <w:rFonts w:hint="eastAsia" w:ascii="宋体" w:hAnsi="宋体" w:cs="宋体"/>
          <w:spacing w:val="13"/>
          <w:sz w:val="32"/>
          <w:szCs w:val="32"/>
        </w:rPr>
        <w:t>***</w:t>
      </w:r>
      <w:r>
        <w:rPr>
          <w:rFonts w:hint="eastAsia"/>
          <w:bCs/>
          <w:sz w:val="28"/>
          <w:szCs w:val="28"/>
        </w:rPr>
        <w:t>m。</w:t>
      </w:r>
    </w:p>
    <w:p w14:paraId="261EBBCE">
      <w:pPr>
        <w:spacing w:line="360" w:lineRule="auto"/>
        <w:ind w:firstLine="560" w:firstLineChars="200"/>
        <w:rPr>
          <w:bCs/>
          <w:sz w:val="28"/>
          <w:szCs w:val="28"/>
        </w:rPr>
      </w:pPr>
      <w:r>
        <w:rPr>
          <w:bCs/>
          <w:sz w:val="28"/>
          <w:szCs w:val="28"/>
        </w:rPr>
        <w:t>2、矿石质量</w:t>
      </w:r>
    </w:p>
    <w:p w14:paraId="0417A668">
      <w:pPr>
        <w:spacing w:line="360" w:lineRule="auto"/>
        <w:ind w:firstLine="560" w:firstLineChars="200"/>
        <w:rPr>
          <w:bCs/>
          <w:sz w:val="28"/>
          <w:szCs w:val="28"/>
        </w:rPr>
      </w:pPr>
      <w:r>
        <w:rPr>
          <w:bCs/>
          <w:sz w:val="28"/>
          <w:szCs w:val="28"/>
        </w:rPr>
        <w:t>（1）矿物成分</w:t>
      </w:r>
    </w:p>
    <w:p w14:paraId="1A578BB8">
      <w:pPr>
        <w:spacing w:line="360" w:lineRule="auto"/>
        <w:ind w:firstLine="560" w:firstLineChars="200"/>
        <w:rPr>
          <w:bCs/>
          <w:sz w:val="28"/>
          <w:szCs w:val="28"/>
        </w:rPr>
      </w:pPr>
      <w:r>
        <w:rPr>
          <w:rFonts w:hint="eastAsia"/>
          <w:bCs/>
          <w:sz w:val="28"/>
          <w:szCs w:val="28"/>
        </w:rPr>
        <w:t>玄武岩矿的主要矿物成分为：基性斜长石、辉石及少量橄榄石、角闪石、黑云母，副矿物为：钛铁矿和磁铁矿。</w:t>
      </w:r>
    </w:p>
    <w:p w14:paraId="2B97E491">
      <w:pPr>
        <w:spacing w:line="360" w:lineRule="auto"/>
        <w:ind w:firstLine="560" w:firstLineChars="200"/>
        <w:rPr>
          <w:bCs/>
          <w:sz w:val="28"/>
          <w:szCs w:val="28"/>
        </w:rPr>
      </w:pPr>
      <w:r>
        <w:rPr>
          <w:rFonts w:hint="eastAsia"/>
          <w:bCs/>
          <w:sz w:val="28"/>
          <w:szCs w:val="28"/>
        </w:rPr>
        <w:t>其中基性斜长石约占</w:t>
      </w:r>
      <w:r>
        <w:rPr>
          <w:rFonts w:hint="eastAsia" w:ascii="宋体" w:hAnsi="宋体" w:cs="宋体"/>
          <w:spacing w:val="13"/>
          <w:sz w:val="32"/>
          <w:szCs w:val="32"/>
        </w:rPr>
        <w:t>***</w:t>
      </w:r>
      <w:r>
        <w:rPr>
          <w:rFonts w:hint="eastAsia"/>
          <w:bCs/>
          <w:sz w:val="28"/>
          <w:szCs w:val="28"/>
        </w:rPr>
        <w:t>－</w:t>
      </w:r>
      <w:r>
        <w:rPr>
          <w:rFonts w:hint="eastAsia" w:ascii="宋体" w:hAnsi="宋体" w:cs="宋体"/>
          <w:spacing w:val="13"/>
          <w:sz w:val="32"/>
          <w:szCs w:val="32"/>
        </w:rPr>
        <w:t>***</w:t>
      </w:r>
      <w:r>
        <w:rPr>
          <w:rFonts w:hint="eastAsia"/>
          <w:bCs/>
          <w:sz w:val="28"/>
          <w:szCs w:val="28"/>
        </w:rPr>
        <w:t xml:space="preserve">%，辉石约占 </w:t>
      </w:r>
      <w:r>
        <w:rPr>
          <w:rFonts w:hint="eastAsia" w:ascii="宋体" w:hAnsi="宋体" w:cs="宋体"/>
          <w:spacing w:val="13"/>
          <w:sz w:val="32"/>
          <w:szCs w:val="32"/>
        </w:rPr>
        <w:t>***</w:t>
      </w:r>
      <w:r>
        <w:rPr>
          <w:rFonts w:hint="eastAsia"/>
          <w:bCs/>
          <w:sz w:val="28"/>
          <w:szCs w:val="28"/>
        </w:rPr>
        <w:t>－</w:t>
      </w:r>
      <w:r>
        <w:rPr>
          <w:rFonts w:hint="eastAsia" w:ascii="宋体" w:hAnsi="宋体" w:cs="宋体"/>
          <w:spacing w:val="13"/>
          <w:sz w:val="32"/>
          <w:szCs w:val="32"/>
        </w:rPr>
        <w:t>***</w:t>
      </w:r>
      <w:r>
        <w:rPr>
          <w:rFonts w:hint="eastAsia"/>
          <w:bCs/>
          <w:sz w:val="28"/>
          <w:szCs w:val="28"/>
        </w:rPr>
        <w:t>%，橄榄石约占</w:t>
      </w:r>
      <w:r>
        <w:rPr>
          <w:rFonts w:hint="eastAsia" w:ascii="宋体" w:hAnsi="宋体" w:cs="宋体"/>
          <w:spacing w:val="13"/>
          <w:sz w:val="32"/>
          <w:szCs w:val="32"/>
        </w:rPr>
        <w:t>***</w:t>
      </w:r>
      <w:r>
        <w:rPr>
          <w:rFonts w:hint="eastAsia"/>
          <w:bCs/>
          <w:sz w:val="28"/>
          <w:szCs w:val="28"/>
        </w:rPr>
        <w:t>%，角闪石、黑云母、磁铁矿少量。</w:t>
      </w:r>
    </w:p>
    <w:p w14:paraId="7D285687">
      <w:pPr>
        <w:spacing w:line="360" w:lineRule="auto"/>
        <w:ind w:firstLine="560" w:firstLineChars="200"/>
        <w:rPr>
          <w:bCs/>
          <w:sz w:val="28"/>
          <w:szCs w:val="28"/>
        </w:rPr>
      </w:pPr>
      <w:r>
        <w:rPr>
          <w:bCs/>
          <w:sz w:val="28"/>
          <w:szCs w:val="28"/>
        </w:rPr>
        <w:t>（2）矿石特征</w:t>
      </w:r>
    </w:p>
    <w:p w14:paraId="0F8C80AB">
      <w:pPr>
        <w:spacing w:line="360" w:lineRule="auto"/>
        <w:ind w:firstLine="560" w:firstLineChars="200"/>
        <w:rPr>
          <w:bCs/>
          <w:sz w:val="28"/>
          <w:szCs w:val="28"/>
        </w:rPr>
      </w:pPr>
      <w:r>
        <w:rPr>
          <w:bCs/>
          <w:sz w:val="28"/>
          <w:szCs w:val="28"/>
        </w:rPr>
        <w:t>颜色：</w:t>
      </w:r>
      <w:r>
        <w:rPr>
          <w:rFonts w:hint="eastAsia"/>
          <w:bCs/>
          <w:sz w:val="28"/>
          <w:szCs w:val="28"/>
        </w:rPr>
        <w:t>玄武岩矿颜色为灰黑色。</w:t>
      </w:r>
      <w:r>
        <w:rPr>
          <w:bCs/>
          <w:sz w:val="28"/>
          <w:szCs w:val="28"/>
        </w:rPr>
        <w:t>风化面</w:t>
      </w:r>
      <w:r>
        <w:rPr>
          <w:rFonts w:hint="eastAsia"/>
          <w:bCs/>
          <w:sz w:val="28"/>
          <w:szCs w:val="28"/>
        </w:rPr>
        <w:t>颜色相对较浅。</w:t>
      </w:r>
    </w:p>
    <w:p w14:paraId="1C30CAE8">
      <w:pPr>
        <w:spacing w:line="360" w:lineRule="auto"/>
        <w:ind w:firstLine="560" w:firstLineChars="200"/>
        <w:rPr>
          <w:sz w:val="28"/>
          <w:szCs w:val="28"/>
        </w:rPr>
      </w:pPr>
      <w:r>
        <w:rPr>
          <w:bCs/>
          <w:sz w:val="28"/>
          <w:szCs w:val="28"/>
        </w:rPr>
        <w:t>结构构造：隐晶质—半晶质结构，块状</w:t>
      </w:r>
      <w:r>
        <w:rPr>
          <w:rFonts w:hint="eastAsia"/>
          <w:bCs/>
          <w:sz w:val="28"/>
          <w:szCs w:val="28"/>
        </w:rPr>
        <w:t>构造，</w:t>
      </w:r>
      <w:r>
        <w:rPr>
          <w:bCs/>
          <w:sz w:val="28"/>
          <w:szCs w:val="28"/>
        </w:rPr>
        <w:t>靠近地表局部岩石中见有少量气孔及杏仁状构造。</w:t>
      </w:r>
    </w:p>
    <w:p w14:paraId="16E4F542">
      <w:pPr>
        <w:spacing w:line="360" w:lineRule="auto"/>
        <w:ind w:firstLine="560" w:firstLineChars="200"/>
        <w:rPr>
          <w:sz w:val="28"/>
          <w:szCs w:val="28"/>
        </w:rPr>
      </w:pPr>
      <w:r>
        <w:rPr>
          <w:sz w:val="28"/>
          <w:szCs w:val="28"/>
        </w:rPr>
        <w:t>3、矿石类型</w:t>
      </w:r>
    </w:p>
    <w:p w14:paraId="68A1A9AF">
      <w:pPr>
        <w:spacing w:line="360" w:lineRule="auto"/>
        <w:ind w:firstLine="560" w:firstLineChars="200"/>
        <w:rPr>
          <w:bCs/>
          <w:sz w:val="28"/>
          <w:szCs w:val="28"/>
        </w:rPr>
      </w:pPr>
      <w:bookmarkStart w:id="67" w:name="_Toc303072185"/>
      <w:bookmarkStart w:id="68" w:name="_Toc303071544"/>
      <w:bookmarkStart w:id="69" w:name="_Toc303072006"/>
      <w:r>
        <w:rPr>
          <w:bCs/>
          <w:sz w:val="28"/>
          <w:szCs w:val="28"/>
        </w:rPr>
        <w:t>矿石自然类型：</w:t>
      </w:r>
      <w:r>
        <w:rPr>
          <w:rFonts w:hint="eastAsia"/>
          <w:bCs/>
          <w:sz w:val="28"/>
          <w:szCs w:val="28"/>
        </w:rPr>
        <w:t>块状玄武岩矿石</w:t>
      </w:r>
      <w:r>
        <w:rPr>
          <w:bCs/>
          <w:sz w:val="28"/>
          <w:szCs w:val="28"/>
        </w:rPr>
        <w:t>。</w:t>
      </w:r>
    </w:p>
    <w:p w14:paraId="1CF78E12">
      <w:pPr>
        <w:spacing w:line="360" w:lineRule="auto"/>
        <w:ind w:firstLine="560" w:firstLineChars="200"/>
        <w:rPr>
          <w:bCs/>
          <w:sz w:val="28"/>
          <w:szCs w:val="28"/>
        </w:rPr>
      </w:pPr>
      <w:r>
        <w:rPr>
          <w:bCs/>
          <w:sz w:val="28"/>
          <w:szCs w:val="28"/>
        </w:rPr>
        <w:t>工业类型：建筑用碎石。</w:t>
      </w:r>
    </w:p>
    <w:p w14:paraId="601206CE">
      <w:pPr>
        <w:spacing w:line="360" w:lineRule="auto"/>
        <w:ind w:firstLine="560" w:firstLineChars="200"/>
        <w:rPr>
          <w:bCs/>
          <w:sz w:val="28"/>
          <w:szCs w:val="28"/>
        </w:rPr>
      </w:pPr>
      <w:r>
        <w:rPr>
          <w:bCs/>
          <w:sz w:val="28"/>
          <w:szCs w:val="28"/>
        </w:rPr>
        <w:t>开采矿种：建筑用玄武岩。</w:t>
      </w:r>
    </w:p>
    <w:bookmarkEnd w:id="67"/>
    <w:bookmarkEnd w:id="68"/>
    <w:bookmarkEnd w:id="69"/>
    <w:p w14:paraId="2E9BE481">
      <w:pPr>
        <w:spacing w:line="360" w:lineRule="auto"/>
        <w:ind w:firstLine="560" w:firstLineChars="200"/>
        <w:rPr>
          <w:bCs/>
          <w:sz w:val="28"/>
          <w:szCs w:val="28"/>
        </w:rPr>
      </w:pPr>
      <w:r>
        <w:rPr>
          <w:bCs/>
          <w:sz w:val="28"/>
          <w:szCs w:val="28"/>
        </w:rPr>
        <w:t>4、矿体围岩及夹石</w:t>
      </w:r>
    </w:p>
    <w:p w14:paraId="2D99F045">
      <w:pPr>
        <w:spacing w:line="360" w:lineRule="auto"/>
        <w:ind w:firstLine="560" w:firstLineChars="200"/>
        <w:rPr>
          <w:sz w:val="28"/>
          <w:szCs w:val="28"/>
        </w:rPr>
      </w:pPr>
      <w:r>
        <w:rPr>
          <w:bCs/>
          <w:sz w:val="28"/>
          <w:szCs w:val="28"/>
        </w:rPr>
        <w:t>矿区内全部为玄武岩，岩体即为矿体，没有明显界限，矿体内未见可剔除夹石。</w:t>
      </w:r>
    </w:p>
    <w:bookmarkEnd w:id="65"/>
    <w:p w14:paraId="05A364E1">
      <w:pPr>
        <w:pStyle w:val="4"/>
        <w:spacing w:before="120" w:beforeLines="50"/>
        <w:ind w:firstLine="602" w:firstLineChars="200"/>
        <w:rPr>
          <w:rFonts w:ascii="Times New Roman" w:hAnsi="Times New Roman"/>
        </w:rPr>
      </w:pPr>
      <w:bookmarkStart w:id="70" w:name="_Toc11846"/>
      <w:r>
        <w:rPr>
          <w:rFonts w:ascii="Times New Roman" w:hAnsi="Times New Roman"/>
        </w:rPr>
        <w:t>第四节  矿区土地利用现状及采矿用地审批情况</w:t>
      </w:r>
      <w:bookmarkEnd w:id="70"/>
    </w:p>
    <w:p w14:paraId="6861CF19">
      <w:pPr>
        <w:pStyle w:val="31"/>
        <w:spacing w:line="360" w:lineRule="auto"/>
        <w:ind w:firstLine="562" w:firstLineChars="200"/>
        <w:outlineLvl w:val="2"/>
        <w:rPr>
          <w:rFonts w:eastAsia="宋体"/>
          <w:b/>
          <w:bCs/>
          <w:szCs w:val="28"/>
        </w:rPr>
      </w:pPr>
      <w:r>
        <w:rPr>
          <w:rFonts w:eastAsia="宋体"/>
          <w:b/>
          <w:bCs/>
          <w:szCs w:val="28"/>
        </w:rPr>
        <w:t>一、矿区土地利用现状</w:t>
      </w:r>
    </w:p>
    <w:p w14:paraId="0B52D73D">
      <w:pPr>
        <w:pStyle w:val="31"/>
        <w:spacing w:line="360" w:lineRule="auto"/>
        <w:ind w:firstLine="560" w:firstLineChars="200"/>
        <w:rPr>
          <w:rFonts w:eastAsia="宋体"/>
          <w:szCs w:val="28"/>
        </w:rPr>
      </w:pPr>
      <w:r>
        <w:rPr>
          <w:rFonts w:eastAsia="宋体"/>
          <w:szCs w:val="28"/>
        </w:rPr>
        <w:t>根据全国第三次土地利用现状调查资料、松山区自然资源局提供的松山区2024年国土变更调查数据及土地利用现状图</w:t>
      </w:r>
      <w:r>
        <w:rPr>
          <w:rFonts w:hint="eastAsia"/>
          <w:szCs w:val="28"/>
          <w:lang w:val="zh-CN"/>
        </w:rPr>
        <w:t>[</w:t>
      </w:r>
      <w:r>
        <w:rPr>
          <w:rFonts w:hint="eastAsia" w:ascii="宋体" w:hAnsi="宋体" w:cs="宋体"/>
          <w:spacing w:val="13"/>
          <w:sz w:val="32"/>
          <w:szCs w:val="32"/>
        </w:rPr>
        <w:t>***</w:t>
      </w:r>
      <w:r>
        <w:rPr>
          <w:rFonts w:hint="eastAsia"/>
          <w:szCs w:val="28"/>
          <w:lang w:val="zh-CN"/>
        </w:rPr>
        <w:t>]</w:t>
      </w:r>
      <w:r>
        <w:rPr>
          <w:rFonts w:eastAsia="宋体"/>
          <w:szCs w:val="28"/>
        </w:rPr>
        <w:t>，按照《土地利用现状分类》（</w:t>
      </w:r>
      <w:r>
        <w:rPr>
          <w:rFonts w:hint="eastAsia" w:ascii="宋体" w:hAnsi="宋体" w:cs="宋体"/>
          <w:spacing w:val="13"/>
          <w:sz w:val="32"/>
          <w:szCs w:val="32"/>
        </w:rPr>
        <w:t>***</w:t>
      </w:r>
      <w:r>
        <w:rPr>
          <w:rFonts w:eastAsia="宋体"/>
          <w:szCs w:val="28"/>
        </w:rPr>
        <w:t>）标准进行统计。</w:t>
      </w:r>
    </w:p>
    <w:p w14:paraId="0417FAE2">
      <w:pPr>
        <w:pStyle w:val="31"/>
        <w:spacing w:line="360" w:lineRule="auto"/>
        <w:ind w:firstLine="560" w:firstLineChars="200"/>
        <w:rPr>
          <w:rFonts w:eastAsia="宋体"/>
          <w:szCs w:val="28"/>
        </w:rPr>
      </w:pPr>
      <w:r>
        <w:rPr>
          <w:rFonts w:eastAsia="宋体"/>
          <w:szCs w:val="28"/>
        </w:rPr>
        <w:t>1、矿区土地利用情况</w:t>
      </w:r>
    </w:p>
    <w:p w14:paraId="27005AAA">
      <w:pPr>
        <w:pStyle w:val="31"/>
        <w:spacing w:line="360" w:lineRule="auto"/>
        <w:ind w:firstLine="560" w:firstLineChars="200"/>
        <w:rPr>
          <w:rFonts w:eastAsia="宋体"/>
          <w:szCs w:val="28"/>
        </w:rPr>
      </w:pPr>
      <w:r>
        <w:rPr>
          <w:rFonts w:eastAsia="宋体"/>
          <w:szCs w:val="28"/>
        </w:rPr>
        <w:t>矿区面积为</w:t>
      </w:r>
      <w:r>
        <w:rPr>
          <w:rFonts w:hint="eastAsia" w:ascii="宋体" w:hAnsi="宋体" w:cs="宋体"/>
          <w:spacing w:val="13"/>
          <w:sz w:val="32"/>
          <w:szCs w:val="32"/>
        </w:rPr>
        <w:t>***</w:t>
      </w:r>
      <w:r>
        <w:rPr>
          <w:rFonts w:eastAsia="宋体"/>
          <w:szCs w:val="28"/>
        </w:rPr>
        <w:t>km</w:t>
      </w:r>
      <w:r>
        <w:rPr>
          <w:rFonts w:eastAsia="宋体"/>
          <w:szCs w:val="28"/>
          <w:vertAlign w:val="superscript"/>
        </w:rPr>
        <w:t>2</w:t>
      </w:r>
      <w:r>
        <w:rPr>
          <w:rFonts w:eastAsia="宋体"/>
          <w:szCs w:val="28"/>
        </w:rPr>
        <w:t>，矿区现状土地利用类型包括</w:t>
      </w:r>
      <w:r>
        <w:rPr>
          <w:rFonts w:hint="eastAsia" w:eastAsia="宋体"/>
          <w:szCs w:val="28"/>
        </w:rPr>
        <w:t>灌木林地</w:t>
      </w:r>
      <w:r>
        <w:rPr>
          <w:rFonts w:hint="eastAsia" w:ascii="宋体" w:hAnsi="宋体" w:cs="宋体"/>
          <w:spacing w:val="13"/>
          <w:sz w:val="32"/>
          <w:szCs w:val="32"/>
        </w:rPr>
        <w:t>***</w:t>
      </w:r>
      <w:r>
        <w:rPr>
          <w:kern w:val="0"/>
          <w:szCs w:val="21"/>
        </w:rPr>
        <w:t>m</w:t>
      </w:r>
      <w:r>
        <w:rPr>
          <w:kern w:val="0"/>
          <w:szCs w:val="21"/>
          <w:vertAlign w:val="superscript"/>
        </w:rPr>
        <w:t>2</w:t>
      </w:r>
      <w:r>
        <w:rPr>
          <w:rFonts w:eastAsia="宋体"/>
          <w:szCs w:val="28"/>
        </w:rPr>
        <w:t>、</w:t>
      </w:r>
      <w:r>
        <w:rPr>
          <w:rFonts w:hint="eastAsia" w:eastAsia="宋体"/>
          <w:szCs w:val="28"/>
        </w:rPr>
        <w:t>其他</w:t>
      </w:r>
      <w:r>
        <w:rPr>
          <w:rFonts w:eastAsia="宋体"/>
          <w:szCs w:val="28"/>
        </w:rPr>
        <w:t>草地</w:t>
      </w:r>
      <w:r>
        <w:rPr>
          <w:rFonts w:hint="eastAsia" w:ascii="宋体" w:hAnsi="宋体" w:cs="宋体"/>
          <w:spacing w:val="13"/>
          <w:sz w:val="32"/>
          <w:szCs w:val="32"/>
        </w:rPr>
        <w:t>***</w:t>
      </w:r>
      <w:r>
        <w:rPr>
          <w:kern w:val="0"/>
          <w:szCs w:val="21"/>
        </w:rPr>
        <w:t>m</w:t>
      </w:r>
      <w:r>
        <w:rPr>
          <w:kern w:val="0"/>
          <w:szCs w:val="21"/>
          <w:vertAlign w:val="superscript"/>
        </w:rPr>
        <w:t>2</w:t>
      </w:r>
      <w:r>
        <w:rPr>
          <w:rFonts w:eastAsia="宋体"/>
          <w:szCs w:val="28"/>
        </w:rPr>
        <w:t>、</w:t>
      </w:r>
      <w:r>
        <w:rPr>
          <w:rFonts w:hint="eastAsia" w:eastAsia="宋体"/>
          <w:szCs w:val="28"/>
        </w:rPr>
        <w:t>采矿用地</w:t>
      </w:r>
      <w:r>
        <w:rPr>
          <w:rFonts w:hint="eastAsia" w:ascii="宋体" w:hAnsi="宋体" w:cs="宋体"/>
          <w:spacing w:val="13"/>
          <w:sz w:val="32"/>
          <w:szCs w:val="32"/>
        </w:rPr>
        <w:t>***</w:t>
      </w:r>
      <w:r>
        <w:rPr>
          <w:kern w:val="0"/>
          <w:szCs w:val="21"/>
        </w:rPr>
        <w:t>m</w:t>
      </w:r>
      <w:r>
        <w:rPr>
          <w:kern w:val="0"/>
          <w:szCs w:val="21"/>
          <w:vertAlign w:val="superscript"/>
        </w:rPr>
        <w:t>2</w:t>
      </w:r>
      <w:r>
        <w:rPr>
          <w:rFonts w:eastAsia="宋体"/>
          <w:szCs w:val="28"/>
        </w:rPr>
        <w:t>。质量中等。矿区土地利用类型及面积见表2-</w:t>
      </w:r>
      <w:r>
        <w:rPr>
          <w:rFonts w:hint="eastAsia" w:eastAsia="宋体"/>
          <w:szCs w:val="28"/>
        </w:rPr>
        <w:t>8。</w:t>
      </w:r>
    </w:p>
    <w:p w14:paraId="53A2E5D4">
      <w:pPr>
        <w:ind w:firstLine="480" w:firstLineChars="200"/>
        <w:jc w:val="center"/>
        <w:rPr>
          <w:rFonts w:eastAsia="黑体"/>
          <w:bCs/>
          <w:kern w:val="0"/>
          <w:sz w:val="24"/>
        </w:rPr>
      </w:pPr>
      <w:r>
        <w:rPr>
          <w:rFonts w:eastAsia="黑体"/>
          <w:bCs/>
          <w:kern w:val="0"/>
          <w:sz w:val="24"/>
        </w:rPr>
        <w:t>表2-</w:t>
      </w:r>
      <w:r>
        <w:rPr>
          <w:rFonts w:hint="eastAsia" w:eastAsia="黑体"/>
          <w:bCs/>
          <w:kern w:val="0"/>
          <w:sz w:val="24"/>
        </w:rPr>
        <w:t>8</w:t>
      </w:r>
      <w:r>
        <w:rPr>
          <w:rFonts w:eastAsia="黑体"/>
          <w:bCs/>
          <w:kern w:val="0"/>
          <w:sz w:val="24"/>
        </w:rPr>
        <w:t xml:space="preserve"> 矿区土地利用现状表</w:t>
      </w:r>
    </w:p>
    <w:p w14:paraId="2B57C717">
      <w:pPr>
        <w:ind w:firstLine="480" w:firstLineChars="200"/>
        <w:jc w:val="center"/>
        <w:rPr>
          <w:rFonts w:eastAsia="黑体"/>
          <w:bCs/>
          <w:kern w:val="0"/>
          <w:sz w:val="24"/>
        </w:rPr>
      </w:pPr>
    </w:p>
    <w:p w14:paraId="617D855C">
      <w:pPr>
        <w:pStyle w:val="31"/>
        <w:spacing w:line="360" w:lineRule="auto"/>
        <w:ind w:firstLine="560" w:firstLineChars="200"/>
        <w:rPr>
          <w:rFonts w:eastAsia="宋体"/>
          <w:szCs w:val="28"/>
        </w:rPr>
      </w:pPr>
      <w:r>
        <w:rPr>
          <w:rFonts w:eastAsia="宋体"/>
          <w:szCs w:val="28"/>
        </w:rPr>
        <w:t>2、矿区外影响范围土地利用情况</w:t>
      </w:r>
    </w:p>
    <w:p w14:paraId="2772099E">
      <w:pPr>
        <w:pStyle w:val="31"/>
        <w:spacing w:line="360" w:lineRule="auto"/>
        <w:ind w:firstLine="560" w:firstLineChars="200"/>
        <w:rPr>
          <w:rFonts w:eastAsia="宋体"/>
          <w:szCs w:val="28"/>
        </w:rPr>
      </w:pPr>
      <w:r>
        <w:rPr>
          <w:rFonts w:eastAsia="宋体"/>
          <w:szCs w:val="28"/>
        </w:rPr>
        <w:t>根据现场实际调查确定，矿区</w:t>
      </w:r>
      <w:r>
        <w:rPr>
          <w:rFonts w:hint="eastAsia" w:eastAsia="宋体"/>
          <w:szCs w:val="28"/>
        </w:rPr>
        <w:t>除部分露天采场在矿区范围内，其余场地</w:t>
      </w:r>
      <w:bookmarkStart w:id="71" w:name="_Hlk240378631"/>
      <w:r>
        <w:rPr>
          <w:rFonts w:hint="eastAsia" w:eastAsia="宋体"/>
          <w:szCs w:val="28"/>
        </w:rPr>
        <w:t>（部分露天采场、</w:t>
      </w:r>
      <w:bookmarkStart w:id="72" w:name="_Hlk238742253"/>
      <w:r>
        <w:rPr>
          <w:rFonts w:hint="eastAsia" w:eastAsiaTheme="minorEastAsia"/>
          <w:szCs w:val="28"/>
        </w:rPr>
        <w:t>工业场地、废石场1、废石场2、废石场3、钻机平台、生活区、办公区、门卫、矿区道路</w:t>
      </w:r>
      <w:bookmarkEnd w:id="72"/>
      <w:r>
        <w:rPr>
          <w:rFonts w:hint="eastAsia" w:eastAsia="宋体"/>
          <w:szCs w:val="28"/>
        </w:rPr>
        <w:t>）均在矿区范围外，合计面积</w:t>
      </w:r>
      <w:r>
        <w:rPr>
          <w:rFonts w:hint="eastAsia" w:ascii="宋体" w:hAnsi="宋体" w:cs="宋体"/>
          <w:spacing w:val="13"/>
          <w:sz w:val="32"/>
          <w:szCs w:val="32"/>
        </w:rPr>
        <w:t>***</w:t>
      </w:r>
      <w:r>
        <w:rPr>
          <w:kern w:val="0"/>
          <w:szCs w:val="21"/>
        </w:rPr>
        <w:t>m</w:t>
      </w:r>
      <w:r>
        <w:rPr>
          <w:kern w:val="0"/>
          <w:szCs w:val="21"/>
          <w:vertAlign w:val="superscript"/>
        </w:rPr>
        <w:t>2</w:t>
      </w:r>
      <w:r>
        <w:rPr>
          <w:rFonts w:eastAsia="宋体"/>
          <w:szCs w:val="28"/>
        </w:rPr>
        <w:t>。</w:t>
      </w:r>
      <w:bookmarkEnd w:id="71"/>
    </w:p>
    <w:p w14:paraId="5CE7BB27">
      <w:pPr>
        <w:pStyle w:val="31"/>
        <w:spacing w:line="360" w:lineRule="auto"/>
        <w:ind w:firstLine="560" w:firstLineChars="200"/>
        <w:rPr>
          <w:rFonts w:eastAsia="宋体"/>
          <w:szCs w:val="28"/>
        </w:rPr>
      </w:pPr>
      <w:r>
        <w:rPr>
          <w:rFonts w:eastAsia="宋体"/>
          <w:szCs w:val="28"/>
        </w:rPr>
        <w:t>矿区外影响范围现状土地利用类型包括</w:t>
      </w:r>
      <w:r>
        <w:rPr>
          <w:rFonts w:hint="eastAsia" w:eastAsia="宋体"/>
          <w:szCs w:val="28"/>
        </w:rPr>
        <w:t>乔木林地</w:t>
      </w:r>
      <w:r>
        <w:rPr>
          <w:rFonts w:hint="eastAsia" w:ascii="宋体" w:hAnsi="宋体" w:cs="宋体"/>
          <w:spacing w:val="13"/>
          <w:sz w:val="32"/>
          <w:szCs w:val="32"/>
        </w:rPr>
        <w:t>***</w:t>
      </w:r>
      <w:r>
        <w:rPr>
          <w:kern w:val="0"/>
          <w:szCs w:val="21"/>
        </w:rPr>
        <w:t>m</w:t>
      </w:r>
      <w:r>
        <w:rPr>
          <w:kern w:val="0"/>
          <w:szCs w:val="21"/>
          <w:vertAlign w:val="superscript"/>
        </w:rPr>
        <w:t>2</w:t>
      </w:r>
      <w:r>
        <w:rPr>
          <w:rFonts w:eastAsia="宋体"/>
          <w:szCs w:val="28"/>
        </w:rPr>
        <w:t>、</w:t>
      </w:r>
      <w:r>
        <w:rPr>
          <w:rFonts w:hint="eastAsia" w:eastAsia="宋体"/>
          <w:szCs w:val="28"/>
        </w:rPr>
        <w:t>灌木林地</w:t>
      </w:r>
      <w:r>
        <w:rPr>
          <w:rFonts w:hint="eastAsia" w:ascii="宋体" w:hAnsi="宋体" w:cs="宋体"/>
          <w:spacing w:val="13"/>
          <w:sz w:val="32"/>
          <w:szCs w:val="32"/>
        </w:rPr>
        <w:t>***</w:t>
      </w:r>
      <w:r>
        <w:rPr>
          <w:kern w:val="0"/>
          <w:szCs w:val="21"/>
        </w:rPr>
        <w:t>m</w:t>
      </w:r>
      <w:r>
        <w:rPr>
          <w:kern w:val="0"/>
          <w:szCs w:val="21"/>
          <w:vertAlign w:val="superscript"/>
        </w:rPr>
        <w:t>2</w:t>
      </w:r>
      <w:r>
        <w:rPr>
          <w:rFonts w:eastAsia="宋体"/>
          <w:szCs w:val="28"/>
        </w:rPr>
        <w:t>、</w:t>
      </w:r>
      <w:r>
        <w:rPr>
          <w:rFonts w:hint="eastAsia" w:eastAsia="宋体"/>
          <w:szCs w:val="28"/>
        </w:rPr>
        <w:t>其他草地</w:t>
      </w:r>
      <w:r>
        <w:rPr>
          <w:rFonts w:hint="eastAsia" w:ascii="宋体" w:hAnsi="宋体" w:cs="宋体"/>
          <w:spacing w:val="13"/>
          <w:sz w:val="32"/>
          <w:szCs w:val="32"/>
        </w:rPr>
        <w:t>***</w:t>
      </w:r>
      <w:r>
        <w:rPr>
          <w:kern w:val="0"/>
          <w:szCs w:val="21"/>
        </w:rPr>
        <w:t>m</w:t>
      </w:r>
      <w:r>
        <w:rPr>
          <w:kern w:val="0"/>
          <w:szCs w:val="21"/>
          <w:vertAlign w:val="superscript"/>
        </w:rPr>
        <w:t>2</w:t>
      </w:r>
      <w:r>
        <w:rPr>
          <w:rFonts w:eastAsia="宋体"/>
          <w:szCs w:val="28"/>
        </w:rPr>
        <w:t>、</w:t>
      </w:r>
      <w:r>
        <w:rPr>
          <w:rFonts w:hint="eastAsia" w:eastAsia="宋体"/>
          <w:szCs w:val="28"/>
        </w:rPr>
        <w:t>采矿用地</w:t>
      </w:r>
      <w:r>
        <w:rPr>
          <w:rFonts w:hint="eastAsia" w:ascii="宋体" w:hAnsi="宋体" w:cs="宋体"/>
          <w:spacing w:val="13"/>
          <w:sz w:val="32"/>
          <w:szCs w:val="32"/>
        </w:rPr>
        <w:t>***</w:t>
      </w:r>
      <w:r>
        <w:rPr>
          <w:kern w:val="0"/>
          <w:szCs w:val="21"/>
        </w:rPr>
        <w:t>m</w:t>
      </w:r>
      <w:r>
        <w:rPr>
          <w:kern w:val="0"/>
          <w:szCs w:val="21"/>
          <w:vertAlign w:val="superscript"/>
        </w:rPr>
        <w:t>2</w:t>
      </w:r>
      <w:r>
        <w:rPr>
          <w:rFonts w:eastAsia="宋体"/>
          <w:szCs w:val="28"/>
        </w:rPr>
        <w:t>、</w:t>
      </w:r>
      <w:r>
        <w:rPr>
          <w:rFonts w:hint="eastAsia" w:eastAsia="宋体"/>
          <w:szCs w:val="28"/>
        </w:rPr>
        <w:t>农村道路</w:t>
      </w:r>
      <w:r>
        <w:rPr>
          <w:rFonts w:hint="eastAsia" w:ascii="宋体" w:hAnsi="宋体" w:cs="宋体"/>
          <w:spacing w:val="13"/>
          <w:sz w:val="32"/>
          <w:szCs w:val="32"/>
        </w:rPr>
        <w:t>***</w:t>
      </w:r>
      <w:r>
        <w:rPr>
          <w:kern w:val="0"/>
          <w:szCs w:val="21"/>
        </w:rPr>
        <w:t>m</w:t>
      </w:r>
      <w:r>
        <w:rPr>
          <w:kern w:val="0"/>
          <w:szCs w:val="21"/>
          <w:vertAlign w:val="superscript"/>
        </w:rPr>
        <w:t>2</w:t>
      </w:r>
      <w:r>
        <w:rPr>
          <w:rFonts w:hint="eastAsia" w:eastAsia="宋体"/>
          <w:szCs w:val="28"/>
        </w:rPr>
        <w:t>。</w:t>
      </w:r>
      <w:r>
        <w:rPr>
          <w:rFonts w:eastAsia="宋体"/>
          <w:szCs w:val="28"/>
        </w:rPr>
        <w:t>质量中等。矿区外影响范围土地利用类型及面积见表2-</w:t>
      </w:r>
      <w:r>
        <w:rPr>
          <w:rFonts w:hint="eastAsia" w:eastAsia="宋体"/>
          <w:szCs w:val="28"/>
        </w:rPr>
        <w:t>9</w:t>
      </w:r>
      <w:r>
        <w:rPr>
          <w:rFonts w:eastAsia="宋体"/>
          <w:szCs w:val="28"/>
        </w:rPr>
        <w:t>。</w:t>
      </w:r>
    </w:p>
    <w:p w14:paraId="4103AF52">
      <w:pPr>
        <w:ind w:firstLine="480" w:firstLineChars="200"/>
        <w:jc w:val="center"/>
        <w:rPr>
          <w:rFonts w:eastAsia="黑体"/>
          <w:bCs/>
          <w:kern w:val="0"/>
          <w:sz w:val="24"/>
        </w:rPr>
      </w:pPr>
      <w:r>
        <w:rPr>
          <w:rFonts w:eastAsia="黑体"/>
          <w:bCs/>
          <w:kern w:val="0"/>
          <w:sz w:val="24"/>
        </w:rPr>
        <w:t>表2-</w:t>
      </w:r>
      <w:r>
        <w:rPr>
          <w:rFonts w:hint="eastAsia" w:eastAsia="黑体"/>
          <w:bCs/>
          <w:kern w:val="0"/>
          <w:sz w:val="24"/>
        </w:rPr>
        <w:t>9</w:t>
      </w:r>
      <w:r>
        <w:rPr>
          <w:rFonts w:eastAsia="黑体"/>
          <w:bCs/>
          <w:kern w:val="0"/>
          <w:sz w:val="24"/>
        </w:rPr>
        <w:t xml:space="preserve">  矿区外影响范围土地利用现状表</w:t>
      </w:r>
    </w:p>
    <w:p w14:paraId="4569A2B2">
      <w:pPr>
        <w:pStyle w:val="31"/>
        <w:rPr>
          <w:rFonts w:eastAsia="宋体"/>
          <w:sz w:val="13"/>
          <w:szCs w:val="13"/>
        </w:rPr>
      </w:pPr>
    </w:p>
    <w:p w14:paraId="00937291">
      <w:pPr>
        <w:pStyle w:val="31"/>
        <w:spacing w:line="360" w:lineRule="auto"/>
        <w:ind w:firstLine="560" w:firstLineChars="200"/>
        <w:rPr>
          <w:rFonts w:eastAsia="宋体"/>
          <w:szCs w:val="28"/>
        </w:rPr>
      </w:pPr>
      <w:r>
        <w:rPr>
          <w:rFonts w:eastAsia="宋体"/>
          <w:szCs w:val="28"/>
        </w:rPr>
        <w:t>3、已损毁土地情况</w:t>
      </w:r>
    </w:p>
    <w:p w14:paraId="339EC75E">
      <w:pPr>
        <w:pStyle w:val="31"/>
        <w:spacing w:line="360" w:lineRule="auto"/>
        <w:ind w:firstLine="560" w:firstLineChars="200"/>
        <w:rPr>
          <w:rFonts w:eastAsia="宋体"/>
          <w:szCs w:val="28"/>
        </w:rPr>
      </w:pPr>
      <w:r>
        <w:rPr>
          <w:rFonts w:eastAsia="宋体"/>
          <w:szCs w:val="28"/>
        </w:rPr>
        <w:t>根据现场实际调查确定，现状损毁单元包括：</w:t>
      </w:r>
      <w:r>
        <w:rPr>
          <w:rFonts w:hint="eastAsia" w:eastAsia="宋体"/>
          <w:szCs w:val="28"/>
        </w:rPr>
        <w:t>露天采场、</w:t>
      </w:r>
      <w:r>
        <w:rPr>
          <w:rFonts w:hint="eastAsia" w:eastAsiaTheme="minorEastAsia"/>
          <w:szCs w:val="28"/>
        </w:rPr>
        <w:t>工业场地、废石场1、废石场2、废石场3、钻机平台、生活区、办公区、门卫、矿区道路</w:t>
      </w:r>
      <w:r>
        <w:rPr>
          <w:rFonts w:eastAsia="宋体"/>
          <w:szCs w:val="28"/>
        </w:rPr>
        <w:t>，总面积为</w:t>
      </w:r>
      <w:r>
        <w:rPr>
          <w:rFonts w:hint="eastAsia" w:ascii="宋体" w:hAnsi="宋体" w:cs="宋体"/>
          <w:spacing w:val="13"/>
          <w:sz w:val="32"/>
          <w:szCs w:val="32"/>
        </w:rPr>
        <w:t>***</w:t>
      </w:r>
      <w:r>
        <w:rPr>
          <w:rFonts w:eastAsia="宋体"/>
          <w:szCs w:val="28"/>
        </w:rPr>
        <w:t>m</w:t>
      </w:r>
      <w:r>
        <w:rPr>
          <w:rFonts w:eastAsia="宋体"/>
          <w:szCs w:val="28"/>
          <w:vertAlign w:val="superscript"/>
        </w:rPr>
        <w:t>2</w:t>
      </w:r>
      <w:r>
        <w:rPr>
          <w:rFonts w:eastAsia="宋体"/>
          <w:szCs w:val="28"/>
        </w:rPr>
        <w:t>。</w:t>
      </w:r>
    </w:p>
    <w:p w14:paraId="6D533ECF">
      <w:pPr>
        <w:pStyle w:val="31"/>
        <w:spacing w:line="360" w:lineRule="auto"/>
        <w:ind w:firstLine="560" w:firstLineChars="200"/>
        <w:rPr>
          <w:rFonts w:eastAsia="宋体"/>
          <w:szCs w:val="28"/>
        </w:rPr>
      </w:pPr>
      <w:bookmarkStart w:id="73" w:name="OLE_LINK11"/>
      <w:r>
        <w:rPr>
          <w:rFonts w:eastAsia="宋体"/>
          <w:szCs w:val="28"/>
        </w:rPr>
        <w:t>现状工程单元破坏土地利用类型包括：</w:t>
      </w:r>
      <w:r>
        <w:rPr>
          <w:rFonts w:hint="eastAsia" w:eastAsia="宋体"/>
          <w:szCs w:val="28"/>
        </w:rPr>
        <w:t>乔木林地</w:t>
      </w:r>
      <w:r>
        <w:rPr>
          <w:rFonts w:hint="eastAsia" w:ascii="宋体" w:hAnsi="宋体" w:cs="宋体"/>
          <w:spacing w:val="13"/>
          <w:sz w:val="32"/>
          <w:szCs w:val="32"/>
        </w:rPr>
        <w:t>***</w:t>
      </w:r>
      <w:r>
        <w:rPr>
          <w:kern w:val="0"/>
          <w:szCs w:val="21"/>
        </w:rPr>
        <w:t>m</w:t>
      </w:r>
      <w:r>
        <w:rPr>
          <w:kern w:val="0"/>
          <w:szCs w:val="21"/>
          <w:vertAlign w:val="superscript"/>
        </w:rPr>
        <w:t>2</w:t>
      </w:r>
      <w:r>
        <w:rPr>
          <w:rFonts w:eastAsia="宋体"/>
          <w:szCs w:val="28"/>
        </w:rPr>
        <w:t>、</w:t>
      </w:r>
      <w:r>
        <w:rPr>
          <w:rFonts w:hint="eastAsia" w:eastAsia="宋体"/>
          <w:szCs w:val="28"/>
        </w:rPr>
        <w:t>灌木林地</w:t>
      </w:r>
      <w:r>
        <w:rPr>
          <w:rFonts w:hint="eastAsia" w:ascii="宋体" w:hAnsi="宋体" w:cs="宋体"/>
          <w:spacing w:val="13"/>
          <w:sz w:val="32"/>
          <w:szCs w:val="32"/>
        </w:rPr>
        <w:t>***</w:t>
      </w:r>
      <w:r>
        <w:rPr>
          <w:kern w:val="0"/>
          <w:szCs w:val="21"/>
        </w:rPr>
        <w:t>m</w:t>
      </w:r>
      <w:r>
        <w:rPr>
          <w:kern w:val="0"/>
          <w:szCs w:val="21"/>
          <w:vertAlign w:val="superscript"/>
        </w:rPr>
        <w:t>2</w:t>
      </w:r>
      <w:r>
        <w:rPr>
          <w:rFonts w:eastAsia="宋体"/>
          <w:szCs w:val="28"/>
        </w:rPr>
        <w:t>、</w:t>
      </w:r>
      <w:r>
        <w:rPr>
          <w:rFonts w:hint="eastAsia" w:eastAsia="宋体"/>
          <w:szCs w:val="28"/>
        </w:rPr>
        <w:t>其他草地</w:t>
      </w:r>
      <w:r>
        <w:rPr>
          <w:rFonts w:hint="eastAsia" w:ascii="宋体" w:hAnsi="宋体" w:cs="宋体"/>
          <w:spacing w:val="13"/>
          <w:sz w:val="32"/>
          <w:szCs w:val="32"/>
        </w:rPr>
        <w:t>***</w:t>
      </w:r>
      <w:r>
        <w:rPr>
          <w:kern w:val="0"/>
          <w:szCs w:val="21"/>
        </w:rPr>
        <w:t>m</w:t>
      </w:r>
      <w:r>
        <w:rPr>
          <w:kern w:val="0"/>
          <w:szCs w:val="21"/>
          <w:vertAlign w:val="superscript"/>
        </w:rPr>
        <w:t>2</w:t>
      </w:r>
      <w:r>
        <w:rPr>
          <w:rFonts w:eastAsia="宋体"/>
          <w:szCs w:val="28"/>
        </w:rPr>
        <w:t>、</w:t>
      </w:r>
      <w:r>
        <w:rPr>
          <w:rFonts w:hint="eastAsia" w:eastAsia="宋体"/>
          <w:szCs w:val="28"/>
        </w:rPr>
        <w:t>采矿用地</w:t>
      </w:r>
      <w:r>
        <w:rPr>
          <w:rFonts w:hint="eastAsia" w:ascii="宋体" w:hAnsi="宋体" w:cs="宋体"/>
          <w:spacing w:val="13"/>
          <w:sz w:val="32"/>
          <w:szCs w:val="32"/>
        </w:rPr>
        <w:t>***</w:t>
      </w:r>
      <w:r>
        <w:rPr>
          <w:kern w:val="0"/>
          <w:szCs w:val="21"/>
        </w:rPr>
        <w:t>m</w:t>
      </w:r>
      <w:r>
        <w:rPr>
          <w:kern w:val="0"/>
          <w:szCs w:val="21"/>
          <w:vertAlign w:val="superscript"/>
        </w:rPr>
        <w:t>2</w:t>
      </w:r>
      <w:r>
        <w:rPr>
          <w:rFonts w:eastAsia="宋体"/>
          <w:szCs w:val="28"/>
        </w:rPr>
        <w:t>、</w:t>
      </w:r>
      <w:r>
        <w:rPr>
          <w:rFonts w:hint="eastAsia" w:eastAsia="宋体"/>
          <w:szCs w:val="28"/>
        </w:rPr>
        <w:t>农村道路</w:t>
      </w:r>
      <w:r>
        <w:rPr>
          <w:rFonts w:hint="eastAsia" w:ascii="宋体" w:hAnsi="宋体" w:cs="宋体"/>
          <w:spacing w:val="13"/>
          <w:sz w:val="32"/>
          <w:szCs w:val="32"/>
        </w:rPr>
        <w:t>***</w:t>
      </w:r>
      <w:r>
        <w:rPr>
          <w:kern w:val="0"/>
          <w:szCs w:val="21"/>
        </w:rPr>
        <w:t>m</w:t>
      </w:r>
      <w:r>
        <w:rPr>
          <w:kern w:val="0"/>
          <w:szCs w:val="21"/>
          <w:vertAlign w:val="superscript"/>
        </w:rPr>
        <w:t>2</w:t>
      </w:r>
      <w:r>
        <w:rPr>
          <w:rFonts w:hint="eastAsia" w:eastAsia="宋体"/>
          <w:szCs w:val="28"/>
        </w:rPr>
        <w:t>。</w:t>
      </w:r>
      <w:r>
        <w:rPr>
          <w:rFonts w:eastAsia="宋体"/>
          <w:szCs w:val="28"/>
        </w:rPr>
        <w:t>质量中等。已损毁土地利用类型及面积见表2-</w:t>
      </w:r>
      <w:r>
        <w:rPr>
          <w:rFonts w:hint="eastAsia" w:eastAsia="宋体"/>
          <w:szCs w:val="28"/>
        </w:rPr>
        <w:t>10</w:t>
      </w:r>
      <w:r>
        <w:rPr>
          <w:rFonts w:eastAsia="宋体"/>
          <w:szCs w:val="28"/>
        </w:rPr>
        <w:t>。</w:t>
      </w:r>
      <w:bookmarkEnd w:id="73"/>
    </w:p>
    <w:p w14:paraId="2D9D727D">
      <w:pPr>
        <w:ind w:firstLine="480" w:firstLineChars="200"/>
        <w:jc w:val="center"/>
        <w:rPr>
          <w:rFonts w:eastAsia="黑体"/>
          <w:bCs/>
          <w:kern w:val="0"/>
          <w:sz w:val="24"/>
        </w:rPr>
      </w:pPr>
      <w:r>
        <w:rPr>
          <w:rFonts w:eastAsia="黑体"/>
          <w:bCs/>
          <w:kern w:val="0"/>
          <w:sz w:val="24"/>
        </w:rPr>
        <w:t>表2-</w:t>
      </w:r>
      <w:r>
        <w:rPr>
          <w:rFonts w:hint="eastAsia" w:eastAsia="黑体"/>
          <w:bCs/>
          <w:kern w:val="0"/>
          <w:sz w:val="24"/>
        </w:rPr>
        <w:t>10</w:t>
      </w:r>
      <w:r>
        <w:rPr>
          <w:rFonts w:eastAsia="黑体"/>
          <w:bCs/>
          <w:kern w:val="0"/>
          <w:sz w:val="24"/>
        </w:rPr>
        <w:t xml:space="preserve">  已损毁土地利用现状表</w:t>
      </w:r>
    </w:p>
    <w:p w14:paraId="0C3DFB35">
      <w:pPr>
        <w:pStyle w:val="31"/>
        <w:rPr>
          <w:rFonts w:eastAsia="宋体"/>
          <w:sz w:val="13"/>
          <w:szCs w:val="13"/>
        </w:rPr>
      </w:pPr>
    </w:p>
    <w:p w14:paraId="40DAD2E8">
      <w:pPr>
        <w:spacing w:line="360" w:lineRule="auto"/>
        <w:ind w:firstLine="560" w:firstLineChars="200"/>
        <w:rPr>
          <w:sz w:val="28"/>
          <w:szCs w:val="28"/>
        </w:rPr>
      </w:pPr>
      <w:r>
        <w:rPr>
          <w:rFonts w:hint="eastAsia"/>
          <w:sz w:val="28"/>
          <w:szCs w:val="28"/>
        </w:rPr>
        <w:t>4、已修复土地情况</w:t>
      </w:r>
    </w:p>
    <w:p w14:paraId="25D9E008">
      <w:pPr>
        <w:spacing w:line="360" w:lineRule="auto"/>
        <w:ind w:firstLine="560" w:firstLineChars="200"/>
        <w:rPr>
          <w:sz w:val="28"/>
          <w:szCs w:val="28"/>
        </w:rPr>
      </w:pPr>
      <w:r>
        <w:rPr>
          <w:rFonts w:hint="eastAsia"/>
          <w:sz w:val="28"/>
          <w:szCs w:val="28"/>
        </w:rPr>
        <w:t>矿山通过一分期、各年度治理计划、历史遗留矿山治理，完成了民采坑1、民采坑2、民采坑3、民采渣堆1、民采渣堆2、民采渣堆3、民采渣堆4、民采渣堆5、探坑、废石堆1、废石堆2、部分道路、历史遗留采场、历史遗留废石场等场地治理，总面积</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p>
    <w:p w14:paraId="32744CE7">
      <w:pPr>
        <w:spacing w:line="360" w:lineRule="auto"/>
        <w:ind w:firstLine="560" w:firstLineChars="200"/>
        <w:rPr>
          <w:sz w:val="28"/>
          <w:szCs w:val="28"/>
        </w:rPr>
      </w:pPr>
      <w:r>
        <w:rPr>
          <w:rFonts w:hint="eastAsia"/>
          <w:sz w:val="28"/>
          <w:szCs w:val="28"/>
        </w:rPr>
        <w:t>已修复</w:t>
      </w:r>
      <w:r>
        <w:rPr>
          <w:sz w:val="28"/>
          <w:szCs w:val="28"/>
        </w:rPr>
        <w:t>单元土地利用类型包括：</w:t>
      </w:r>
      <w:r>
        <w:rPr>
          <w:rFonts w:hint="eastAsia"/>
          <w:sz w:val="28"/>
          <w:szCs w:val="28"/>
        </w:rPr>
        <w:t>乔木林地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rFonts w:hint="eastAsia"/>
          <w:sz w:val="28"/>
          <w:szCs w:val="28"/>
        </w:rPr>
        <w:t>灌木林地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rFonts w:hint="eastAsia"/>
          <w:sz w:val="28"/>
          <w:szCs w:val="28"/>
        </w:rPr>
        <w:t>其他草地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rFonts w:hint="eastAsia"/>
          <w:sz w:val="28"/>
          <w:szCs w:val="28"/>
        </w:rPr>
        <w:t>采矿用地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rFonts w:hint="eastAsia"/>
          <w:sz w:val="28"/>
          <w:szCs w:val="28"/>
        </w:rPr>
        <w:t>农村道路</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质量中等。</w:t>
      </w:r>
      <w:r>
        <w:rPr>
          <w:rFonts w:hint="eastAsia"/>
          <w:sz w:val="28"/>
          <w:szCs w:val="28"/>
        </w:rPr>
        <w:t>已修复土地类型见表2-11。</w:t>
      </w:r>
    </w:p>
    <w:p w14:paraId="32B70406">
      <w:pPr>
        <w:spacing w:line="360" w:lineRule="auto"/>
        <w:ind w:firstLine="560" w:firstLineChars="200"/>
        <w:rPr>
          <w:sz w:val="28"/>
          <w:szCs w:val="28"/>
        </w:rPr>
      </w:pPr>
    </w:p>
    <w:p w14:paraId="3222264F">
      <w:pPr>
        <w:ind w:firstLine="480" w:firstLineChars="200"/>
        <w:jc w:val="center"/>
        <w:rPr>
          <w:rFonts w:eastAsia="黑体"/>
          <w:bCs/>
          <w:kern w:val="0"/>
          <w:sz w:val="24"/>
        </w:rPr>
      </w:pPr>
      <w:r>
        <w:rPr>
          <w:rFonts w:eastAsia="黑体"/>
          <w:bCs/>
          <w:kern w:val="0"/>
          <w:sz w:val="24"/>
        </w:rPr>
        <w:t>表2-</w:t>
      </w:r>
      <w:r>
        <w:rPr>
          <w:rFonts w:hint="eastAsia" w:eastAsia="黑体"/>
          <w:bCs/>
          <w:kern w:val="0"/>
          <w:sz w:val="24"/>
        </w:rPr>
        <w:t>11</w:t>
      </w:r>
      <w:r>
        <w:rPr>
          <w:rFonts w:eastAsia="黑体"/>
          <w:bCs/>
          <w:kern w:val="0"/>
          <w:sz w:val="24"/>
        </w:rPr>
        <w:t xml:space="preserve">  已</w:t>
      </w:r>
      <w:r>
        <w:rPr>
          <w:rFonts w:hint="eastAsia" w:eastAsia="黑体"/>
          <w:bCs/>
          <w:kern w:val="0"/>
          <w:sz w:val="24"/>
        </w:rPr>
        <w:t>修复</w:t>
      </w:r>
      <w:r>
        <w:rPr>
          <w:rFonts w:eastAsia="黑体"/>
          <w:bCs/>
          <w:kern w:val="0"/>
          <w:sz w:val="24"/>
        </w:rPr>
        <w:t>土地利用现状表</w:t>
      </w:r>
    </w:p>
    <w:p w14:paraId="63246D27">
      <w:pPr>
        <w:ind w:firstLine="480" w:firstLineChars="200"/>
        <w:jc w:val="center"/>
        <w:rPr>
          <w:rFonts w:eastAsia="黑体"/>
          <w:bCs/>
          <w:kern w:val="0"/>
          <w:sz w:val="24"/>
        </w:rPr>
      </w:pPr>
    </w:p>
    <w:p w14:paraId="077C63D0">
      <w:pPr>
        <w:ind w:firstLine="480" w:firstLineChars="200"/>
        <w:jc w:val="center"/>
        <w:rPr>
          <w:rFonts w:eastAsia="黑体"/>
          <w:bCs/>
          <w:kern w:val="0"/>
          <w:sz w:val="24"/>
        </w:rPr>
      </w:pPr>
    </w:p>
    <w:p w14:paraId="4A0DD297">
      <w:pPr>
        <w:spacing w:line="360" w:lineRule="auto"/>
        <w:ind w:firstLine="560" w:firstLineChars="200"/>
        <w:rPr>
          <w:sz w:val="28"/>
          <w:szCs w:val="28"/>
        </w:rPr>
      </w:pPr>
      <w:r>
        <w:rPr>
          <w:rFonts w:hint="eastAsia"/>
          <w:sz w:val="28"/>
          <w:szCs w:val="28"/>
        </w:rPr>
        <w:t>5</w:t>
      </w:r>
      <w:r>
        <w:rPr>
          <w:sz w:val="28"/>
          <w:szCs w:val="28"/>
        </w:rPr>
        <w:t>、矿区永久基本农田分布情况</w:t>
      </w:r>
    </w:p>
    <w:p w14:paraId="0F54D542">
      <w:pPr>
        <w:spacing w:line="360" w:lineRule="auto"/>
        <w:ind w:firstLine="560" w:firstLineChars="200"/>
        <w:rPr>
          <w:sz w:val="28"/>
          <w:szCs w:val="28"/>
        </w:rPr>
      </w:pPr>
      <w:r>
        <w:rPr>
          <w:sz w:val="28"/>
          <w:szCs w:val="28"/>
        </w:rPr>
        <w:t>根据松山区自然资源局出具的《</w:t>
      </w:r>
      <w:r>
        <w:rPr>
          <w:rFonts w:hint="eastAsia"/>
          <w:sz w:val="28"/>
          <w:szCs w:val="28"/>
        </w:rPr>
        <w:t>关于赤峰国富玄武岩矿矿区是否位于永久基本农田内的说明</w:t>
      </w:r>
      <w:r>
        <w:rPr>
          <w:sz w:val="28"/>
          <w:szCs w:val="28"/>
        </w:rPr>
        <w:t>》，矿区范围</w:t>
      </w:r>
      <w:r>
        <w:rPr>
          <w:rFonts w:hint="eastAsia"/>
          <w:sz w:val="28"/>
          <w:szCs w:val="28"/>
        </w:rPr>
        <w:t>不在永久</w:t>
      </w:r>
      <w:r>
        <w:rPr>
          <w:sz w:val="28"/>
          <w:szCs w:val="28"/>
        </w:rPr>
        <w:t>基本农田</w:t>
      </w:r>
      <w:r>
        <w:rPr>
          <w:rFonts w:hint="eastAsia"/>
          <w:sz w:val="28"/>
          <w:szCs w:val="28"/>
        </w:rPr>
        <w:t>保护范围内。</w:t>
      </w:r>
    </w:p>
    <w:p w14:paraId="4485F5C1">
      <w:pPr>
        <w:spacing w:line="360" w:lineRule="auto"/>
        <w:ind w:firstLine="560" w:firstLineChars="200"/>
        <w:rPr>
          <w:sz w:val="28"/>
          <w:szCs w:val="28"/>
        </w:rPr>
      </w:pPr>
      <w:r>
        <w:rPr>
          <w:rFonts w:hint="eastAsia"/>
          <w:sz w:val="28"/>
          <w:szCs w:val="28"/>
        </w:rPr>
        <w:t>6</w:t>
      </w:r>
      <w:r>
        <w:rPr>
          <w:sz w:val="28"/>
          <w:szCs w:val="28"/>
        </w:rPr>
        <w:t>、矿区土地利用权属情况</w:t>
      </w:r>
    </w:p>
    <w:p w14:paraId="6231D077">
      <w:pPr>
        <w:spacing w:line="360" w:lineRule="auto"/>
        <w:ind w:firstLine="560" w:firstLineChars="200"/>
        <w:rPr>
          <w:sz w:val="28"/>
          <w:szCs w:val="28"/>
        </w:rPr>
      </w:pPr>
      <w:r>
        <w:rPr>
          <w:sz w:val="28"/>
          <w:szCs w:val="28"/>
        </w:rPr>
        <w:t>根据松山区自然资源局提供的松山区2024年国土变更调查数据及全国第三次土地利用现状调查资料及调查走访，矿区土地权属为内蒙古自治区赤峰市松山区</w:t>
      </w:r>
      <w:r>
        <w:rPr>
          <w:rFonts w:hint="eastAsia"/>
          <w:sz w:val="28"/>
          <w:szCs w:val="28"/>
        </w:rPr>
        <w:t>大庙镇和平营子村</w:t>
      </w:r>
      <w:r>
        <w:rPr>
          <w:sz w:val="28"/>
          <w:szCs w:val="28"/>
        </w:rPr>
        <w:t>村民集体共同所有。权属明确，界线明显，不存在争议。矿区土地利用权属见表2-</w:t>
      </w:r>
      <w:r>
        <w:rPr>
          <w:rFonts w:hint="eastAsia"/>
          <w:sz w:val="28"/>
          <w:szCs w:val="28"/>
        </w:rPr>
        <w:t>12</w:t>
      </w:r>
      <w:r>
        <w:rPr>
          <w:sz w:val="28"/>
          <w:szCs w:val="28"/>
        </w:rPr>
        <w:t>、</w:t>
      </w:r>
      <w:bookmarkStart w:id="74" w:name="_Hlk229057928"/>
      <w:r>
        <w:rPr>
          <w:sz w:val="28"/>
          <w:szCs w:val="28"/>
        </w:rPr>
        <w:t>矿区外影响范围</w:t>
      </w:r>
      <w:bookmarkEnd w:id="74"/>
      <w:r>
        <w:rPr>
          <w:sz w:val="28"/>
          <w:szCs w:val="28"/>
        </w:rPr>
        <w:t>土地利用权属见表2-</w:t>
      </w:r>
      <w:r>
        <w:rPr>
          <w:rFonts w:hint="eastAsia"/>
          <w:sz w:val="28"/>
          <w:szCs w:val="28"/>
        </w:rPr>
        <w:t>13</w:t>
      </w:r>
      <w:r>
        <w:rPr>
          <w:sz w:val="28"/>
          <w:szCs w:val="28"/>
        </w:rPr>
        <w:t>。</w:t>
      </w:r>
    </w:p>
    <w:p w14:paraId="2C175FE4">
      <w:pPr>
        <w:ind w:firstLine="480" w:firstLineChars="200"/>
        <w:jc w:val="center"/>
        <w:rPr>
          <w:rFonts w:eastAsia="黑体"/>
          <w:sz w:val="24"/>
          <w:szCs w:val="24"/>
        </w:rPr>
      </w:pPr>
      <w:r>
        <w:rPr>
          <w:rFonts w:eastAsia="黑体"/>
          <w:sz w:val="24"/>
          <w:szCs w:val="24"/>
        </w:rPr>
        <w:t>表2-</w:t>
      </w:r>
      <w:r>
        <w:rPr>
          <w:rFonts w:hint="eastAsia" w:eastAsia="黑体"/>
          <w:sz w:val="24"/>
          <w:szCs w:val="24"/>
        </w:rPr>
        <w:t>12</w:t>
      </w:r>
      <w:r>
        <w:rPr>
          <w:rFonts w:eastAsia="黑体"/>
          <w:sz w:val="24"/>
          <w:szCs w:val="24"/>
        </w:rPr>
        <w:t xml:space="preserve">  矿区土地利用权属表</w:t>
      </w:r>
    </w:p>
    <w:p w14:paraId="17C66E92">
      <w:pPr>
        <w:rPr>
          <w:rFonts w:eastAsia="黑体"/>
          <w:sz w:val="24"/>
          <w:szCs w:val="24"/>
        </w:rPr>
      </w:pPr>
    </w:p>
    <w:p w14:paraId="328C881E">
      <w:pPr>
        <w:ind w:firstLine="480" w:firstLineChars="200"/>
        <w:jc w:val="center"/>
        <w:rPr>
          <w:rFonts w:eastAsia="黑体"/>
          <w:sz w:val="24"/>
          <w:szCs w:val="24"/>
        </w:rPr>
      </w:pPr>
      <w:r>
        <w:rPr>
          <w:rFonts w:eastAsia="黑体"/>
          <w:sz w:val="24"/>
          <w:szCs w:val="24"/>
        </w:rPr>
        <w:t>表2-</w:t>
      </w:r>
      <w:r>
        <w:rPr>
          <w:rFonts w:hint="eastAsia" w:eastAsia="黑体"/>
          <w:sz w:val="24"/>
          <w:szCs w:val="24"/>
        </w:rPr>
        <w:t>13</w:t>
      </w:r>
      <w:r>
        <w:rPr>
          <w:rFonts w:eastAsia="黑体"/>
          <w:sz w:val="24"/>
          <w:szCs w:val="24"/>
        </w:rPr>
        <w:t xml:space="preserve">  矿区外影响范围土地利用权属表</w:t>
      </w:r>
    </w:p>
    <w:p w14:paraId="544EBFC3"/>
    <w:p w14:paraId="6C1F8603">
      <w:pPr>
        <w:tabs>
          <w:tab w:val="left" w:pos="3786"/>
        </w:tabs>
        <w:ind w:firstLine="562" w:firstLineChars="200"/>
        <w:jc w:val="left"/>
        <w:rPr>
          <w:b/>
          <w:bCs/>
          <w:sz w:val="28"/>
          <w:szCs w:val="28"/>
        </w:rPr>
      </w:pPr>
      <w:r>
        <w:rPr>
          <w:b/>
          <w:bCs/>
          <w:sz w:val="28"/>
          <w:szCs w:val="28"/>
        </w:rPr>
        <w:t>二、矿区采矿用地申请批准情况</w:t>
      </w:r>
    </w:p>
    <w:p w14:paraId="106509B1">
      <w:pPr>
        <w:pStyle w:val="113"/>
        <w:spacing w:line="360" w:lineRule="auto"/>
        <w:ind w:firstLine="560"/>
        <w:rPr>
          <w:rFonts w:eastAsia="宋体"/>
          <w:szCs w:val="28"/>
          <w:lang w:val="en-US"/>
        </w:rPr>
      </w:pPr>
      <w:r>
        <w:rPr>
          <w:rFonts w:eastAsia="宋体"/>
          <w:szCs w:val="28"/>
          <w:lang w:val="en-US"/>
        </w:rPr>
        <w:t>矿山</w:t>
      </w:r>
      <w:r>
        <w:rPr>
          <w:rFonts w:hint="eastAsia" w:eastAsia="宋体"/>
          <w:szCs w:val="28"/>
          <w:lang w:val="en-US"/>
        </w:rPr>
        <w:t>暂无采矿用地审批手续，矿区现用地手续是与当地权属村签定的租赁协议，根据《中华人民共和国矿产资源法》、《建设用地审查报批管理办法》等相关规定，矿山后续建设应申请永久建设用地土地使用证。</w:t>
      </w:r>
    </w:p>
    <w:p w14:paraId="0F3194A9">
      <w:pPr>
        <w:pStyle w:val="113"/>
        <w:spacing w:line="360" w:lineRule="auto"/>
        <w:ind w:firstLine="560"/>
        <w:rPr>
          <w:rFonts w:eastAsia="宋体"/>
          <w:szCs w:val="28"/>
          <w:lang w:val="en-US"/>
        </w:rPr>
      </w:pPr>
      <w:r>
        <w:rPr>
          <w:rFonts w:hint="eastAsia" w:eastAsia="宋体"/>
          <w:szCs w:val="28"/>
          <w:lang w:val="en-US"/>
        </w:rPr>
        <w:t>根据矿山计划及《开发利用方案》设计情况，矿山拟申请永久建设用地范围为露天采场（</w:t>
      </w:r>
      <w:r>
        <w:rPr>
          <w:rFonts w:hint="eastAsia" w:ascii="宋体" w:hAnsi="宋体" w:cs="宋体"/>
          <w:spacing w:val="13"/>
          <w:sz w:val="32"/>
          <w:szCs w:val="32"/>
          <w:lang w:val="en-US"/>
        </w:rPr>
        <w:t>***</w:t>
      </w:r>
      <w:r>
        <w:rPr>
          <w:kern w:val="0"/>
          <w:szCs w:val="21"/>
        </w:rPr>
        <w:t>hm</w:t>
      </w:r>
      <w:r>
        <w:rPr>
          <w:kern w:val="0"/>
          <w:szCs w:val="21"/>
          <w:vertAlign w:val="superscript"/>
        </w:rPr>
        <w:t>2</w:t>
      </w:r>
      <w:r>
        <w:rPr>
          <w:rFonts w:hint="eastAsia" w:eastAsia="宋体"/>
          <w:szCs w:val="28"/>
          <w:lang w:val="en-US"/>
        </w:rPr>
        <w:t>）、工业场地（</w:t>
      </w:r>
      <w:r>
        <w:rPr>
          <w:rFonts w:hint="eastAsia" w:ascii="宋体" w:hAnsi="宋体" w:cs="宋体"/>
          <w:spacing w:val="13"/>
          <w:sz w:val="32"/>
          <w:szCs w:val="32"/>
          <w:lang w:val="en-US"/>
        </w:rPr>
        <w:t>***</w:t>
      </w:r>
      <w:r>
        <w:rPr>
          <w:kern w:val="0"/>
          <w:szCs w:val="21"/>
        </w:rPr>
        <w:t>hm</w:t>
      </w:r>
      <w:r>
        <w:rPr>
          <w:kern w:val="0"/>
          <w:szCs w:val="21"/>
          <w:vertAlign w:val="superscript"/>
        </w:rPr>
        <w:t>2</w:t>
      </w:r>
      <w:r>
        <w:rPr>
          <w:rFonts w:hint="eastAsia" w:eastAsia="宋体"/>
          <w:szCs w:val="28"/>
          <w:lang w:val="en-US"/>
        </w:rPr>
        <w:t>）、</w:t>
      </w:r>
      <w:bookmarkStart w:id="75" w:name="_Hlk240379902"/>
      <w:r>
        <w:rPr>
          <w:rFonts w:hint="eastAsia" w:eastAsia="宋体"/>
          <w:szCs w:val="28"/>
          <w:lang w:val="en-US"/>
        </w:rPr>
        <w:t>新建排土场（</w:t>
      </w:r>
      <w:r>
        <w:rPr>
          <w:rFonts w:hint="eastAsia" w:ascii="宋体" w:hAnsi="宋体" w:cs="宋体"/>
          <w:spacing w:val="13"/>
          <w:sz w:val="32"/>
          <w:szCs w:val="32"/>
          <w:lang w:val="en-US"/>
        </w:rPr>
        <w:t>***</w:t>
      </w:r>
      <w:r>
        <w:rPr>
          <w:kern w:val="0"/>
          <w:szCs w:val="21"/>
        </w:rPr>
        <w:t>hm</w:t>
      </w:r>
      <w:r>
        <w:rPr>
          <w:kern w:val="0"/>
          <w:szCs w:val="21"/>
          <w:vertAlign w:val="superscript"/>
        </w:rPr>
        <w:t>2</w:t>
      </w:r>
      <w:r>
        <w:rPr>
          <w:rFonts w:hint="eastAsia" w:eastAsia="宋体"/>
          <w:szCs w:val="28"/>
          <w:lang w:val="en-US"/>
        </w:rPr>
        <w:t>）、</w:t>
      </w:r>
      <w:bookmarkEnd w:id="75"/>
      <w:r>
        <w:rPr>
          <w:rFonts w:hint="eastAsia" w:eastAsia="宋体"/>
          <w:szCs w:val="28"/>
          <w:lang w:val="en-US"/>
        </w:rPr>
        <w:t>新建办公生活区（</w:t>
      </w:r>
      <w:bookmarkStart w:id="76" w:name="_Hlk240379844"/>
      <w:r>
        <w:rPr>
          <w:rFonts w:hint="eastAsia" w:ascii="宋体" w:hAnsi="宋体" w:cs="宋体"/>
          <w:spacing w:val="13"/>
          <w:sz w:val="32"/>
          <w:szCs w:val="32"/>
          <w:lang w:val="en-US"/>
        </w:rPr>
        <w:t>***</w:t>
      </w:r>
      <w:r>
        <w:rPr>
          <w:kern w:val="0"/>
          <w:szCs w:val="21"/>
        </w:rPr>
        <w:t>hm</w:t>
      </w:r>
      <w:r>
        <w:rPr>
          <w:kern w:val="0"/>
          <w:szCs w:val="21"/>
          <w:vertAlign w:val="superscript"/>
        </w:rPr>
        <w:t>2</w:t>
      </w:r>
      <w:r>
        <w:rPr>
          <w:rFonts w:hint="eastAsia" w:eastAsia="宋体"/>
          <w:szCs w:val="28"/>
          <w:lang w:val="en-US"/>
        </w:rPr>
        <w:t>）</w:t>
      </w:r>
      <w:bookmarkEnd w:id="76"/>
      <w:r>
        <w:rPr>
          <w:rFonts w:hint="eastAsia" w:eastAsia="宋体"/>
          <w:szCs w:val="28"/>
          <w:lang w:val="en-US"/>
        </w:rPr>
        <w:t>，合计面积</w:t>
      </w:r>
      <w:r>
        <w:rPr>
          <w:rFonts w:hint="eastAsia" w:ascii="宋体" w:hAnsi="宋体" w:cs="宋体"/>
          <w:spacing w:val="13"/>
          <w:sz w:val="32"/>
          <w:szCs w:val="32"/>
          <w:lang w:val="en-US"/>
        </w:rPr>
        <w:t>***</w:t>
      </w:r>
      <w:r>
        <w:rPr>
          <w:kern w:val="0"/>
          <w:szCs w:val="21"/>
        </w:rPr>
        <w:t>hm</w:t>
      </w:r>
      <w:r>
        <w:rPr>
          <w:kern w:val="0"/>
          <w:szCs w:val="21"/>
          <w:vertAlign w:val="superscript"/>
        </w:rPr>
        <w:t>2</w:t>
      </w:r>
      <w:r>
        <w:rPr>
          <w:rFonts w:hint="eastAsia"/>
          <w:kern w:val="0"/>
          <w:szCs w:val="21"/>
        </w:rPr>
        <w:t>。</w:t>
      </w:r>
    </w:p>
    <w:p w14:paraId="7C20C433">
      <w:pPr>
        <w:pStyle w:val="4"/>
        <w:spacing w:before="120" w:beforeLines="50"/>
        <w:rPr>
          <w:rFonts w:ascii="Times New Roman" w:hAnsi="Times New Roman"/>
        </w:rPr>
      </w:pPr>
      <w:bookmarkStart w:id="77" w:name="_Toc6920"/>
      <w:r>
        <w:rPr>
          <w:rFonts w:ascii="Times New Roman" w:hAnsi="Times New Roman"/>
        </w:rPr>
        <w:t>第五节  矿区生态状况</w:t>
      </w:r>
      <w:bookmarkEnd w:id="77"/>
    </w:p>
    <w:p w14:paraId="1013CA32">
      <w:pPr>
        <w:spacing w:line="360" w:lineRule="auto"/>
        <w:ind w:firstLine="562" w:firstLineChars="200"/>
        <w:outlineLvl w:val="2"/>
        <w:rPr>
          <w:sz w:val="28"/>
          <w:szCs w:val="28"/>
        </w:rPr>
      </w:pPr>
      <w:r>
        <w:rPr>
          <w:b/>
          <w:bCs/>
          <w:sz w:val="28"/>
          <w:szCs w:val="28"/>
        </w:rPr>
        <w:t>一、生态功能定位</w:t>
      </w:r>
    </w:p>
    <w:p w14:paraId="6240A8C5">
      <w:pPr>
        <w:adjustRightInd w:val="0"/>
        <w:snapToGrid w:val="0"/>
        <w:spacing w:line="360" w:lineRule="auto"/>
        <w:ind w:firstLine="560" w:firstLineChars="200"/>
        <w:rPr>
          <w:sz w:val="28"/>
          <w:szCs w:val="28"/>
        </w:rPr>
      </w:pPr>
      <w:r>
        <w:rPr>
          <w:rFonts w:hint="eastAsia"/>
          <w:sz w:val="28"/>
          <w:szCs w:val="28"/>
        </w:rPr>
        <w:t>1、矿区在全国生态功能区划中的定位</w:t>
      </w:r>
    </w:p>
    <w:p w14:paraId="659767C7">
      <w:pPr>
        <w:adjustRightInd w:val="0"/>
        <w:snapToGrid w:val="0"/>
        <w:spacing w:line="360" w:lineRule="auto"/>
        <w:ind w:firstLine="560" w:firstLineChars="200"/>
        <w:rPr>
          <w:sz w:val="28"/>
          <w:szCs w:val="28"/>
        </w:rPr>
      </w:pPr>
      <w:r>
        <w:rPr>
          <w:rFonts w:hint="eastAsia"/>
          <w:sz w:val="28"/>
          <w:szCs w:val="28"/>
        </w:rPr>
        <w:t>根据2015年11月环境保护部和中国科学院共同编制完成的《全国生态功能区划》，矿区位于全国生态功能区划中的“Ⅰ-01-05辽河源水源涵养功能区”。</w:t>
      </w:r>
    </w:p>
    <w:p w14:paraId="7C7531CE">
      <w:pPr>
        <w:adjustRightInd w:val="0"/>
        <w:snapToGrid w:val="0"/>
        <w:spacing w:line="360" w:lineRule="auto"/>
        <w:ind w:firstLine="560" w:firstLineChars="200"/>
        <w:rPr>
          <w:sz w:val="28"/>
          <w:szCs w:val="28"/>
        </w:rPr>
      </w:pPr>
      <w:r>
        <w:rPr>
          <w:rFonts w:hint="eastAsia"/>
          <w:sz w:val="28"/>
          <w:szCs w:val="28"/>
        </w:rPr>
        <w:t>该功能区位于辽河上游的老哈河和西拉木伦河上游，包含1个功能区：辽河源水源涵养功能区，行政区主要涉及内蒙古自治区的赤峰、辽宁省的朝阳、葫芦岛以及河北省的承德市，面积为</w:t>
      </w:r>
      <w:r>
        <w:rPr>
          <w:rFonts w:hint="eastAsia" w:ascii="宋体" w:hAnsi="宋体" w:cs="宋体"/>
          <w:spacing w:val="13"/>
          <w:sz w:val="32"/>
          <w:szCs w:val="32"/>
        </w:rPr>
        <w:t>***</w:t>
      </w:r>
      <w:r>
        <w:rPr>
          <w:rFonts w:hint="eastAsia"/>
          <w:sz w:val="28"/>
          <w:szCs w:val="28"/>
        </w:rPr>
        <w:t>km</w:t>
      </w:r>
      <w:r>
        <w:rPr>
          <w:rFonts w:hint="eastAsia"/>
          <w:sz w:val="28"/>
          <w:szCs w:val="28"/>
          <w:vertAlign w:val="superscript"/>
        </w:rPr>
        <w:t>2</w:t>
      </w:r>
      <w:r>
        <w:rPr>
          <w:rFonts w:hint="eastAsia"/>
          <w:sz w:val="28"/>
          <w:szCs w:val="28"/>
        </w:rPr>
        <w:t>。该区植被类型主要为暖温带落叶阔叶林，以蒙古栎和油松为代表，多以白桦、山杨、油松和栎的不同组合形成的呈片状形式分布，具有重要的涵养水源功能；其次在保持土壤和保护生物多样性方面也有重要作用。</w:t>
      </w:r>
    </w:p>
    <w:p w14:paraId="370496FC">
      <w:pPr>
        <w:adjustRightInd w:val="0"/>
        <w:snapToGrid w:val="0"/>
        <w:spacing w:line="360" w:lineRule="auto"/>
        <w:ind w:firstLine="560" w:firstLineChars="200"/>
        <w:rPr>
          <w:sz w:val="28"/>
          <w:szCs w:val="28"/>
        </w:rPr>
      </w:pPr>
      <w:r>
        <w:rPr>
          <w:rFonts w:hint="eastAsia"/>
          <w:sz w:val="28"/>
          <w:szCs w:val="28"/>
        </w:rPr>
        <w:t>主要生态问题：森林生态系统退化严重，大部分为砍伐后形成的次生林和灌丛；水源涵养能力低，水土流失较严重。</w:t>
      </w:r>
    </w:p>
    <w:p w14:paraId="462111CC">
      <w:pPr>
        <w:adjustRightInd w:val="0"/>
        <w:snapToGrid w:val="0"/>
        <w:spacing w:line="360" w:lineRule="auto"/>
        <w:ind w:firstLine="560" w:firstLineChars="200"/>
        <w:rPr>
          <w:sz w:val="28"/>
          <w:szCs w:val="28"/>
        </w:rPr>
      </w:pPr>
      <w:r>
        <w:rPr>
          <w:rFonts w:hint="eastAsia"/>
          <w:sz w:val="28"/>
          <w:szCs w:val="28"/>
        </w:rPr>
        <w:t>生态保护主要措施：加强天然林保护和退化生态系统恢复重建的力度；严格草地管理，实施禁牧或限牧；严格控制新建水利工程项目；加强矿产资源开发监管力度。</w:t>
      </w:r>
    </w:p>
    <w:p w14:paraId="7DB48730">
      <w:pPr>
        <w:adjustRightInd w:val="0"/>
        <w:snapToGrid w:val="0"/>
        <w:spacing w:line="360" w:lineRule="auto"/>
        <w:ind w:firstLine="560" w:firstLineChars="200"/>
        <w:rPr>
          <w:sz w:val="28"/>
          <w:szCs w:val="28"/>
        </w:rPr>
      </w:pPr>
      <w:r>
        <w:rPr>
          <w:rFonts w:hint="eastAsia"/>
          <w:sz w:val="28"/>
          <w:szCs w:val="28"/>
        </w:rPr>
        <w:t>2、矿区在内蒙古自治区生态功能区划中的定位</w:t>
      </w:r>
    </w:p>
    <w:p w14:paraId="11B3329A">
      <w:pPr>
        <w:adjustRightInd w:val="0"/>
        <w:snapToGrid w:val="0"/>
        <w:spacing w:line="360" w:lineRule="auto"/>
        <w:ind w:firstLine="560" w:firstLineChars="200"/>
        <w:rPr>
          <w:sz w:val="28"/>
          <w:szCs w:val="28"/>
        </w:rPr>
      </w:pPr>
      <w:r>
        <w:rPr>
          <w:rFonts w:hint="eastAsia"/>
          <w:sz w:val="28"/>
          <w:szCs w:val="28"/>
        </w:rPr>
        <w:t>根据《内蒙古自治区生态功能区划报告》，矿区位于“XXX-2-6 西辽河南北黄土丘陵农田、草原水土保持功能区”。</w:t>
      </w:r>
    </w:p>
    <w:p w14:paraId="22A902A8">
      <w:pPr>
        <w:adjustRightInd w:val="0"/>
        <w:snapToGrid w:val="0"/>
        <w:spacing w:line="360" w:lineRule="auto"/>
        <w:ind w:firstLine="560" w:firstLineChars="200"/>
        <w:rPr>
          <w:sz w:val="28"/>
          <w:szCs w:val="28"/>
        </w:rPr>
      </w:pPr>
      <w:r>
        <w:rPr>
          <w:rFonts w:hint="eastAsia"/>
          <w:sz w:val="28"/>
          <w:szCs w:val="28"/>
        </w:rPr>
        <w:t>3、矿区在赤峰市生态环境功能区划中的定位</w:t>
      </w:r>
    </w:p>
    <w:p w14:paraId="48D7B029">
      <w:pPr>
        <w:adjustRightInd w:val="0"/>
        <w:snapToGrid w:val="0"/>
        <w:spacing w:line="360" w:lineRule="auto"/>
        <w:ind w:firstLine="560" w:firstLineChars="200"/>
        <w:rPr>
          <w:sz w:val="28"/>
          <w:szCs w:val="28"/>
        </w:rPr>
      </w:pPr>
      <w:r>
        <w:rPr>
          <w:rFonts w:hint="eastAsia"/>
          <w:sz w:val="28"/>
          <w:szCs w:val="28"/>
        </w:rPr>
        <w:t>根据《赤峰市生态环境功能区划报告》，矿区生态功能定位为西辽河南部黄土丘陵亚区典型草原水土保持生态功能恢复重建区，主导服务功能为水土保持。</w:t>
      </w:r>
    </w:p>
    <w:p w14:paraId="158DF987">
      <w:pPr>
        <w:adjustRightInd w:val="0"/>
        <w:snapToGrid w:val="0"/>
        <w:spacing w:line="360" w:lineRule="auto"/>
        <w:ind w:firstLine="560" w:firstLineChars="200"/>
        <w:rPr>
          <w:sz w:val="28"/>
          <w:szCs w:val="28"/>
        </w:rPr>
      </w:pPr>
      <w:r>
        <w:rPr>
          <w:rFonts w:hint="eastAsia"/>
          <w:sz w:val="28"/>
          <w:szCs w:val="28"/>
        </w:rPr>
        <w:t>4、矿区在赤峰市国土空间生态修规划中的要求</w:t>
      </w:r>
    </w:p>
    <w:p w14:paraId="02AA615A">
      <w:pPr>
        <w:adjustRightInd w:val="0"/>
        <w:snapToGrid w:val="0"/>
        <w:spacing w:line="360" w:lineRule="auto"/>
        <w:ind w:firstLine="560" w:firstLineChars="200"/>
        <w:rPr>
          <w:sz w:val="28"/>
          <w:szCs w:val="28"/>
        </w:rPr>
      </w:pPr>
      <w:r>
        <w:rPr>
          <w:rFonts w:hint="eastAsia"/>
          <w:sz w:val="28"/>
          <w:szCs w:val="28"/>
        </w:rPr>
        <w:t>根据《赤峰市国土空间生态修复规划（2021-2035）》，全市划分9个生态修复整治区，矿区所在区域的定位为：环中心城区水土保持坡耕地水土流失修复区。</w:t>
      </w:r>
    </w:p>
    <w:p w14:paraId="5D655ABD">
      <w:pPr>
        <w:adjustRightInd w:val="0"/>
        <w:snapToGrid w:val="0"/>
        <w:spacing w:line="360" w:lineRule="auto"/>
        <w:ind w:firstLine="560" w:firstLineChars="200"/>
        <w:rPr>
          <w:sz w:val="28"/>
          <w:szCs w:val="28"/>
        </w:rPr>
      </w:pPr>
      <w:r>
        <w:rPr>
          <w:rFonts w:hint="eastAsia"/>
          <w:sz w:val="28"/>
          <w:szCs w:val="28"/>
        </w:rPr>
        <w:t>发展方向要求：提升水源涵养、土壤保持、高标准农田建设、水质提升等生态系统服务功能为主要生态保育修复目标，以自然恢复为主、辅助修复为辅的修复策略。</w:t>
      </w:r>
    </w:p>
    <w:p w14:paraId="1456E27A">
      <w:pPr>
        <w:adjustRightInd w:val="0"/>
        <w:snapToGrid w:val="0"/>
        <w:spacing w:line="360" w:lineRule="auto"/>
        <w:ind w:firstLine="2400" w:firstLineChars="1000"/>
        <w:rPr>
          <w:rFonts w:eastAsia="黑体"/>
          <w:sz w:val="24"/>
          <w:szCs w:val="24"/>
        </w:rPr>
      </w:pPr>
      <w:r>
        <w:rPr>
          <w:rFonts w:eastAsia="黑体"/>
          <w:sz w:val="24"/>
          <w:szCs w:val="24"/>
        </w:rPr>
        <w:t>图2-</w:t>
      </w:r>
      <w:r>
        <w:rPr>
          <w:rFonts w:hint="eastAsia" w:eastAsia="黑体"/>
          <w:sz w:val="24"/>
          <w:szCs w:val="24"/>
        </w:rPr>
        <w:t>3</w:t>
      </w:r>
      <w:r>
        <w:rPr>
          <w:rFonts w:eastAsia="黑体"/>
          <w:sz w:val="24"/>
          <w:szCs w:val="24"/>
        </w:rPr>
        <w:t xml:space="preserve">  </w:t>
      </w:r>
      <w:r>
        <w:rPr>
          <w:rFonts w:hint="eastAsia" w:eastAsia="黑体"/>
          <w:sz w:val="24"/>
          <w:szCs w:val="24"/>
        </w:rPr>
        <w:t>赤峰市国土空间生态修复分区图</w:t>
      </w:r>
    </w:p>
    <w:p w14:paraId="643B1652">
      <w:pPr>
        <w:adjustRightInd w:val="0"/>
        <w:snapToGrid w:val="0"/>
        <w:spacing w:line="360" w:lineRule="auto"/>
        <w:rPr>
          <w:sz w:val="28"/>
          <w:szCs w:val="28"/>
        </w:rPr>
      </w:pPr>
    </w:p>
    <w:p w14:paraId="49D423E0">
      <w:pPr>
        <w:tabs>
          <w:tab w:val="left" w:pos="3055"/>
        </w:tabs>
        <w:jc w:val="left"/>
        <w:rPr>
          <w:sz w:val="28"/>
          <w:szCs w:val="28"/>
        </w:rPr>
      </w:pPr>
      <w:r>
        <w:rPr>
          <w:b/>
          <w:bCs/>
          <w:sz w:val="28"/>
          <w:szCs w:val="28"/>
        </w:rPr>
        <w:t>二、生态本底状况</w:t>
      </w:r>
    </w:p>
    <w:p w14:paraId="6A712B47">
      <w:pPr>
        <w:adjustRightInd w:val="0"/>
        <w:snapToGrid w:val="0"/>
        <w:spacing w:line="360" w:lineRule="auto"/>
        <w:ind w:firstLine="560" w:firstLineChars="200"/>
        <w:rPr>
          <w:sz w:val="28"/>
          <w:szCs w:val="28"/>
        </w:rPr>
      </w:pPr>
      <w:r>
        <w:rPr>
          <w:rFonts w:hint="eastAsia"/>
          <w:sz w:val="28"/>
          <w:szCs w:val="28"/>
        </w:rPr>
        <w:t>1、生态系统类型</w:t>
      </w:r>
    </w:p>
    <w:p w14:paraId="12963A02">
      <w:pPr>
        <w:adjustRightInd w:val="0"/>
        <w:snapToGrid w:val="0"/>
        <w:spacing w:line="360" w:lineRule="auto"/>
        <w:ind w:firstLine="560" w:firstLineChars="200"/>
        <w:rPr>
          <w:sz w:val="28"/>
          <w:szCs w:val="28"/>
        </w:rPr>
      </w:pPr>
      <w:r>
        <w:rPr>
          <w:rFonts w:hint="eastAsia"/>
          <w:sz w:val="28"/>
          <w:szCs w:val="28"/>
        </w:rPr>
        <w:t>依据全国生态系统分类体系表进行分类。结果表明，矿区生态系统主要有草地生态系统-针茅、羊草、蒿类、人工林生态系统-山杨树、松树，灌丛生态系统-阔叶灌丛，农田生态系统-耕地。具体分布见下表2-14。</w:t>
      </w:r>
    </w:p>
    <w:p w14:paraId="283C11D4">
      <w:pPr>
        <w:jc w:val="center"/>
        <w:rPr>
          <w:rFonts w:hint="eastAsia" w:ascii="黑体" w:hAnsi="黑体" w:eastAsia="黑体" w:cs="宋体"/>
          <w:sz w:val="24"/>
          <w:szCs w:val="24"/>
        </w:rPr>
      </w:pPr>
      <w:r>
        <w:rPr>
          <w:rFonts w:hint="eastAsia" w:ascii="黑体" w:hAnsi="黑体" w:eastAsia="黑体" w:cs="宋体"/>
          <w:sz w:val="24"/>
          <w:szCs w:val="24"/>
        </w:rPr>
        <w:t xml:space="preserve">表2-14 </w:t>
      </w:r>
      <w:r>
        <w:rPr>
          <w:rFonts w:ascii="黑体" w:hAnsi="黑体" w:eastAsia="黑体" w:cs="宋体"/>
          <w:sz w:val="24"/>
          <w:szCs w:val="24"/>
        </w:rPr>
        <w:t xml:space="preserve"> </w:t>
      </w:r>
      <w:r>
        <w:rPr>
          <w:rFonts w:hint="eastAsia" w:ascii="黑体" w:hAnsi="黑体" w:eastAsia="黑体" w:cs="宋体"/>
          <w:sz w:val="24"/>
          <w:szCs w:val="24"/>
        </w:rPr>
        <w:t>矿区及周边生态系统类型</w:t>
      </w:r>
    </w:p>
    <w:p w14:paraId="2384C736">
      <w:pPr>
        <w:adjustRightInd w:val="0"/>
        <w:snapToGrid w:val="0"/>
        <w:ind w:firstLine="440" w:firstLineChars="200"/>
        <w:rPr>
          <w:sz w:val="22"/>
          <w:szCs w:val="22"/>
        </w:rPr>
      </w:pPr>
    </w:p>
    <w:p w14:paraId="37DB2A40">
      <w:pPr>
        <w:adjustRightInd w:val="0"/>
        <w:snapToGrid w:val="0"/>
        <w:spacing w:line="360" w:lineRule="auto"/>
        <w:ind w:firstLine="560" w:firstLineChars="200"/>
        <w:rPr>
          <w:sz w:val="28"/>
          <w:szCs w:val="28"/>
        </w:rPr>
      </w:pPr>
      <w:r>
        <w:rPr>
          <w:rFonts w:hint="eastAsia"/>
          <w:sz w:val="28"/>
          <w:szCs w:val="28"/>
        </w:rPr>
        <w:t>矿区四周</w:t>
      </w:r>
      <w:r>
        <w:rPr>
          <w:rFonts w:hint="eastAsia" w:ascii="宋体" w:hAnsi="宋体" w:cs="宋体"/>
          <w:spacing w:val="13"/>
          <w:sz w:val="32"/>
          <w:szCs w:val="32"/>
        </w:rPr>
        <w:t>***</w:t>
      </w:r>
      <w:r>
        <w:rPr>
          <w:rFonts w:hint="eastAsia"/>
          <w:sz w:val="28"/>
          <w:szCs w:val="28"/>
        </w:rPr>
        <w:t>km范围内无自然保护区、风景名胜区、生态红线等生态敏感区域。</w:t>
      </w:r>
    </w:p>
    <w:p w14:paraId="6DF0A599">
      <w:pPr>
        <w:adjustRightInd w:val="0"/>
        <w:snapToGrid w:val="0"/>
        <w:spacing w:line="360" w:lineRule="auto"/>
        <w:ind w:firstLine="560" w:firstLineChars="200"/>
        <w:rPr>
          <w:sz w:val="28"/>
          <w:szCs w:val="28"/>
        </w:rPr>
      </w:pPr>
      <w:r>
        <w:rPr>
          <w:sz w:val="28"/>
          <w:szCs w:val="28"/>
        </w:rPr>
        <w:t>2、景观生态环境现状</w:t>
      </w:r>
    </w:p>
    <w:p w14:paraId="440DE24E">
      <w:pPr>
        <w:adjustRightInd w:val="0"/>
        <w:snapToGrid w:val="0"/>
        <w:spacing w:line="360" w:lineRule="auto"/>
        <w:ind w:firstLine="560" w:firstLineChars="200"/>
        <w:rPr>
          <w:sz w:val="28"/>
          <w:szCs w:val="28"/>
        </w:rPr>
      </w:pPr>
      <w:r>
        <w:rPr>
          <w:sz w:val="28"/>
          <w:szCs w:val="28"/>
        </w:rPr>
        <w:t>矿区地处</w:t>
      </w:r>
      <w:r>
        <w:rPr>
          <w:rFonts w:hint="eastAsia"/>
          <w:sz w:val="28"/>
          <w:szCs w:val="28"/>
        </w:rPr>
        <w:t>低山</w:t>
      </w:r>
      <w:r>
        <w:rPr>
          <w:sz w:val="28"/>
          <w:szCs w:val="28"/>
        </w:rPr>
        <w:t>山地草原地带，主要有山地草原景观、山地疏林景观、坡耕地景观等几类景观，其中以草原景观为主。草原景观广泛分布于山坡阴坡、阳坡和山脊地带；疏林景观分布很小，主要分布与沟谷的阴坡一带，以榆树为主；坡耕地分布于矿区周围坡度较小的区域，连篇面积不大，农作物主要以谷子、荞麦为主。人工建筑景观主要是矿山工矿用地和交通道路景观。</w:t>
      </w:r>
    </w:p>
    <w:p w14:paraId="63AFB0C3">
      <w:pPr>
        <w:adjustRightInd w:val="0"/>
        <w:snapToGrid w:val="0"/>
        <w:spacing w:line="360" w:lineRule="auto"/>
        <w:ind w:firstLine="560" w:firstLineChars="200"/>
        <w:rPr>
          <w:sz w:val="28"/>
          <w:szCs w:val="28"/>
        </w:rPr>
      </w:pPr>
      <w:r>
        <w:rPr>
          <w:sz w:val="28"/>
          <w:szCs w:val="28"/>
        </w:rPr>
        <w:t>3、</w:t>
      </w:r>
      <w:r>
        <w:rPr>
          <w:rFonts w:hint="eastAsia"/>
          <w:sz w:val="28"/>
          <w:szCs w:val="28"/>
        </w:rPr>
        <w:t>植被</w:t>
      </w:r>
      <w:r>
        <w:rPr>
          <w:sz w:val="28"/>
          <w:szCs w:val="28"/>
        </w:rPr>
        <w:t>现状</w:t>
      </w:r>
    </w:p>
    <w:p w14:paraId="661D0E4A">
      <w:pPr>
        <w:adjustRightInd w:val="0"/>
        <w:snapToGrid w:val="0"/>
        <w:spacing w:line="360" w:lineRule="auto"/>
        <w:ind w:firstLine="560" w:firstLineChars="200"/>
        <w:rPr>
          <w:sz w:val="28"/>
          <w:szCs w:val="28"/>
        </w:rPr>
      </w:pPr>
      <w:r>
        <w:rPr>
          <w:rFonts w:hint="eastAsia"/>
          <w:sz w:val="28"/>
          <w:szCs w:val="28"/>
        </w:rPr>
        <w:t>（1）植物资源现状</w:t>
      </w:r>
    </w:p>
    <w:p w14:paraId="03BA2AD7">
      <w:pPr>
        <w:adjustRightInd w:val="0"/>
        <w:snapToGrid w:val="0"/>
        <w:spacing w:line="360" w:lineRule="auto"/>
        <w:ind w:firstLine="560" w:firstLineChars="200"/>
        <w:rPr>
          <w:sz w:val="28"/>
          <w:szCs w:val="28"/>
        </w:rPr>
      </w:pPr>
      <w:r>
        <w:rPr>
          <w:rFonts w:hint="eastAsia"/>
          <w:sz w:val="28"/>
          <w:szCs w:val="28"/>
        </w:rPr>
        <w:t>矿区其自然环境具有典型的北温带大陆性季风气候。植物区域为内蒙古植物区系划分图中欧亚草原植物区-黄土高原草原植物省-辽西黄土丘陵州。在内蒙古植被地带划分图中属于暖温型草原带-森林草原亚带。</w:t>
      </w:r>
    </w:p>
    <w:p w14:paraId="180A3A8C">
      <w:pPr>
        <w:adjustRightInd w:val="0"/>
        <w:snapToGrid w:val="0"/>
        <w:spacing w:line="360" w:lineRule="auto"/>
        <w:ind w:firstLine="560" w:firstLineChars="200"/>
        <w:rPr>
          <w:sz w:val="28"/>
          <w:szCs w:val="28"/>
        </w:rPr>
      </w:pPr>
      <w:r>
        <w:rPr>
          <w:rFonts w:hint="eastAsia"/>
          <w:sz w:val="28"/>
          <w:szCs w:val="28"/>
        </w:rPr>
        <w:t>根据实地调查，矿</w:t>
      </w:r>
      <w:r>
        <w:rPr>
          <w:sz w:val="28"/>
          <w:szCs w:val="28"/>
        </w:rPr>
        <w:t>区位于华北植物区系和东北植物区系交汇处，植物种类较丰富，植被类型为草原植被</w:t>
      </w:r>
      <w:r>
        <w:rPr>
          <w:rFonts w:hint="eastAsia"/>
          <w:sz w:val="28"/>
          <w:szCs w:val="28"/>
        </w:rPr>
        <w:t>：</w:t>
      </w:r>
      <w:r>
        <w:rPr>
          <w:sz w:val="28"/>
          <w:szCs w:val="28"/>
        </w:rPr>
        <w:t>草本植物有多年生禾本科牧草、本氏针茅、糙隐子草、羊草、铁杆蒿等。</w:t>
      </w:r>
      <w:r>
        <w:rPr>
          <w:rFonts w:hint="eastAsia"/>
          <w:sz w:val="28"/>
          <w:szCs w:val="28"/>
        </w:rPr>
        <w:t>以上植被大多出现在未挖损区域，以自然植被为主。矿区</w:t>
      </w:r>
      <w:r>
        <w:rPr>
          <w:sz w:val="28"/>
          <w:szCs w:val="28"/>
        </w:rPr>
        <w:t>人工</w:t>
      </w:r>
      <w:r>
        <w:rPr>
          <w:rFonts w:hint="eastAsia"/>
          <w:sz w:val="28"/>
          <w:szCs w:val="28"/>
        </w:rPr>
        <w:t>植被以草本植物为主，草本植物为羊草，用于边坡复垦</w:t>
      </w:r>
      <w:r>
        <w:rPr>
          <w:sz w:val="28"/>
          <w:szCs w:val="28"/>
        </w:rPr>
        <w:t>。</w:t>
      </w:r>
    </w:p>
    <w:p w14:paraId="5B74C86D">
      <w:pPr>
        <w:adjustRightInd w:val="0"/>
        <w:snapToGrid w:val="0"/>
        <w:spacing w:line="360" w:lineRule="auto"/>
        <w:ind w:firstLine="560" w:firstLineChars="200"/>
        <w:rPr>
          <w:sz w:val="28"/>
          <w:szCs w:val="28"/>
        </w:rPr>
      </w:pPr>
      <w:r>
        <w:rPr>
          <w:rFonts w:hint="eastAsia"/>
          <w:sz w:val="28"/>
          <w:szCs w:val="28"/>
        </w:rPr>
        <w:t>矿</w:t>
      </w:r>
      <w:r>
        <w:rPr>
          <w:sz w:val="28"/>
          <w:szCs w:val="28"/>
        </w:rPr>
        <w:t>区植物名录见表2-1</w:t>
      </w:r>
      <w:r>
        <w:rPr>
          <w:rFonts w:hint="eastAsia"/>
          <w:sz w:val="28"/>
          <w:szCs w:val="28"/>
        </w:rPr>
        <w:t>5</w:t>
      </w:r>
      <w:r>
        <w:rPr>
          <w:sz w:val="28"/>
          <w:szCs w:val="28"/>
        </w:rPr>
        <w:t>。</w:t>
      </w:r>
    </w:p>
    <w:p w14:paraId="2A39E6F3">
      <w:pPr>
        <w:jc w:val="center"/>
        <w:rPr>
          <w:rFonts w:hint="eastAsia" w:ascii="黑体" w:hAnsi="黑体" w:eastAsia="黑体" w:cs="宋体"/>
          <w:sz w:val="24"/>
          <w:szCs w:val="24"/>
        </w:rPr>
      </w:pPr>
      <w:r>
        <w:rPr>
          <w:rFonts w:ascii="黑体" w:hAnsi="黑体" w:eastAsia="黑体" w:cs="宋体"/>
          <w:sz w:val="24"/>
          <w:szCs w:val="24"/>
        </w:rPr>
        <w:t>表2-1</w:t>
      </w:r>
      <w:r>
        <w:rPr>
          <w:rFonts w:hint="eastAsia" w:ascii="黑体" w:hAnsi="黑体" w:eastAsia="黑体" w:cs="宋体"/>
          <w:sz w:val="24"/>
          <w:szCs w:val="24"/>
        </w:rPr>
        <w:t>5</w:t>
      </w:r>
      <w:r>
        <w:rPr>
          <w:rFonts w:ascii="黑体" w:hAnsi="黑体" w:eastAsia="黑体" w:cs="宋体"/>
          <w:sz w:val="24"/>
          <w:szCs w:val="24"/>
        </w:rPr>
        <w:t xml:space="preserve">  矿区植物名录</w:t>
      </w:r>
    </w:p>
    <w:p w14:paraId="0A5DBA98">
      <w:pPr>
        <w:adjustRightInd w:val="0"/>
        <w:snapToGrid w:val="0"/>
        <w:ind w:firstLine="420" w:firstLineChars="200"/>
        <w:rPr>
          <w:rFonts w:hint="eastAsia" w:ascii="宋体" w:hAnsi="宋体" w:cs="宋体"/>
          <w:szCs w:val="21"/>
        </w:rPr>
      </w:pPr>
    </w:p>
    <w:p w14:paraId="48CC032E">
      <w:pPr>
        <w:adjustRightInd w:val="0"/>
        <w:snapToGrid w:val="0"/>
        <w:spacing w:line="360" w:lineRule="auto"/>
        <w:ind w:firstLine="560" w:firstLineChars="200"/>
        <w:rPr>
          <w:sz w:val="28"/>
          <w:szCs w:val="28"/>
        </w:rPr>
      </w:pPr>
      <w:r>
        <w:rPr>
          <w:rFonts w:hint="eastAsia"/>
          <w:sz w:val="28"/>
          <w:szCs w:val="28"/>
        </w:rPr>
        <w:t>（2）植被类型现状</w:t>
      </w:r>
    </w:p>
    <w:p w14:paraId="55A2CAC2">
      <w:pPr>
        <w:adjustRightInd w:val="0"/>
        <w:snapToGrid w:val="0"/>
        <w:spacing w:line="360" w:lineRule="auto"/>
        <w:ind w:firstLine="560" w:firstLineChars="200"/>
        <w:rPr>
          <w:sz w:val="28"/>
          <w:szCs w:val="28"/>
        </w:rPr>
      </w:pPr>
      <w:r>
        <w:rPr>
          <w:rFonts w:hint="eastAsia"/>
          <w:sz w:val="28"/>
          <w:szCs w:val="28"/>
        </w:rPr>
        <w:t>矿区植被类型主要参照《中国植被》的分类系统，采用植被型组、植被型、群系等基本单位，在对现存陆生植被进行考察的基础上，结合卫星遥感影像解译结果，进行群落调查统计分析。结果表明，调查结果显示，所调查的</w:t>
      </w:r>
      <w:r>
        <w:rPr>
          <w:rFonts w:hint="eastAsia" w:ascii="宋体" w:hAnsi="宋体" w:cs="宋体"/>
          <w:spacing w:val="13"/>
          <w:sz w:val="32"/>
          <w:szCs w:val="32"/>
        </w:rPr>
        <w:t>***</w:t>
      </w:r>
      <w:r>
        <w:rPr>
          <w:sz w:val="28"/>
          <w:szCs w:val="28"/>
        </w:rPr>
        <w:t>km</w:t>
      </w:r>
      <w:r>
        <w:rPr>
          <w:sz w:val="28"/>
          <w:szCs w:val="28"/>
          <w:vertAlign w:val="superscript"/>
        </w:rPr>
        <w:t>2</w:t>
      </w:r>
      <w:r>
        <w:rPr>
          <w:rFonts w:hint="eastAsia"/>
          <w:sz w:val="28"/>
          <w:szCs w:val="28"/>
        </w:rPr>
        <w:t>范围内，羊草所占面积最大，为</w:t>
      </w:r>
      <w:r>
        <w:rPr>
          <w:rFonts w:hint="eastAsia" w:ascii="宋体" w:hAnsi="宋体" w:cs="宋体"/>
          <w:spacing w:val="13"/>
          <w:sz w:val="32"/>
          <w:szCs w:val="32"/>
        </w:rPr>
        <w:t>***</w:t>
      </w:r>
      <w:r>
        <w:rPr>
          <w:sz w:val="28"/>
          <w:szCs w:val="28"/>
        </w:rPr>
        <w:t>km</w:t>
      </w:r>
      <w:r>
        <w:rPr>
          <w:sz w:val="28"/>
          <w:szCs w:val="28"/>
          <w:vertAlign w:val="superscript"/>
        </w:rPr>
        <w:t>2</w:t>
      </w:r>
      <w:r>
        <w:rPr>
          <w:rFonts w:hint="eastAsia"/>
          <w:sz w:val="28"/>
          <w:szCs w:val="28"/>
        </w:rPr>
        <w:t>，占调查面积的</w:t>
      </w:r>
      <w:r>
        <w:rPr>
          <w:rFonts w:hint="eastAsia" w:ascii="宋体" w:hAnsi="宋体" w:cs="宋体"/>
          <w:spacing w:val="13"/>
          <w:sz w:val="32"/>
          <w:szCs w:val="32"/>
        </w:rPr>
        <w:t>***</w:t>
      </w:r>
      <w:r>
        <w:rPr>
          <w:sz w:val="28"/>
          <w:szCs w:val="28"/>
        </w:rPr>
        <w:t>%</w:t>
      </w:r>
      <w:r>
        <w:rPr>
          <w:rFonts w:hint="eastAsia"/>
          <w:sz w:val="28"/>
          <w:szCs w:val="28"/>
        </w:rPr>
        <w:t>。其次为无植被区域，由露天采场开采挖损、历史遗留矿山治理造成。为</w:t>
      </w:r>
      <w:r>
        <w:rPr>
          <w:rFonts w:hint="eastAsia" w:ascii="宋体" w:hAnsi="宋体" w:cs="宋体"/>
          <w:spacing w:val="13"/>
          <w:sz w:val="32"/>
          <w:szCs w:val="32"/>
        </w:rPr>
        <w:t>***</w:t>
      </w:r>
      <w:r>
        <w:rPr>
          <w:sz w:val="28"/>
          <w:szCs w:val="28"/>
        </w:rPr>
        <w:t>km</w:t>
      </w:r>
      <w:r>
        <w:rPr>
          <w:sz w:val="28"/>
          <w:szCs w:val="28"/>
          <w:vertAlign w:val="superscript"/>
        </w:rPr>
        <w:t>2</w:t>
      </w:r>
      <w:r>
        <w:rPr>
          <w:rFonts w:hint="eastAsia"/>
          <w:sz w:val="28"/>
          <w:szCs w:val="28"/>
        </w:rPr>
        <w:t>，占调查范围的</w:t>
      </w:r>
      <w:r>
        <w:rPr>
          <w:rFonts w:hint="eastAsia" w:ascii="宋体" w:hAnsi="宋体" w:cs="宋体"/>
          <w:spacing w:val="13"/>
          <w:sz w:val="32"/>
          <w:szCs w:val="32"/>
        </w:rPr>
        <w:t>***</w:t>
      </w:r>
      <w:r>
        <w:rPr>
          <w:sz w:val="28"/>
          <w:szCs w:val="28"/>
        </w:rPr>
        <w:t>%</w:t>
      </w:r>
      <w:r>
        <w:rPr>
          <w:rFonts w:hint="eastAsia"/>
          <w:sz w:val="28"/>
          <w:szCs w:val="28"/>
        </w:rPr>
        <w:t>。其余为林地，林地面积约</w:t>
      </w:r>
      <w:r>
        <w:rPr>
          <w:rFonts w:hint="eastAsia" w:ascii="宋体" w:hAnsi="宋体" w:cs="宋体"/>
          <w:spacing w:val="13"/>
          <w:sz w:val="32"/>
          <w:szCs w:val="32"/>
        </w:rPr>
        <w:t>***</w:t>
      </w:r>
      <w:r>
        <w:rPr>
          <w:sz w:val="28"/>
          <w:szCs w:val="28"/>
        </w:rPr>
        <w:t>km</w:t>
      </w:r>
      <w:r>
        <w:rPr>
          <w:sz w:val="28"/>
          <w:szCs w:val="28"/>
          <w:vertAlign w:val="superscript"/>
        </w:rPr>
        <w:t>2</w:t>
      </w:r>
      <w:r>
        <w:rPr>
          <w:rFonts w:hint="eastAsia"/>
          <w:sz w:val="28"/>
          <w:szCs w:val="28"/>
        </w:rPr>
        <w:t>，占调查范围的</w:t>
      </w:r>
      <w:r>
        <w:rPr>
          <w:rFonts w:hint="eastAsia" w:ascii="宋体" w:hAnsi="宋体" w:cs="宋体"/>
          <w:spacing w:val="13"/>
          <w:sz w:val="32"/>
          <w:szCs w:val="32"/>
        </w:rPr>
        <w:t>***</w:t>
      </w:r>
      <w:r>
        <w:rPr>
          <w:sz w:val="28"/>
          <w:szCs w:val="28"/>
        </w:rPr>
        <w:t>%</w:t>
      </w:r>
      <w:r>
        <w:rPr>
          <w:rFonts w:hint="eastAsia"/>
          <w:sz w:val="28"/>
          <w:szCs w:val="28"/>
        </w:rPr>
        <w:t>。</w:t>
      </w:r>
    </w:p>
    <w:p w14:paraId="61496684">
      <w:pPr>
        <w:adjustRightInd w:val="0"/>
        <w:snapToGrid w:val="0"/>
        <w:spacing w:line="360" w:lineRule="auto"/>
        <w:ind w:firstLine="560" w:firstLineChars="200"/>
        <w:rPr>
          <w:sz w:val="28"/>
          <w:szCs w:val="28"/>
        </w:rPr>
      </w:pPr>
      <w:r>
        <w:rPr>
          <w:rFonts w:hint="eastAsia"/>
          <w:sz w:val="28"/>
          <w:szCs w:val="28"/>
        </w:rPr>
        <w:t>根据现场调查和查阅历史资料，矿区内无《中国生物多样性红色名录》中列为极危、濒危、和易危物种以及国家和自治区列入拯救保护的极小种群物种、特有种、古树名木。矿区植被类型面积见表2-16。</w:t>
      </w:r>
    </w:p>
    <w:p w14:paraId="57EEC153">
      <w:pPr>
        <w:jc w:val="center"/>
        <w:rPr>
          <w:rFonts w:hint="eastAsia" w:ascii="黑体" w:hAnsi="黑体" w:eastAsia="黑体" w:cs="宋体"/>
          <w:sz w:val="24"/>
          <w:szCs w:val="24"/>
        </w:rPr>
      </w:pPr>
      <w:r>
        <w:rPr>
          <w:rFonts w:hint="eastAsia" w:ascii="黑体" w:hAnsi="黑体" w:eastAsia="黑体" w:cs="宋体"/>
          <w:sz w:val="24"/>
          <w:szCs w:val="24"/>
        </w:rPr>
        <w:t xml:space="preserve">表2-16  植被类型调查结果表 </w:t>
      </w:r>
    </w:p>
    <w:p w14:paraId="7D7B7227">
      <w:pPr>
        <w:widowControl/>
        <w:adjustRightInd w:val="0"/>
        <w:snapToGrid w:val="0"/>
        <w:ind w:firstLine="400" w:firstLineChars="200"/>
        <w:jc w:val="left"/>
        <w:rPr>
          <w:sz w:val="20"/>
        </w:rPr>
      </w:pPr>
    </w:p>
    <w:p w14:paraId="03D73CAE">
      <w:pPr>
        <w:adjustRightInd w:val="0"/>
        <w:snapToGrid w:val="0"/>
        <w:spacing w:line="360" w:lineRule="auto"/>
        <w:ind w:firstLine="560" w:firstLineChars="200"/>
        <w:rPr>
          <w:sz w:val="28"/>
          <w:szCs w:val="28"/>
        </w:rPr>
      </w:pPr>
      <w:r>
        <w:rPr>
          <w:sz w:val="28"/>
          <w:szCs w:val="28"/>
        </w:rPr>
        <w:t>4、野生动物现状</w:t>
      </w:r>
    </w:p>
    <w:p w14:paraId="733F9216">
      <w:pPr>
        <w:adjustRightInd w:val="0"/>
        <w:snapToGrid w:val="0"/>
        <w:spacing w:line="360" w:lineRule="auto"/>
        <w:ind w:firstLine="560" w:firstLineChars="200"/>
        <w:rPr>
          <w:sz w:val="28"/>
          <w:szCs w:val="28"/>
        </w:rPr>
      </w:pPr>
      <w:r>
        <w:rPr>
          <w:sz w:val="28"/>
          <w:szCs w:val="28"/>
        </w:rPr>
        <w:t>（1）</w:t>
      </w:r>
      <w:r>
        <w:rPr>
          <w:rFonts w:hint="eastAsia"/>
          <w:sz w:val="28"/>
          <w:szCs w:val="28"/>
        </w:rPr>
        <w:t>野生动物组成</w:t>
      </w:r>
    </w:p>
    <w:p w14:paraId="68D43CA4">
      <w:pPr>
        <w:adjustRightInd w:val="0"/>
        <w:snapToGrid w:val="0"/>
        <w:spacing w:line="360" w:lineRule="auto"/>
        <w:ind w:firstLine="560" w:firstLineChars="200"/>
        <w:rPr>
          <w:sz w:val="28"/>
          <w:szCs w:val="28"/>
        </w:rPr>
      </w:pPr>
      <w:r>
        <w:rPr>
          <w:rFonts w:hint="eastAsia"/>
          <w:sz w:val="28"/>
          <w:szCs w:val="28"/>
        </w:rPr>
        <w:t>矿</w:t>
      </w:r>
      <w:r>
        <w:rPr>
          <w:sz w:val="28"/>
          <w:szCs w:val="28"/>
        </w:rPr>
        <w:t>区位于内蒙古赤峰市</w:t>
      </w:r>
      <w:r>
        <w:rPr>
          <w:rFonts w:hint="eastAsia"/>
          <w:sz w:val="28"/>
          <w:szCs w:val="28"/>
        </w:rPr>
        <w:t>松山区大庙镇</w:t>
      </w:r>
      <w:r>
        <w:rPr>
          <w:sz w:val="28"/>
          <w:szCs w:val="28"/>
        </w:rPr>
        <w:t>，在动物地理区划上属于古北界-中亚亚界-蒙新区，本区野生动物区系以干草原动物为主。本区野生动物区由典型的温带草原动物群组成，代表有达乌尔黄鼠、草原鼠兔、草原田鼠、长爪沙鼠、云雀等。</w:t>
      </w:r>
    </w:p>
    <w:p w14:paraId="31275A16">
      <w:pPr>
        <w:adjustRightInd w:val="0"/>
        <w:snapToGrid w:val="0"/>
        <w:spacing w:line="360" w:lineRule="auto"/>
        <w:ind w:firstLine="560" w:firstLineChars="200"/>
        <w:rPr>
          <w:sz w:val="28"/>
          <w:szCs w:val="28"/>
        </w:rPr>
      </w:pPr>
      <w:r>
        <w:rPr>
          <w:sz w:val="28"/>
          <w:szCs w:val="28"/>
        </w:rPr>
        <w:t>本次动物调查采用现场调查、资料查询和当地访问调查等方法相结合，利用步行与汽车等交通工具对</w:t>
      </w:r>
      <w:r>
        <w:rPr>
          <w:rFonts w:hint="eastAsia"/>
          <w:sz w:val="28"/>
          <w:szCs w:val="28"/>
        </w:rPr>
        <w:t>矿</w:t>
      </w:r>
      <w:r>
        <w:rPr>
          <w:sz w:val="28"/>
          <w:szCs w:val="28"/>
        </w:rPr>
        <w:t>区内动物分布状况进行调查。</w:t>
      </w:r>
    </w:p>
    <w:p w14:paraId="4DB7D728">
      <w:pPr>
        <w:adjustRightInd w:val="0"/>
        <w:snapToGrid w:val="0"/>
        <w:spacing w:line="360" w:lineRule="auto"/>
        <w:ind w:firstLine="560" w:firstLineChars="200"/>
        <w:rPr>
          <w:sz w:val="28"/>
          <w:szCs w:val="28"/>
        </w:rPr>
      </w:pPr>
      <w:r>
        <w:rPr>
          <w:rFonts w:hint="eastAsia"/>
          <w:sz w:val="28"/>
          <w:szCs w:val="28"/>
        </w:rPr>
        <w:t>矿区</w:t>
      </w:r>
      <w:r>
        <w:rPr>
          <w:sz w:val="28"/>
          <w:szCs w:val="28"/>
        </w:rPr>
        <w:t>由于生态系统较为简单，栖息的动物资源较为稀少，特别是近些年来，随着人为干扰的不断加剧，很多物种的生境被破坏，野生动物的生存环境不容乐观，区内仅见的达乌里寒鸦、树麻雀、毛腿沙鸡等均为常见物种。根据现场调查及资料记载，</w:t>
      </w:r>
      <w:r>
        <w:rPr>
          <w:rFonts w:hint="eastAsia"/>
          <w:sz w:val="28"/>
          <w:szCs w:val="28"/>
        </w:rPr>
        <w:t>矿区及周边</w:t>
      </w:r>
      <w:r>
        <w:rPr>
          <w:sz w:val="28"/>
          <w:szCs w:val="28"/>
        </w:rPr>
        <w:t>野生动物的留居种类没有珍稀、濒危物种，无珍稀濒危动物栖息地与繁殖地分布。</w:t>
      </w:r>
      <w:r>
        <w:rPr>
          <w:rFonts w:hint="eastAsia"/>
          <w:sz w:val="28"/>
          <w:szCs w:val="28"/>
        </w:rPr>
        <w:t>矿</w:t>
      </w:r>
      <w:r>
        <w:rPr>
          <w:sz w:val="28"/>
          <w:szCs w:val="28"/>
        </w:rPr>
        <w:t>区主要动物名录如表</w:t>
      </w:r>
      <w:r>
        <w:rPr>
          <w:rFonts w:hint="eastAsia"/>
          <w:sz w:val="28"/>
          <w:szCs w:val="28"/>
        </w:rPr>
        <w:t>2-17</w:t>
      </w:r>
      <w:r>
        <w:rPr>
          <w:sz w:val="28"/>
          <w:szCs w:val="28"/>
        </w:rPr>
        <w:t>。</w:t>
      </w:r>
    </w:p>
    <w:p w14:paraId="20C5F938">
      <w:pPr>
        <w:widowControl/>
        <w:ind w:firstLine="480" w:firstLineChars="200"/>
        <w:jc w:val="center"/>
        <w:rPr>
          <w:rFonts w:hint="eastAsia" w:ascii="黑体" w:hAnsi="黑体" w:eastAsia="黑体" w:cs="宋体"/>
          <w:sz w:val="24"/>
          <w:szCs w:val="24"/>
        </w:rPr>
      </w:pPr>
      <w:r>
        <w:rPr>
          <w:rFonts w:hint="eastAsia" w:ascii="黑体" w:hAnsi="黑体" w:eastAsia="黑体" w:cs="宋体"/>
          <w:sz w:val="24"/>
          <w:szCs w:val="24"/>
        </w:rPr>
        <w:t>表2-17  矿区及周边区域常见动物名录</w:t>
      </w:r>
    </w:p>
    <w:p w14:paraId="65F68B18">
      <w:pPr>
        <w:spacing w:line="15" w:lineRule="exact"/>
      </w:pPr>
      <w:r>
        <w:rPr>
          <w:rFonts w:hint="eastAsia"/>
        </w:rPr>
        <w:t>=</w:t>
      </w:r>
    </w:p>
    <w:p w14:paraId="3E4308F0">
      <w:pPr>
        <w:adjustRightInd w:val="0"/>
        <w:snapToGrid w:val="0"/>
        <w:ind w:firstLine="300" w:firstLineChars="200"/>
        <w:rPr>
          <w:rFonts w:hint="eastAsia" w:ascii="宋体" w:hAnsi="宋体" w:cs="宋体"/>
          <w:sz w:val="15"/>
          <w:szCs w:val="15"/>
        </w:rPr>
      </w:pPr>
    </w:p>
    <w:p w14:paraId="2CBAA446">
      <w:pPr>
        <w:adjustRightInd w:val="0"/>
        <w:snapToGrid w:val="0"/>
        <w:spacing w:line="360" w:lineRule="auto"/>
        <w:ind w:firstLine="560" w:firstLineChars="200"/>
        <w:rPr>
          <w:sz w:val="28"/>
          <w:szCs w:val="28"/>
        </w:rPr>
      </w:pPr>
      <w:r>
        <w:rPr>
          <w:rFonts w:hint="eastAsia"/>
          <w:sz w:val="28"/>
          <w:szCs w:val="28"/>
        </w:rPr>
        <w:t>（2）项目区域鸟类迁徙现状</w:t>
      </w:r>
    </w:p>
    <w:p w14:paraId="0F3CD70B">
      <w:pPr>
        <w:adjustRightInd w:val="0"/>
        <w:snapToGrid w:val="0"/>
        <w:spacing w:line="360" w:lineRule="auto"/>
        <w:ind w:firstLine="560" w:firstLineChars="200"/>
        <w:rPr>
          <w:sz w:val="28"/>
          <w:szCs w:val="28"/>
        </w:rPr>
      </w:pPr>
      <w:r>
        <w:rPr>
          <w:rFonts w:hint="eastAsia"/>
          <w:sz w:val="28"/>
          <w:szCs w:val="28"/>
        </w:rPr>
        <w:t>根据《候鸟迁飞通道保护修复中国行动计划（2024-2030年）》可知：全球有9条主要候鸟迁飞通道，其中4条经过中国，分别为东亚-澳大利西亚迁飞通道、中亚迁飞通道、西亚-东非迁飞通道以及西太平洋迁飞通道。</w:t>
      </w:r>
    </w:p>
    <w:p w14:paraId="2C126AA8">
      <w:pPr>
        <w:adjustRightInd w:val="0"/>
        <w:snapToGrid w:val="0"/>
        <w:spacing w:line="360" w:lineRule="auto"/>
        <w:ind w:firstLine="560" w:firstLineChars="200"/>
        <w:rPr>
          <w:sz w:val="28"/>
          <w:szCs w:val="28"/>
        </w:rPr>
      </w:pPr>
      <w:r>
        <w:rPr>
          <w:rFonts w:hint="eastAsia"/>
          <w:sz w:val="28"/>
          <w:szCs w:val="28"/>
        </w:rPr>
        <w:t>矿区处于东北区松辽平原亚区，为东亚-澳大利西亚迁飞通道，不涉及候鸟关键栖息地，不在鸟类主要迁徙通道上。施工及运行期间妥善采取监测、防护、保护等措施，对迁徙候鸟影响较小。</w:t>
      </w:r>
    </w:p>
    <w:p w14:paraId="59928892">
      <w:pPr>
        <w:spacing w:before="120" w:beforeLines="50" w:line="360" w:lineRule="auto"/>
        <w:ind w:firstLine="562" w:firstLineChars="200"/>
        <w:outlineLvl w:val="2"/>
        <w:rPr>
          <w:sz w:val="28"/>
          <w:szCs w:val="28"/>
        </w:rPr>
      </w:pPr>
      <w:r>
        <w:rPr>
          <w:b/>
          <w:bCs/>
          <w:sz w:val="28"/>
          <w:szCs w:val="28"/>
        </w:rPr>
        <w:t>三、生物多样性</w:t>
      </w:r>
    </w:p>
    <w:p w14:paraId="658E2533">
      <w:pPr>
        <w:adjustRightInd w:val="0"/>
        <w:snapToGrid w:val="0"/>
        <w:spacing w:line="360" w:lineRule="auto"/>
        <w:ind w:firstLine="560" w:firstLineChars="200"/>
        <w:rPr>
          <w:sz w:val="28"/>
          <w:szCs w:val="28"/>
        </w:rPr>
      </w:pPr>
      <w:r>
        <w:rPr>
          <w:rFonts w:hint="eastAsia"/>
          <w:sz w:val="28"/>
          <w:szCs w:val="28"/>
        </w:rPr>
        <w:t>1、物种丰富度</w:t>
      </w:r>
    </w:p>
    <w:p w14:paraId="1935FF67">
      <w:pPr>
        <w:adjustRightInd w:val="0"/>
        <w:snapToGrid w:val="0"/>
        <w:spacing w:line="360" w:lineRule="auto"/>
        <w:ind w:firstLine="560" w:firstLineChars="200"/>
        <w:rPr>
          <w:sz w:val="28"/>
          <w:szCs w:val="28"/>
        </w:rPr>
      </w:pPr>
      <w:r>
        <w:rPr>
          <w:rFonts w:hint="eastAsia"/>
          <w:sz w:val="28"/>
          <w:szCs w:val="28"/>
        </w:rPr>
        <w:t>通过本次调查，矿区及周边草本植物主要为本氏针茅、糙隐子草、羊草、达乌里胡枝子、铁杆蒿和百里香、乳白花黄芪、麻花头、麻黄、山杏、小叶锦鸡儿和虎榛子等。</w:t>
      </w:r>
    </w:p>
    <w:p w14:paraId="4793DF25">
      <w:pPr>
        <w:adjustRightInd w:val="0"/>
        <w:snapToGrid w:val="0"/>
        <w:spacing w:line="360" w:lineRule="auto"/>
        <w:ind w:firstLine="560" w:firstLineChars="200"/>
        <w:rPr>
          <w:sz w:val="28"/>
          <w:szCs w:val="28"/>
        </w:rPr>
      </w:pPr>
      <w:r>
        <w:rPr>
          <w:rFonts w:hint="eastAsia"/>
          <w:sz w:val="28"/>
          <w:szCs w:val="28"/>
        </w:rPr>
        <w:t>通过数据统计发现，共记录9科、16种植物。调查到的植物物种组成较为简单，分布植物种较多的科为豆科和禾本科，分别为5种和3种，其他科植物种类较少。</w:t>
      </w:r>
    </w:p>
    <w:p w14:paraId="0EE46849">
      <w:pPr>
        <w:adjustRightInd w:val="0"/>
        <w:snapToGrid w:val="0"/>
        <w:spacing w:line="360" w:lineRule="auto"/>
        <w:ind w:firstLine="560" w:firstLineChars="200"/>
        <w:rPr>
          <w:sz w:val="28"/>
          <w:szCs w:val="28"/>
        </w:rPr>
      </w:pPr>
      <w:r>
        <w:rPr>
          <w:rFonts w:hint="eastAsia"/>
          <w:sz w:val="28"/>
          <w:szCs w:val="28"/>
        </w:rPr>
        <w:t>2、经搜集资料，通过丰富度指数、香农-威纳多样性、均匀度指数和优势度指数分析，矿区及周边植被优势度种群为羊草群落。</w:t>
      </w:r>
    </w:p>
    <w:p w14:paraId="6B8163D3">
      <w:pPr>
        <w:adjustRightInd w:val="0"/>
        <w:snapToGrid w:val="0"/>
        <w:spacing w:line="360" w:lineRule="auto"/>
        <w:ind w:firstLine="560" w:firstLineChars="200"/>
        <w:rPr>
          <w:sz w:val="28"/>
          <w:szCs w:val="28"/>
        </w:rPr>
      </w:pPr>
      <w:r>
        <w:rPr>
          <w:rFonts w:hint="eastAsia"/>
          <w:sz w:val="28"/>
          <w:szCs w:val="28"/>
        </w:rPr>
        <w:t>3、经调查，矿区仅见的达乌里寒鸦、树麻雀、毛腿沙鸡及树麻雀等均为常见物种，野生动物种类较少，属温带草原动物群。</w:t>
      </w:r>
    </w:p>
    <w:p w14:paraId="5DDF9567">
      <w:pPr>
        <w:spacing w:line="360" w:lineRule="auto"/>
        <w:ind w:firstLine="562" w:firstLineChars="200"/>
        <w:outlineLvl w:val="2"/>
        <w:rPr>
          <w:sz w:val="28"/>
          <w:szCs w:val="28"/>
        </w:rPr>
      </w:pPr>
      <w:r>
        <w:rPr>
          <w:b/>
          <w:bCs/>
          <w:sz w:val="28"/>
          <w:szCs w:val="28"/>
        </w:rPr>
        <w:t>四、土壤生态现状</w:t>
      </w:r>
    </w:p>
    <w:p w14:paraId="65738514">
      <w:pPr>
        <w:adjustRightInd w:val="0"/>
        <w:snapToGrid w:val="0"/>
        <w:spacing w:line="360" w:lineRule="auto"/>
        <w:ind w:firstLine="560" w:firstLineChars="200"/>
        <w:rPr>
          <w:sz w:val="28"/>
          <w:szCs w:val="28"/>
        </w:rPr>
      </w:pPr>
      <w:r>
        <w:rPr>
          <w:sz w:val="28"/>
          <w:szCs w:val="28"/>
        </w:rPr>
        <w:t>松山区大庙镇土壤类型以栗钙土为主，广泛分布于山地区（占镇域面积约</w:t>
      </w:r>
      <w:r>
        <w:rPr>
          <w:rFonts w:hint="eastAsia" w:ascii="宋体" w:hAnsi="宋体" w:cs="宋体"/>
          <w:spacing w:val="13"/>
          <w:sz w:val="32"/>
          <w:szCs w:val="32"/>
        </w:rPr>
        <w:t xml:space="preserve">*** </w:t>
      </w:r>
      <w:r>
        <w:rPr>
          <w:sz w:val="28"/>
          <w:szCs w:val="28"/>
        </w:rPr>
        <w:t>%），有机质含量中等，但土层较薄，结构性较差，土壤中富含硼、锌、铜、硒等微量元素，为农牧作物提供了优质生长基础。受半干旱气候影响，土壤孔隙度大，蒸发量远超降水量，旱季易失墒。</w:t>
      </w:r>
      <w:r>
        <w:rPr>
          <w:rFonts w:hint="eastAsia"/>
          <w:sz w:val="28"/>
          <w:szCs w:val="28"/>
        </w:rPr>
        <w:t>低山</w:t>
      </w:r>
      <w:r>
        <w:rPr>
          <w:sz w:val="28"/>
          <w:szCs w:val="28"/>
        </w:rPr>
        <w:t>地形叠加集中降水（7–8月占全年</w:t>
      </w:r>
      <w:r>
        <w:rPr>
          <w:rFonts w:hint="eastAsia" w:ascii="宋体" w:hAnsi="宋体" w:cs="宋体"/>
          <w:spacing w:val="13"/>
          <w:sz w:val="32"/>
          <w:szCs w:val="32"/>
        </w:rPr>
        <w:t>***v</w:t>
      </w:r>
      <w:r>
        <w:rPr>
          <w:sz w:val="28"/>
          <w:szCs w:val="28"/>
        </w:rPr>
        <w:t>%）和春季大风（年均6级以上大风</w:t>
      </w:r>
      <w:r>
        <w:rPr>
          <w:rFonts w:hint="eastAsia" w:ascii="宋体" w:hAnsi="宋体" w:cs="宋体"/>
          <w:spacing w:val="13"/>
          <w:sz w:val="32"/>
          <w:szCs w:val="32"/>
        </w:rPr>
        <w:t>***</w:t>
      </w:r>
      <w:r>
        <w:rPr>
          <w:sz w:val="28"/>
          <w:szCs w:val="28"/>
        </w:rPr>
        <w:t>天），导致表层土壤流失风险高。土地侵蚀面积占比高达</w:t>
      </w:r>
      <w:r>
        <w:rPr>
          <w:rFonts w:hint="eastAsia" w:ascii="宋体" w:hAnsi="宋体" w:cs="宋体"/>
          <w:spacing w:val="13"/>
          <w:sz w:val="32"/>
          <w:szCs w:val="32"/>
        </w:rPr>
        <w:t>***</w:t>
      </w:r>
      <w:r>
        <w:rPr>
          <w:sz w:val="28"/>
          <w:szCs w:val="28"/>
        </w:rPr>
        <w:t>%，与赤峰市整体侵蚀趋势一致，</w:t>
      </w:r>
      <w:r>
        <w:rPr>
          <w:rFonts w:hint="eastAsia"/>
          <w:sz w:val="28"/>
          <w:szCs w:val="28"/>
        </w:rPr>
        <w:t>低山</w:t>
      </w:r>
      <w:r>
        <w:rPr>
          <w:sz w:val="28"/>
          <w:szCs w:val="28"/>
        </w:rPr>
        <w:t>坡地耕作加剧了泥沙流失。暴雨冲刷导致养分流失，长期可能引发土壤贫瘠化。</w:t>
      </w:r>
    </w:p>
    <w:p w14:paraId="1BC5495A">
      <w:pPr>
        <w:adjustRightInd w:val="0"/>
        <w:snapToGrid w:val="0"/>
        <w:spacing w:line="360" w:lineRule="auto"/>
        <w:ind w:firstLine="560" w:firstLineChars="200"/>
        <w:rPr>
          <w:sz w:val="28"/>
          <w:szCs w:val="28"/>
        </w:rPr>
      </w:pPr>
      <w:r>
        <w:rPr>
          <w:rFonts w:hint="eastAsia"/>
          <w:sz w:val="28"/>
          <w:szCs w:val="28"/>
        </w:rPr>
        <w:t>矿区位于低山区，地表被黄土和风成砂覆盖，土层厚度</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m，黄土层中的上部多见碎石、砾石、砂砾夹层，土壤质地为沙壌，土壤容重在</w:t>
      </w:r>
      <w:r>
        <w:rPr>
          <w:rFonts w:hint="eastAsia" w:ascii="宋体" w:hAnsi="宋体" w:cs="宋体"/>
          <w:spacing w:val="13"/>
          <w:sz w:val="32"/>
          <w:szCs w:val="32"/>
        </w:rPr>
        <w:t>***</w:t>
      </w:r>
      <w:r>
        <w:rPr>
          <w:rFonts w:hint="eastAsia"/>
          <w:sz w:val="28"/>
          <w:szCs w:val="28"/>
        </w:rPr>
        <w:t>g/cm</w:t>
      </w:r>
      <w:r>
        <w:rPr>
          <w:rFonts w:hint="eastAsia"/>
          <w:sz w:val="28"/>
          <w:szCs w:val="28"/>
          <w:vertAlign w:val="superscript"/>
        </w:rPr>
        <w:t>3</w:t>
      </w:r>
      <w:r>
        <w:rPr>
          <w:rFonts w:hint="eastAsia"/>
          <w:sz w:val="28"/>
          <w:szCs w:val="28"/>
        </w:rPr>
        <w:t>左右，有机质含量</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％，pH在</w:t>
      </w:r>
      <w:r>
        <w:rPr>
          <w:rFonts w:hint="eastAsia" w:ascii="宋体" w:hAnsi="宋体" w:cs="宋体"/>
          <w:spacing w:val="13"/>
          <w:sz w:val="32"/>
          <w:szCs w:val="32"/>
        </w:rPr>
        <w:t>***</w:t>
      </w:r>
      <w:r>
        <w:rPr>
          <w:rFonts w:hint="eastAsia"/>
          <w:sz w:val="28"/>
          <w:szCs w:val="28"/>
        </w:rPr>
        <w:t>左右，土壤质地疏松、多孔，胶结物质、粘粒成分含量较低，土壤的抗蚀性和抗冲性较弱，肥力一般。</w:t>
      </w:r>
      <w:r>
        <w:rPr>
          <w:sz w:val="28"/>
          <w:szCs w:val="28"/>
        </w:rPr>
        <w:t>（见照片2-</w:t>
      </w:r>
      <w:r>
        <w:rPr>
          <w:rFonts w:hint="eastAsia"/>
          <w:sz w:val="28"/>
          <w:szCs w:val="28"/>
        </w:rPr>
        <w:t>3</w:t>
      </w:r>
      <w:r>
        <w:rPr>
          <w:sz w:val="28"/>
          <w:szCs w:val="28"/>
        </w:rPr>
        <w:t>）。</w:t>
      </w:r>
    </w:p>
    <w:p w14:paraId="7A9BC98C">
      <w:pPr>
        <w:adjustRightInd w:val="0"/>
        <w:snapToGrid w:val="0"/>
        <w:spacing w:line="360" w:lineRule="auto"/>
        <w:ind w:firstLine="560" w:firstLineChars="200"/>
        <w:rPr>
          <w:sz w:val="28"/>
          <w:szCs w:val="28"/>
        </w:rPr>
      </w:pPr>
      <w:r>
        <w:rPr>
          <w:sz w:val="28"/>
          <w:szCs w:val="28"/>
        </w:rPr>
        <w:t>202</w:t>
      </w:r>
      <w:r>
        <w:rPr>
          <w:rFonts w:hint="eastAsia"/>
          <w:sz w:val="28"/>
          <w:szCs w:val="28"/>
        </w:rPr>
        <w:t>6</w:t>
      </w:r>
      <w:r>
        <w:rPr>
          <w:sz w:val="28"/>
          <w:szCs w:val="28"/>
        </w:rPr>
        <w:t>年</w:t>
      </w:r>
      <w:r>
        <w:rPr>
          <w:rFonts w:hint="eastAsia"/>
          <w:sz w:val="28"/>
          <w:szCs w:val="28"/>
        </w:rPr>
        <w:t>7</w:t>
      </w:r>
      <w:r>
        <w:rPr>
          <w:sz w:val="28"/>
          <w:szCs w:val="28"/>
        </w:rPr>
        <w:t>月</w:t>
      </w:r>
      <w:r>
        <w:rPr>
          <w:rFonts w:hint="eastAsia"/>
          <w:sz w:val="28"/>
          <w:szCs w:val="28"/>
        </w:rPr>
        <w:t>4</w:t>
      </w:r>
      <w:r>
        <w:rPr>
          <w:sz w:val="28"/>
          <w:szCs w:val="28"/>
        </w:rPr>
        <w:t>日矿山委托内蒙古</w:t>
      </w:r>
      <w:r>
        <w:rPr>
          <w:rFonts w:hint="eastAsia"/>
          <w:sz w:val="28"/>
          <w:szCs w:val="28"/>
        </w:rPr>
        <w:t>铭科环境检测有限公司</w:t>
      </w:r>
      <w:r>
        <w:rPr>
          <w:sz w:val="28"/>
          <w:szCs w:val="28"/>
        </w:rPr>
        <w:t>对矿区土壤监测点进行取样检测，土壤取样位置见图2-</w:t>
      </w:r>
      <w:r>
        <w:rPr>
          <w:rFonts w:hint="eastAsia"/>
          <w:sz w:val="28"/>
          <w:szCs w:val="28"/>
        </w:rPr>
        <w:t>4</w:t>
      </w:r>
      <w:r>
        <w:rPr>
          <w:sz w:val="28"/>
          <w:szCs w:val="28"/>
        </w:rPr>
        <w:t>，取样信息见表2-</w:t>
      </w:r>
      <w:r>
        <w:rPr>
          <w:rFonts w:hint="eastAsia"/>
          <w:sz w:val="28"/>
          <w:szCs w:val="28"/>
        </w:rPr>
        <w:t>18</w:t>
      </w:r>
      <w:r>
        <w:rPr>
          <w:sz w:val="28"/>
          <w:szCs w:val="28"/>
        </w:rPr>
        <w:t>，土壤检测结果见表2-</w:t>
      </w:r>
      <w:r>
        <w:rPr>
          <w:rFonts w:hint="eastAsia"/>
          <w:sz w:val="28"/>
          <w:szCs w:val="28"/>
        </w:rPr>
        <w:t>19</w:t>
      </w:r>
      <w:r>
        <w:rPr>
          <w:sz w:val="28"/>
          <w:szCs w:val="28"/>
        </w:rPr>
        <w:t>。</w:t>
      </w:r>
    </w:p>
    <w:p w14:paraId="4590077B">
      <w:pPr>
        <w:adjustRightInd w:val="0"/>
        <w:snapToGrid w:val="0"/>
        <w:spacing w:line="360" w:lineRule="auto"/>
        <w:ind w:firstLine="560" w:firstLineChars="200"/>
        <w:rPr>
          <w:sz w:val="28"/>
          <w:szCs w:val="28"/>
        </w:rPr>
      </w:pPr>
      <w:r>
        <w:rPr>
          <w:rFonts w:hint="eastAsia"/>
          <w:sz w:val="28"/>
          <w:szCs w:val="28"/>
        </w:rPr>
        <w:t>土壤检测结果均符合《土壤环境质量农用地土壤污染风险管控标准 (试行)》(GB15618-2018)表1中的农用地土壤污染风险筛选值标准的要求。</w:t>
      </w:r>
    </w:p>
    <w:p w14:paraId="417BCAD5">
      <w:pPr>
        <w:adjustRightInd w:val="0"/>
        <w:snapToGrid w:val="0"/>
        <w:ind w:firstLine="480" w:firstLineChars="200"/>
        <w:jc w:val="center"/>
        <w:rPr>
          <w:rFonts w:eastAsia="黑体"/>
          <w:szCs w:val="21"/>
        </w:rPr>
      </w:pPr>
      <w:r>
        <w:rPr>
          <w:rFonts w:eastAsia="黑体"/>
          <w:sz w:val="24"/>
          <w:szCs w:val="24"/>
        </w:rPr>
        <w:t>表2-</w:t>
      </w:r>
      <w:r>
        <w:rPr>
          <w:rFonts w:hint="eastAsia" w:eastAsia="黑体"/>
          <w:sz w:val="24"/>
          <w:szCs w:val="24"/>
        </w:rPr>
        <w:t>18</w:t>
      </w:r>
      <w:r>
        <w:rPr>
          <w:rFonts w:eastAsia="黑体"/>
          <w:sz w:val="24"/>
          <w:szCs w:val="24"/>
        </w:rPr>
        <w:t xml:space="preserve">  土壤检测取样信息统计表</w:t>
      </w:r>
    </w:p>
    <w:p w14:paraId="45211C5A">
      <w:pPr>
        <w:pStyle w:val="31"/>
        <w:jc w:val="center"/>
        <w:rPr>
          <w:szCs w:val="28"/>
        </w:rPr>
      </w:pPr>
      <w:r>
        <w:rPr>
          <w:rFonts w:hint="eastAsia" w:eastAsia="黑体"/>
          <w:sz w:val="24"/>
          <w:szCs w:val="24"/>
        </w:rPr>
        <w:t>表2-19  土壤质量检测结果表</w:t>
      </w:r>
    </w:p>
    <w:p w14:paraId="224993C5">
      <w:pPr>
        <w:jc w:val="center"/>
        <w:rPr>
          <w:rFonts w:eastAsia="黑体"/>
          <w:sz w:val="24"/>
          <w:szCs w:val="24"/>
        </w:rPr>
      </w:pPr>
      <w:r>
        <w:rPr>
          <w:rFonts w:eastAsia="黑体"/>
          <w:sz w:val="24"/>
          <w:szCs w:val="24"/>
        </w:rPr>
        <w:t>图2-</w:t>
      </w:r>
      <w:r>
        <w:rPr>
          <w:rFonts w:hint="eastAsia" w:eastAsia="黑体"/>
          <w:sz w:val="24"/>
          <w:szCs w:val="24"/>
        </w:rPr>
        <w:t>4</w:t>
      </w:r>
      <w:r>
        <w:rPr>
          <w:rFonts w:eastAsia="黑体"/>
          <w:sz w:val="24"/>
          <w:szCs w:val="24"/>
        </w:rPr>
        <w:t xml:space="preserve">  </w:t>
      </w:r>
      <w:r>
        <w:rPr>
          <w:rFonts w:hint="eastAsia" w:eastAsia="黑体"/>
          <w:sz w:val="24"/>
          <w:szCs w:val="24"/>
        </w:rPr>
        <w:t>矿区范围</w:t>
      </w:r>
      <w:r>
        <w:rPr>
          <w:rFonts w:eastAsia="黑体"/>
          <w:sz w:val="24"/>
          <w:szCs w:val="24"/>
        </w:rPr>
        <w:t>土壤取样位置图</w:t>
      </w:r>
    </w:p>
    <w:p w14:paraId="7BB6B5B1">
      <w:pPr>
        <w:ind w:firstLine="480" w:firstLineChars="200"/>
        <w:jc w:val="center"/>
        <w:rPr>
          <w:rFonts w:eastAsia="黑体"/>
          <w:sz w:val="24"/>
          <w:szCs w:val="24"/>
        </w:rPr>
      </w:pPr>
    </w:p>
    <w:p w14:paraId="2B65524B">
      <w:pPr>
        <w:adjustRightInd w:val="0"/>
        <w:snapToGrid w:val="0"/>
        <w:ind w:firstLine="420" w:firstLineChars="200"/>
        <w:jc w:val="center"/>
        <w:rPr>
          <w:rFonts w:eastAsia="黑体"/>
          <w:szCs w:val="21"/>
        </w:rPr>
      </w:pPr>
      <w:r>
        <w:rPr>
          <w:rFonts w:eastAsia="黑体"/>
          <w:szCs w:val="21"/>
        </w:rPr>
        <w:br w:type="page"/>
      </w:r>
    </w:p>
    <w:p w14:paraId="6912DEFC">
      <w:pPr>
        <w:spacing w:line="360" w:lineRule="auto"/>
        <w:ind w:firstLine="562" w:firstLineChars="200"/>
        <w:outlineLvl w:val="2"/>
        <w:rPr>
          <w:sz w:val="28"/>
          <w:szCs w:val="28"/>
        </w:rPr>
      </w:pPr>
      <w:r>
        <w:rPr>
          <w:b/>
          <w:bCs/>
          <w:sz w:val="28"/>
          <w:szCs w:val="28"/>
        </w:rPr>
        <w:t>五、水环境现状</w:t>
      </w:r>
    </w:p>
    <w:p w14:paraId="14015E4A">
      <w:pPr>
        <w:snapToGrid w:val="0"/>
        <w:spacing w:line="360" w:lineRule="auto"/>
        <w:ind w:firstLine="560" w:firstLineChars="200"/>
        <w:rPr>
          <w:sz w:val="28"/>
          <w:szCs w:val="28"/>
        </w:rPr>
      </w:pPr>
      <w:r>
        <w:rPr>
          <w:sz w:val="28"/>
          <w:szCs w:val="28"/>
        </w:rPr>
        <w:t>矿区的排泄河流为</w:t>
      </w:r>
      <w:r>
        <w:rPr>
          <w:rFonts w:hint="eastAsia"/>
          <w:sz w:val="28"/>
          <w:szCs w:val="28"/>
        </w:rPr>
        <w:t>阴河，阴河位于</w:t>
      </w:r>
      <w:r>
        <w:rPr>
          <w:sz w:val="28"/>
          <w:szCs w:val="28"/>
        </w:rPr>
        <w:t>矿区</w:t>
      </w:r>
      <w:r>
        <w:rPr>
          <w:rFonts w:hint="eastAsia"/>
          <w:sz w:val="28"/>
          <w:szCs w:val="28"/>
        </w:rPr>
        <w:t>北</w:t>
      </w:r>
      <w:r>
        <w:rPr>
          <w:sz w:val="28"/>
          <w:szCs w:val="28"/>
        </w:rPr>
        <w:t>侧</w:t>
      </w:r>
      <w:r>
        <w:rPr>
          <w:rFonts w:hint="eastAsia" w:ascii="宋体" w:hAnsi="宋体" w:cs="宋体"/>
          <w:spacing w:val="13"/>
          <w:sz w:val="32"/>
          <w:szCs w:val="32"/>
        </w:rPr>
        <w:t>***</w:t>
      </w:r>
      <w:r>
        <w:rPr>
          <w:sz w:val="28"/>
          <w:szCs w:val="28"/>
        </w:rPr>
        <w:t>km处</w:t>
      </w:r>
      <w:r>
        <w:rPr>
          <w:rFonts w:hint="eastAsia"/>
          <w:sz w:val="28"/>
          <w:szCs w:val="28"/>
        </w:rPr>
        <w:t>，阴河是老哈河二级支流，源起于河北省围场县庙子沟，在大庙镇那戈地入境，呈东西向横贯区内中西部，河道平均比降为</w:t>
      </w:r>
      <w:r>
        <w:rPr>
          <w:rFonts w:hint="eastAsia" w:ascii="宋体" w:hAnsi="宋体" w:cs="宋体"/>
          <w:spacing w:val="13"/>
          <w:sz w:val="32"/>
          <w:szCs w:val="32"/>
        </w:rPr>
        <w:t>***</w:t>
      </w:r>
      <w:r>
        <w:rPr>
          <w:rFonts w:hint="eastAsia"/>
          <w:sz w:val="28"/>
          <w:szCs w:val="28"/>
        </w:rPr>
        <w:t>‰，境内河道平均比降为</w:t>
      </w:r>
      <w:r>
        <w:rPr>
          <w:rFonts w:hint="eastAsia" w:ascii="宋体" w:hAnsi="宋体" w:cs="宋体"/>
          <w:spacing w:val="13"/>
          <w:sz w:val="32"/>
          <w:szCs w:val="32"/>
        </w:rPr>
        <w:t>***</w:t>
      </w:r>
      <w:r>
        <w:rPr>
          <w:rFonts w:hint="eastAsia"/>
          <w:sz w:val="28"/>
          <w:szCs w:val="28"/>
        </w:rPr>
        <w:t>‰，境内多年平均径流量</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/s，最大流量为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/d（雨季）。</w:t>
      </w:r>
    </w:p>
    <w:p w14:paraId="138AF036">
      <w:pPr>
        <w:snapToGrid w:val="0"/>
        <w:spacing w:line="360" w:lineRule="auto"/>
        <w:ind w:firstLine="560" w:firstLineChars="200"/>
        <w:rPr>
          <w:sz w:val="28"/>
          <w:szCs w:val="28"/>
        </w:rPr>
      </w:pPr>
      <w:r>
        <w:rPr>
          <w:rFonts w:hint="eastAsia"/>
          <w:sz w:val="28"/>
          <w:szCs w:val="28"/>
        </w:rPr>
        <w:t>矿</w:t>
      </w:r>
      <w:r>
        <w:rPr>
          <w:sz w:val="28"/>
          <w:szCs w:val="28"/>
        </w:rPr>
        <w:t>区内地表无常年性水体存在，地表水系不发育，仅季节性降水部分补给地下水，大部分将通过地表汇集径流方式</w:t>
      </w:r>
      <w:r>
        <w:rPr>
          <w:rFonts w:hint="eastAsia"/>
          <w:sz w:val="28"/>
          <w:szCs w:val="28"/>
        </w:rPr>
        <w:t>流出矿区。</w:t>
      </w:r>
    </w:p>
    <w:p w14:paraId="542E0B5A">
      <w:pPr>
        <w:spacing w:line="360" w:lineRule="auto"/>
        <w:ind w:firstLine="560" w:firstLineChars="200"/>
        <w:rPr>
          <w:sz w:val="28"/>
          <w:szCs w:val="28"/>
        </w:rPr>
      </w:pPr>
      <w:r>
        <w:rPr>
          <w:rFonts w:hint="eastAsia"/>
          <w:sz w:val="28"/>
          <w:szCs w:val="28"/>
        </w:rPr>
        <w:t>根据矿区内施工的地质钻孔水文地质编录工作。揭露的地层岩性为玄武岩，均不含水，根据简易水文地质观测资料显示，在施工钻孔时，孔内未见漏浆严重，另外，通过矿区水文地质测绘资料显示，矿区地貌类型为低山区，现状矿区已形成采坑，岩性为玄武岩，采坑底部最低标高为</w:t>
      </w:r>
      <w:r>
        <w:rPr>
          <w:rFonts w:hint="eastAsia" w:ascii="宋体" w:hAnsi="宋体" w:cs="宋体"/>
          <w:spacing w:val="13"/>
          <w:sz w:val="32"/>
          <w:szCs w:val="32"/>
        </w:rPr>
        <w:t>***</w:t>
      </w:r>
      <w:r>
        <w:rPr>
          <w:rFonts w:hint="eastAsia"/>
          <w:sz w:val="28"/>
          <w:szCs w:val="28"/>
        </w:rPr>
        <w:t>m，亦未见地下水出露。</w:t>
      </w:r>
    </w:p>
    <w:p w14:paraId="05765D55">
      <w:pPr>
        <w:adjustRightInd w:val="0"/>
        <w:snapToGrid w:val="0"/>
        <w:spacing w:line="360" w:lineRule="auto"/>
        <w:ind w:firstLine="560" w:firstLineChars="200"/>
        <w:rPr>
          <w:sz w:val="28"/>
          <w:szCs w:val="28"/>
        </w:rPr>
      </w:pPr>
      <w:r>
        <w:rPr>
          <w:sz w:val="28"/>
          <w:szCs w:val="28"/>
        </w:rPr>
        <w:t>为评价矿区及周边水环境状况，矿山于202</w:t>
      </w:r>
      <w:r>
        <w:rPr>
          <w:rFonts w:hint="eastAsia"/>
          <w:sz w:val="28"/>
          <w:szCs w:val="28"/>
        </w:rPr>
        <w:t>6</w:t>
      </w:r>
      <w:r>
        <w:rPr>
          <w:sz w:val="28"/>
          <w:szCs w:val="28"/>
        </w:rPr>
        <w:t>年</w:t>
      </w:r>
      <w:r>
        <w:rPr>
          <w:rFonts w:hint="eastAsia"/>
          <w:sz w:val="28"/>
          <w:szCs w:val="28"/>
        </w:rPr>
        <w:t>7</w:t>
      </w:r>
      <w:r>
        <w:rPr>
          <w:sz w:val="28"/>
          <w:szCs w:val="28"/>
        </w:rPr>
        <w:t>月</w:t>
      </w:r>
      <w:r>
        <w:rPr>
          <w:rFonts w:hint="eastAsia"/>
          <w:sz w:val="28"/>
          <w:szCs w:val="28"/>
        </w:rPr>
        <w:t>4</w:t>
      </w:r>
      <w:r>
        <w:rPr>
          <w:sz w:val="28"/>
          <w:szCs w:val="28"/>
        </w:rPr>
        <w:t>日矿山委托内蒙古</w:t>
      </w:r>
      <w:r>
        <w:rPr>
          <w:rFonts w:hint="eastAsia"/>
          <w:sz w:val="28"/>
          <w:szCs w:val="28"/>
        </w:rPr>
        <w:t>铭科环境检测有限公司</w:t>
      </w:r>
      <w:r>
        <w:rPr>
          <w:sz w:val="28"/>
          <w:szCs w:val="28"/>
        </w:rPr>
        <w:t>对矿区及周边地下水进行了水质检测。取样位置</w:t>
      </w:r>
      <w:r>
        <w:rPr>
          <w:rFonts w:hint="eastAsia"/>
          <w:sz w:val="28"/>
          <w:szCs w:val="28"/>
        </w:rPr>
        <w:t>为矿山生活用水水源井，</w:t>
      </w:r>
      <w:r>
        <w:rPr>
          <w:sz w:val="28"/>
          <w:szCs w:val="28"/>
        </w:rPr>
        <w:t>水环境检测取样信息表见表2-</w:t>
      </w:r>
      <w:r>
        <w:rPr>
          <w:rFonts w:hint="eastAsia"/>
          <w:sz w:val="28"/>
          <w:szCs w:val="28"/>
        </w:rPr>
        <w:t>20。</w:t>
      </w:r>
    </w:p>
    <w:p w14:paraId="28E72CFE">
      <w:pPr>
        <w:adjustRightInd w:val="0"/>
        <w:snapToGrid w:val="0"/>
        <w:spacing w:line="360" w:lineRule="auto"/>
        <w:ind w:firstLine="560" w:firstLineChars="200"/>
        <w:rPr>
          <w:sz w:val="28"/>
          <w:szCs w:val="28"/>
        </w:rPr>
      </w:pPr>
      <w:r>
        <w:rPr>
          <w:sz w:val="28"/>
          <w:szCs w:val="28"/>
        </w:rPr>
        <w:t>检测标准：地下水执行《地下水质量标准》（GB/T 14848 -2017）中有关要求。</w:t>
      </w:r>
    </w:p>
    <w:p w14:paraId="47B5DF12">
      <w:pPr>
        <w:adjustRightInd w:val="0"/>
        <w:snapToGrid w:val="0"/>
        <w:spacing w:line="360" w:lineRule="auto"/>
        <w:ind w:firstLine="560" w:firstLineChars="200"/>
        <w:rPr>
          <w:sz w:val="28"/>
          <w:szCs w:val="28"/>
        </w:rPr>
      </w:pPr>
      <w:r>
        <w:rPr>
          <w:sz w:val="28"/>
          <w:szCs w:val="28"/>
        </w:rPr>
        <w:t>检测指标的选择：地下水按照《地下水质量标准》（GB/T 14848 -2017）表1中“Ⅲ类”限值有关要求，确定矿区及周边水井地下水监测项目为：pH、色度、</w:t>
      </w:r>
      <w:r>
        <w:rPr>
          <w:rFonts w:hint="eastAsia"/>
          <w:sz w:val="28"/>
          <w:szCs w:val="28"/>
        </w:rPr>
        <w:t>臭和味、</w:t>
      </w:r>
      <w:r>
        <w:rPr>
          <w:sz w:val="28"/>
          <w:szCs w:val="28"/>
        </w:rPr>
        <w:t>浊度、总硬度、溶解性总固体、硫酸盐、氯化物、铁、锰、铜</w:t>
      </w:r>
      <w:r>
        <w:rPr>
          <w:rFonts w:hint="eastAsia"/>
          <w:sz w:val="28"/>
          <w:szCs w:val="28"/>
        </w:rPr>
        <w:t>、</w:t>
      </w:r>
      <w:r>
        <w:rPr>
          <w:sz w:val="28"/>
          <w:szCs w:val="28"/>
        </w:rPr>
        <w:t>锌、铝、挥发酚、阴离子表面活性剂、高锰酸盐指数</w:t>
      </w:r>
      <w:r>
        <w:rPr>
          <w:rFonts w:hint="eastAsia"/>
          <w:sz w:val="28"/>
          <w:szCs w:val="28"/>
        </w:rPr>
        <w:t>（耗氧量）</w:t>
      </w:r>
      <w:r>
        <w:rPr>
          <w:sz w:val="28"/>
          <w:szCs w:val="28"/>
        </w:rPr>
        <w:t>、氨氮、硫化物、钠、镉</w:t>
      </w:r>
      <w:r>
        <w:rPr>
          <w:rFonts w:hint="eastAsia"/>
          <w:sz w:val="28"/>
          <w:szCs w:val="28"/>
        </w:rPr>
        <w:t>、</w:t>
      </w:r>
      <w:r>
        <w:rPr>
          <w:sz w:val="28"/>
          <w:szCs w:val="28"/>
        </w:rPr>
        <w:t>铅、硝酸盐（以N计）、</w:t>
      </w:r>
      <w:r>
        <w:rPr>
          <w:rFonts w:hint="eastAsia"/>
          <w:sz w:val="28"/>
          <w:szCs w:val="28"/>
        </w:rPr>
        <w:t>亚</w:t>
      </w:r>
      <w:r>
        <w:rPr>
          <w:sz w:val="28"/>
          <w:szCs w:val="28"/>
        </w:rPr>
        <w:t>硝酸盐（以N计）、氟化物、</w:t>
      </w:r>
      <w:r>
        <w:rPr>
          <w:rFonts w:hint="eastAsia"/>
          <w:sz w:val="28"/>
          <w:szCs w:val="28"/>
        </w:rPr>
        <w:t>化学需氧量共25项。</w:t>
      </w:r>
    </w:p>
    <w:p w14:paraId="273B845E">
      <w:pPr>
        <w:adjustRightInd w:val="0"/>
        <w:snapToGrid w:val="0"/>
        <w:spacing w:line="360" w:lineRule="auto"/>
        <w:ind w:firstLine="560" w:firstLineChars="200"/>
        <w:rPr>
          <w:sz w:val="28"/>
          <w:szCs w:val="28"/>
        </w:rPr>
      </w:pPr>
      <w:r>
        <w:rPr>
          <w:sz w:val="28"/>
          <w:szCs w:val="28"/>
        </w:rPr>
        <w:t>地下水检测结果见下表2-</w:t>
      </w:r>
      <w:r>
        <w:rPr>
          <w:rFonts w:hint="eastAsia"/>
          <w:sz w:val="28"/>
          <w:szCs w:val="28"/>
        </w:rPr>
        <w:t>21</w:t>
      </w:r>
      <w:r>
        <w:rPr>
          <w:sz w:val="28"/>
          <w:szCs w:val="28"/>
        </w:rPr>
        <w:t>。检测结果表明，</w:t>
      </w:r>
      <w:r>
        <w:rPr>
          <w:rFonts w:hint="eastAsia"/>
          <w:sz w:val="28"/>
          <w:szCs w:val="28"/>
        </w:rPr>
        <w:t>赤峰国富玄武岩矿送检的矿区水样中，化学需氧量无限值不予评价，其余检测指标均符合</w:t>
      </w:r>
      <w:r>
        <w:rPr>
          <w:sz w:val="28"/>
          <w:szCs w:val="28"/>
        </w:rPr>
        <w:t>《地下水质量标准》（GB/T 14848 -2017）表1中“III类”限值有关要求</w:t>
      </w:r>
      <w:r>
        <w:rPr>
          <w:rFonts w:hint="eastAsia"/>
          <w:sz w:val="28"/>
          <w:szCs w:val="28"/>
        </w:rPr>
        <w:t>。</w:t>
      </w:r>
    </w:p>
    <w:p w14:paraId="3151C0EC">
      <w:pPr>
        <w:ind w:firstLine="480" w:firstLineChars="200"/>
        <w:jc w:val="center"/>
        <w:rPr>
          <w:rFonts w:eastAsia="黑体"/>
          <w:sz w:val="24"/>
          <w:szCs w:val="24"/>
        </w:rPr>
      </w:pPr>
      <w:r>
        <w:rPr>
          <w:rFonts w:eastAsia="黑体"/>
          <w:sz w:val="24"/>
          <w:szCs w:val="24"/>
        </w:rPr>
        <w:t>表2-</w:t>
      </w:r>
      <w:r>
        <w:rPr>
          <w:rFonts w:hint="eastAsia" w:eastAsia="黑体"/>
          <w:sz w:val="24"/>
          <w:szCs w:val="24"/>
        </w:rPr>
        <w:t>20</w:t>
      </w:r>
      <w:r>
        <w:rPr>
          <w:rFonts w:eastAsia="黑体"/>
          <w:sz w:val="24"/>
          <w:szCs w:val="24"/>
        </w:rPr>
        <w:t xml:space="preserve">  水质检测取样信息表</w:t>
      </w:r>
    </w:p>
    <w:p w14:paraId="2862EF1C">
      <w:pPr>
        <w:ind w:firstLine="480" w:firstLineChars="200"/>
        <w:jc w:val="center"/>
        <w:rPr>
          <w:rFonts w:eastAsia="黑体"/>
          <w:sz w:val="24"/>
          <w:szCs w:val="24"/>
        </w:rPr>
      </w:pPr>
    </w:p>
    <w:p w14:paraId="767BC2AF">
      <w:pPr>
        <w:spacing w:before="120" w:beforeLines="50"/>
        <w:ind w:firstLine="480" w:firstLineChars="200"/>
        <w:jc w:val="center"/>
        <w:rPr>
          <w:rFonts w:eastAsia="黑体"/>
          <w:sz w:val="24"/>
          <w:szCs w:val="24"/>
        </w:rPr>
      </w:pPr>
      <w:bookmarkStart w:id="78" w:name="_Toc27455"/>
      <w:r>
        <w:rPr>
          <w:rFonts w:eastAsia="黑体"/>
          <w:sz w:val="24"/>
          <w:szCs w:val="24"/>
        </w:rPr>
        <w:t>表2-</w:t>
      </w:r>
      <w:r>
        <w:rPr>
          <w:rFonts w:hint="eastAsia" w:eastAsia="黑体"/>
          <w:sz w:val="24"/>
          <w:szCs w:val="24"/>
        </w:rPr>
        <w:t>21</w:t>
      </w:r>
      <w:r>
        <w:rPr>
          <w:rFonts w:eastAsia="黑体"/>
          <w:sz w:val="24"/>
          <w:szCs w:val="24"/>
        </w:rPr>
        <w:t xml:space="preserve">  矿区水源井地下水检测结果表</w:t>
      </w:r>
    </w:p>
    <w:p w14:paraId="04E8B8A7">
      <w:pPr>
        <w:ind w:firstLine="400" w:firstLineChars="200"/>
        <w:jc w:val="center"/>
        <w:rPr>
          <w:rFonts w:eastAsia="黑体"/>
          <w:sz w:val="20"/>
        </w:rPr>
      </w:pPr>
    </w:p>
    <w:p w14:paraId="6F00828E">
      <w:pPr>
        <w:pStyle w:val="4"/>
        <w:spacing w:before="120" w:beforeLines="50"/>
        <w:rPr>
          <w:rFonts w:ascii="Times New Roman" w:hAnsi="Times New Roman"/>
        </w:rPr>
      </w:pPr>
      <w:r>
        <w:rPr>
          <w:rFonts w:ascii="Times New Roman" w:hAnsi="Times New Roman"/>
        </w:rPr>
        <w:t>第六节  矿区及周边人类重大工程活动</w:t>
      </w:r>
      <w:bookmarkEnd w:id="78"/>
    </w:p>
    <w:p w14:paraId="019D8204">
      <w:pPr>
        <w:adjustRightInd w:val="0"/>
        <w:snapToGrid w:val="0"/>
        <w:spacing w:line="360" w:lineRule="auto"/>
        <w:ind w:firstLine="560" w:firstLineChars="200"/>
        <w:rPr>
          <w:sz w:val="28"/>
          <w:szCs w:val="28"/>
        </w:rPr>
      </w:pPr>
      <w:r>
        <w:rPr>
          <w:sz w:val="28"/>
          <w:szCs w:val="28"/>
        </w:rPr>
        <w:t>经查阅资料</w:t>
      </w:r>
      <w:r>
        <w:rPr>
          <w:rFonts w:hint="eastAsia"/>
          <w:sz w:val="28"/>
          <w:szCs w:val="28"/>
        </w:rPr>
        <w:t>及各有关管理部门出具的文件（见附件）</w:t>
      </w:r>
      <w:r>
        <w:rPr>
          <w:sz w:val="28"/>
          <w:szCs w:val="28"/>
        </w:rPr>
        <w:t>，矿区不涉及《矿产资源法》第二十条规定不得开采矿产资源的地区，</w:t>
      </w:r>
      <w:r>
        <w:rPr>
          <w:rFonts w:hint="eastAsia"/>
          <w:sz w:val="28"/>
          <w:szCs w:val="28"/>
        </w:rPr>
        <w:t>申请采矿权矿区范围内无港口、机场、国防工程设施；无重要工业区、大型水利工程设施、城镇市政工程设施；两侧一定距离以内无铁路、重要公路；没有重要河流、堤坝；没有国家划定的自然保护区、重要风景区，没有国家重点保护的不能移动的历史文物和名胜古迹所在地以及国家规定不得开采矿产资源的其他地区。</w:t>
      </w:r>
    </w:p>
    <w:p w14:paraId="129193D2">
      <w:pPr>
        <w:pStyle w:val="4"/>
        <w:spacing w:before="120" w:beforeLines="50"/>
        <w:rPr>
          <w:rFonts w:ascii="Times New Roman" w:hAnsi="Times New Roman"/>
        </w:rPr>
      </w:pPr>
      <w:bookmarkStart w:id="79" w:name="_Toc26071"/>
      <w:r>
        <w:rPr>
          <w:rFonts w:ascii="Times New Roman" w:hAnsi="Times New Roman"/>
        </w:rPr>
        <w:t>第七节  矿区生态修复工作情况</w:t>
      </w:r>
      <w:bookmarkEnd w:id="79"/>
    </w:p>
    <w:p w14:paraId="75E093E3">
      <w:pPr>
        <w:spacing w:line="360" w:lineRule="auto"/>
        <w:ind w:firstLine="562" w:firstLineChars="200"/>
        <w:outlineLvl w:val="2"/>
        <w:rPr>
          <w:b/>
          <w:bCs/>
          <w:sz w:val="28"/>
          <w:szCs w:val="28"/>
        </w:rPr>
      </w:pPr>
      <w:r>
        <w:rPr>
          <w:b/>
          <w:bCs/>
          <w:sz w:val="28"/>
          <w:szCs w:val="28"/>
        </w:rPr>
        <w:t>一、矿山地质环境治理设计情况</w:t>
      </w:r>
    </w:p>
    <w:p w14:paraId="43966470">
      <w:pPr>
        <w:pStyle w:val="31"/>
        <w:spacing w:line="360" w:lineRule="auto"/>
        <w:ind w:firstLine="560" w:firstLineChars="200"/>
        <w:rPr>
          <w:rFonts w:eastAsia="宋体"/>
          <w:szCs w:val="28"/>
        </w:rPr>
      </w:pPr>
      <w:r>
        <w:rPr>
          <w:rFonts w:eastAsia="宋体"/>
          <w:szCs w:val="28"/>
        </w:rPr>
        <w:t>1、原方案概述</w:t>
      </w:r>
    </w:p>
    <w:p w14:paraId="7B97ED62">
      <w:pPr>
        <w:pStyle w:val="31"/>
        <w:spacing w:line="360" w:lineRule="auto"/>
        <w:ind w:firstLine="560" w:firstLineChars="200"/>
        <w:rPr>
          <w:rFonts w:eastAsia="宋体"/>
          <w:szCs w:val="28"/>
        </w:rPr>
      </w:pPr>
      <w:r>
        <w:rPr>
          <w:rFonts w:eastAsia="宋体"/>
          <w:szCs w:val="28"/>
        </w:rPr>
        <w:t>2017年 6月由内蒙古龙旺地质勘查有限责任公司编制了《内蒙古自治区赤峰市松山区（赤峰国富玄武岩矿）矿山地质环境治理方案》（以下简称《方案》），该方案由2017年9月2日由赤峰市自然资源局（原赤峰市国土资源局）组织了相关专家进行了评审，评审文号为“赤矿治字[2017]030号”。</w:t>
      </w:r>
      <w:r>
        <w:rPr>
          <w:rFonts w:hint="eastAsia"/>
        </w:rPr>
        <w:t xml:space="preserve"> </w:t>
      </w:r>
      <w:r>
        <w:rPr>
          <w:rFonts w:eastAsia="宋体"/>
          <w:szCs w:val="28"/>
        </w:rPr>
        <w:t>矿山总服务年限为</w:t>
      </w:r>
      <w:r>
        <w:rPr>
          <w:rFonts w:hint="eastAsia" w:ascii="宋体" w:hAnsi="宋体" w:cs="宋体"/>
          <w:spacing w:val="13"/>
          <w:sz w:val="32"/>
          <w:szCs w:val="32"/>
        </w:rPr>
        <w:t>***</w:t>
      </w:r>
      <w:r>
        <w:rPr>
          <w:rFonts w:eastAsia="宋体"/>
          <w:szCs w:val="28"/>
        </w:rPr>
        <w:t>年，矿山地质环境后期治理年限为2年，其确定方案适用年限为</w:t>
      </w:r>
      <w:r>
        <w:rPr>
          <w:rFonts w:hint="eastAsia" w:ascii="宋体" w:hAnsi="宋体" w:cs="宋体"/>
          <w:spacing w:val="13"/>
          <w:sz w:val="32"/>
          <w:szCs w:val="32"/>
        </w:rPr>
        <w:t>***</w:t>
      </w:r>
      <w:r>
        <w:rPr>
          <w:rFonts w:eastAsia="宋体"/>
          <w:szCs w:val="28"/>
        </w:rPr>
        <w:t>年，即</w:t>
      </w:r>
      <w:r>
        <w:rPr>
          <w:rFonts w:hint="eastAsia" w:ascii="宋体" w:hAnsi="宋体" w:cs="宋体"/>
          <w:spacing w:val="13"/>
          <w:sz w:val="32"/>
          <w:szCs w:val="32"/>
        </w:rPr>
        <w:t>***</w:t>
      </w:r>
      <w:r>
        <w:rPr>
          <w:rFonts w:eastAsia="宋体"/>
          <w:szCs w:val="28"/>
        </w:rPr>
        <w:t>年</w:t>
      </w:r>
      <w:r>
        <w:rPr>
          <w:rFonts w:hint="eastAsia" w:ascii="宋体" w:hAnsi="宋体" w:cs="宋体"/>
          <w:spacing w:val="13"/>
          <w:sz w:val="32"/>
          <w:szCs w:val="32"/>
        </w:rPr>
        <w:t>***</w:t>
      </w:r>
      <w:r>
        <w:rPr>
          <w:rFonts w:eastAsia="宋体"/>
          <w:szCs w:val="28"/>
        </w:rPr>
        <w:t>月</w:t>
      </w:r>
      <w:r>
        <w:rPr>
          <w:rFonts w:hint="eastAsia" w:ascii="宋体" w:hAnsi="宋体" w:cs="宋体"/>
          <w:spacing w:val="13"/>
          <w:sz w:val="32"/>
          <w:szCs w:val="32"/>
        </w:rPr>
        <w:t>***</w:t>
      </w:r>
      <w:r>
        <w:rPr>
          <w:rFonts w:eastAsia="宋体"/>
          <w:szCs w:val="28"/>
        </w:rPr>
        <w:t>日—</w:t>
      </w:r>
      <w:r>
        <w:rPr>
          <w:rFonts w:hint="eastAsia" w:ascii="宋体" w:hAnsi="宋体" w:cs="宋体"/>
          <w:spacing w:val="13"/>
          <w:sz w:val="32"/>
          <w:szCs w:val="32"/>
        </w:rPr>
        <w:t>***</w:t>
      </w:r>
      <w:r>
        <w:rPr>
          <w:rFonts w:eastAsia="宋体"/>
          <w:szCs w:val="28"/>
        </w:rPr>
        <w:t>年</w:t>
      </w:r>
      <w:r>
        <w:rPr>
          <w:rFonts w:hint="eastAsia" w:ascii="宋体" w:hAnsi="宋体" w:cs="宋体"/>
          <w:spacing w:val="13"/>
          <w:sz w:val="32"/>
          <w:szCs w:val="32"/>
        </w:rPr>
        <w:t>***</w:t>
      </w:r>
      <w:r>
        <w:rPr>
          <w:rFonts w:eastAsia="宋体"/>
          <w:szCs w:val="28"/>
        </w:rPr>
        <w:t>月</w:t>
      </w:r>
      <w:r>
        <w:rPr>
          <w:rFonts w:hint="eastAsia" w:ascii="宋体" w:hAnsi="宋体" w:cs="宋体"/>
          <w:spacing w:val="13"/>
          <w:sz w:val="32"/>
          <w:szCs w:val="32"/>
        </w:rPr>
        <w:t>***</w:t>
      </w:r>
      <w:r>
        <w:rPr>
          <w:rFonts w:eastAsia="宋体"/>
          <w:szCs w:val="28"/>
        </w:rPr>
        <w:t>日。</w:t>
      </w:r>
    </w:p>
    <w:p w14:paraId="0E7ABA7F">
      <w:pPr>
        <w:pStyle w:val="31"/>
        <w:spacing w:line="360" w:lineRule="auto"/>
        <w:ind w:firstLine="560" w:firstLineChars="200"/>
        <w:rPr>
          <w:rFonts w:eastAsia="宋体"/>
          <w:szCs w:val="28"/>
        </w:rPr>
      </w:pPr>
      <w:r>
        <w:rPr>
          <w:rFonts w:eastAsia="宋体"/>
          <w:szCs w:val="28"/>
        </w:rPr>
        <w:t>总体方案工作量及工程进度如表2-</w:t>
      </w:r>
      <w:r>
        <w:rPr>
          <w:rFonts w:hint="eastAsia" w:eastAsia="宋体"/>
          <w:szCs w:val="28"/>
        </w:rPr>
        <w:t>22</w:t>
      </w:r>
      <w:r>
        <w:rPr>
          <w:rFonts w:eastAsia="宋体"/>
          <w:szCs w:val="28"/>
        </w:rPr>
        <w:t>。</w:t>
      </w:r>
    </w:p>
    <w:p w14:paraId="15515136">
      <w:pPr>
        <w:widowControl/>
        <w:adjustRightInd w:val="0"/>
        <w:snapToGrid w:val="0"/>
        <w:ind w:left="3419"/>
        <w:jc w:val="left"/>
        <w:rPr>
          <w:rFonts w:hint="eastAsia" w:ascii="黑体" w:hAnsi="黑体" w:eastAsia="黑体" w:cs="宋体"/>
          <w:spacing w:val="-3"/>
          <w:sz w:val="24"/>
          <w:szCs w:val="24"/>
        </w:rPr>
      </w:pPr>
      <w:r>
        <w:rPr>
          <w:rFonts w:ascii="黑体" w:hAnsi="黑体" w:eastAsia="黑体" w:cs="宋体"/>
          <w:spacing w:val="-3"/>
          <w:sz w:val="24"/>
          <w:szCs w:val="24"/>
        </w:rPr>
        <w:t>表</w:t>
      </w:r>
      <w:r>
        <w:rPr>
          <w:rFonts w:ascii="黑体" w:hAnsi="黑体" w:eastAsia="黑体"/>
          <w:spacing w:val="-3"/>
          <w:sz w:val="24"/>
          <w:szCs w:val="24"/>
        </w:rPr>
        <w:t>2-</w:t>
      </w:r>
      <w:r>
        <w:rPr>
          <w:rFonts w:hint="eastAsia" w:ascii="黑体" w:hAnsi="黑体" w:eastAsia="黑体"/>
          <w:spacing w:val="-3"/>
          <w:sz w:val="24"/>
          <w:szCs w:val="24"/>
        </w:rPr>
        <w:t>22</w:t>
      </w:r>
      <w:r>
        <w:rPr>
          <w:rFonts w:ascii="黑体" w:hAnsi="黑体" w:eastAsia="黑体"/>
          <w:spacing w:val="-3"/>
          <w:sz w:val="24"/>
          <w:szCs w:val="24"/>
        </w:rPr>
        <w:t xml:space="preserve">  </w:t>
      </w:r>
      <w:r>
        <w:rPr>
          <w:rFonts w:ascii="黑体" w:hAnsi="黑体" w:eastAsia="黑体" w:cs="宋体"/>
          <w:spacing w:val="-3"/>
          <w:sz w:val="24"/>
          <w:szCs w:val="24"/>
        </w:rPr>
        <w:t>总体方案工作部署</w:t>
      </w:r>
    </w:p>
    <w:p w14:paraId="6BA54B7F">
      <w:pPr>
        <w:widowControl/>
        <w:adjustRightInd w:val="0"/>
        <w:snapToGrid w:val="0"/>
        <w:jc w:val="center"/>
        <w:rPr>
          <w:rFonts w:ascii="Calibri" w:hAnsi="Calibri"/>
          <w:sz w:val="16"/>
        </w:rPr>
      </w:pPr>
    </w:p>
    <w:p w14:paraId="3F4E40E5">
      <w:pPr>
        <w:spacing w:line="360" w:lineRule="auto"/>
        <w:ind w:firstLine="562" w:firstLineChars="200"/>
        <w:rPr>
          <w:b/>
          <w:bCs/>
          <w:sz w:val="28"/>
          <w:szCs w:val="28"/>
        </w:rPr>
      </w:pPr>
      <w:r>
        <w:rPr>
          <w:b/>
          <w:bCs/>
          <w:sz w:val="28"/>
          <w:szCs w:val="28"/>
        </w:rPr>
        <w:t>主要监测内容如下：</w:t>
      </w:r>
    </w:p>
    <w:p w14:paraId="381C717A">
      <w:pPr>
        <w:spacing w:line="360" w:lineRule="auto"/>
        <w:ind w:firstLine="560" w:firstLineChars="200"/>
        <w:rPr>
          <w:sz w:val="28"/>
          <w:szCs w:val="28"/>
        </w:rPr>
      </w:pPr>
      <w:r>
        <w:rPr>
          <w:sz w:val="28"/>
          <w:szCs w:val="28"/>
        </w:rPr>
        <w:t>（1）</w:t>
      </w:r>
      <w:r>
        <w:rPr>
          <w:rFonts w:hint="eastAsia"/>
          <w:sz w:val="28"/>
          <w:szCs w:val="28"/>
        </w:rPr>
        <w:t>采场边坡</w:t>
      </w:r>
      <w:r>
        <w:rPr>
          <w:sz w:val="28"/>
          <w:szCs w:val="28"/>
        </w:rPr>
        <w:t>监测</w:t>
      </w:r>
    </w:p>
    <w:p w14:paraId="363A1875">
      <w:pPr>
        <w:spacing w:line="360" w:lineRule="auto"/>
        <w:ind w:firstLine="560" w:firstLineChars="200"/>
        <w:rPr>
          <w:sz w:val="28"/>
          <w:szCs w:val="28"/>
        </w:rPr>
      </w:pPr>
      <w:r>
        <w:rPr>
          <w:sz w:val="28"/>
          <w:szCs w:val="28"/>
        </w:rPr>
        <w:t>主要是简易监测，采用人工肉眼巡视监测和全站仪监测相结合的方法，由矿方确定2名专业监测人员，定时对坡体变形情况进行测量、记录和分析。在矿山适当位置，按一定密度设置监控设备，并由专人负责监控、记录和总结汇报。</w:t>
      </w:r>
    </w:p>
    <w:p w14:paraId="6DC910C0">
      <w:pPr>
        <w:spacing w:line="360" w:lineRule="auto"/>
        <w:ind w:firstLine="560" w:firstLineChars="200"/>
        <w:rPr>
          <w:sz w:val="28"/>
          <w:szCs w:val="28"/>
        </w:rPr>
      </w:pPr>
      <w:r>
        <w:rPr>
          <w:sz w:val="28"/>
          <w:szCs w:val="28"/>
        </w:rPr>
        <w:t>岩体边坡顶部水平位移及垂直位移、边坡变形及坡面裂缝等。</w:t>
      </w:r>
    </w:p>
    <w:p w14:paraId="55948431">
      <w:pPr>
        <w:spacing w:line="360" w:lineRule="auto"/>
        <w:ind w:firstLine="560" w:firstLineChars="200"/>
        <w:rPr>
          <w:sz w:val="28"/>
          <w:szCs w:val="28"/>
        </w:rPr>
      </w:pPr>
      <w:r>
        <w:rPr>
          <w:sz w:val="28"/>
          <w:szCs w:val="28"/>
        </w:rPr>
        <w:t>非汛期每月巡查1次，汛期每月巡查6次，险情严重时可加密到每天巡查一次，甚至24小时连续巡查监测。使用全站仪及视频监控设备行全天候监测。</w:t>
      </w:r>
    </w:p>
    <w:p w14:paraId="3DA0421D">
      <w:pPr>
        <w:spacing w:line="360" w:lineRule="auto"/>
        <w:ind w:firstLine="560" w:firstLineChars="200"/>
        <w:rPr>
          <w:sz w:val="28"/>
          <w:szCs w:val="28"/>
        </w:rPr>
      </w:pPr>
      <w:r>
        <w:rPr>
          <w:rFonts w:hint="eastAsia"/>
          <w:sz w:val="28"/>
          <w:szCs w:val="28"/>
        </w:rPr>
        <w:t>露天采场边坡，实际开采过程中，监测点位可根据开采进度进行适当的调整。</w:t>
      </w:r>
    </w:p>
    <w:p w14:paraId="4815251B">
      <w:pPr>
        <w:spacing w:line="360" w:lineRule="auto"/>
        <w:ind w:firstLine="560" w:firstLineChars="200"/>
        <w:rPr>
          <w:sz w:val="28"/>
          <w:szCs w:val="28"/>
        </w:rPr>
      </w:pPr>
      <w:r>
        <w:rPr>
          <w:sz w:val="28"/>
          <w:szCs w:val="28"/>
        </w:rPr>
        <w:t>（2）地形地貌景观及土地资源监测</w:t>
      </w:r>
    </w:p>
    <w:p w14:paraId="6E3D5D17">
      <w:pPr>
        <w:spacing w:line="360" w:lineRule="auto"/>
        <w:ind w:firstLine="560" w:firstLineChars="200"/>
        <w:rPr>
          <w:sz w:val="28"/>
          <w:szCs w:val="28"/>
        </w:rPr>
      </w:pPr>
      <w:r>
        <w:rPr>
          <w:rFonts w:hint="eastAsia"/>
          <w:sz w:val="28"/>
          <w:szCs w:val="28"/>
        </w:rPr>
        <w:t>定期指定专人对矿山开采活动影响地段的地形地貌景观及土地损毁情况进行监测，防止矿山开采乱采乱挖以及废弃物的随意堆放。</w:t>
      </w:r>
    </w:p>
    <w:p w14:paraId="432924DB">
      <w:pPr>
        <w:spacing w:line="360" w:lineRule="auto"/>
        <w:ind w:firstLine="560" w:firstLineChars="200"/>
        <w:rPr>
          <w:sz w:val="28"/>
          <w:szCs w:val="28"/>
        </w:rPr>
      </w:pPr>
      <w:r>
        <w:rPr>
          <w:rFonts w:hint="eastAsia"/>
          <w:sz w:val="28"/>
          <w:szCs w:val="28"/>
        </w:rPr>
        <w:t>监测内容主要为挖损、压占破坏土地资源，影响地形地貌景观情况，随时掌握影响状况，制定相应对策。</w:t>
      </w:r>
    </w:p>
    <w:p w14:paraId="1C77B5CF">
      <w:pPr>
        <w:spacing w:line="360" w:lineRule="auto"/>
        <w:ind w:firstLine="560" w:firstLineChars="200"/>
        <w:rPr>
          <w:sz w:val="28"/>
          <w:szCs w:val="28"/>
        </w:rPr>
      </w:pPr>
      <w:r>
        <w:rPr>
          <w:rFonts w:hint="eastAsia"/>
          <w:sz w:val="28"/>
          <w:szCs w:val="28"/>
        </w:rPr>
        <w:t>监测方法:按监测路线进行监测，监测路线主要沿工程场地边缘布置，路线总长</w:t>
      </w:r>
      <w:r>
        <w:rPr>
          <w:rFonts w:hint="eastAsia" w:ascii="宋体" w:hAnsi="宋体" w:cs="宋体"/>
          <w:spacing w:val="13"/>
          <w:sz w:val="32"/>
          <w:szCs w:val="32"/>
        </w:rPr>
        <w:t>***</w:t>
      </w:r>
      <w:r>
        <w:rPr>
          <w:rFonts w:hint="eastAsia"/>
          <w:sz w:val="28"/>
          <w:szCs w:val="28"/>
        </w:rPr>
        <w:t>m。</w:t>
      </w:r>
    </w:p>
    <w:p w14:paraId="37868E48">
      <w:pPr>
        <w:spacing w:line="360" w:lineRule="auto"/>
        <w:ind w:firstLine="560" w:firstLineChars="200"/>
        <w:rPr>
          <w:sz w:val="28"/>
          <w:szCs w:val="28"/>
        </w:rPr>
      </w:pPr>
      <w:r>
        <w:rPr>
          <w:rFonts w:hint="eastAsia"/>
          <w:sz w:val="28"/>
          <w:szCs w:val="28"/>
        </w:rPr>
        <w:t>2、</w:t>
      </w:r>
      <w:r>
        <w:rPr>
          <w:sz w:val="28"/>
          <w:szCs w:val="28"/>
        </w:rPr>
        <w:t>《202</w:t>
      </w:r>
      <w:r>
        <w:rPr>
          <w:rFonts w:hint="eastAsia"/>
          <w:sz w:val="28"/>
          <w:szCs w:val="28"/>
        </w:rPr>
        <w:t>0</w:t>
      </w:r>
      <w:r>
        <w:rPr>
          <w:sz w:val="28"/>
          <w:szCs w:val="28"/>
        </w:rPr>
        <w:t>年度治理计划书》设计情况</w:t>
      </w:r>
    </w:p>
    <w:p w14:paraId="400D2FF5">
      <w:pPr>
        <w:spacing w:line="360" w:lineRule="auto"/>
        <w:ind w:firstLine="560" w:firstLineChars="200"/>
        <w:rPr>
          <w:sz w:val="28"/>
          <w:szCs w:val="28"/>
        </w:rPr>
      </w:pPr>
      <w:r>
        <w:rPr>
          <w:rFonts w:hint="eastAsia"/>
          <w:sz w:val="28"/>
          <w:szCs w:val="28"/>
        </w:rPr>
        <w:t>（1）对</w:t>
      </w:r>
      <w:r>
        <w:rPr>
          <w:sz w:val="28"/>
          <w:szCs w:val="28"/>
        </w:rPr>
        <w:t>露天采场超采区进行回填垫坡，其取料来源为工业场地废石和，本年度主要设计露天采场北侧</w:t>
      </w:r>
      <w:r>
        <w:rPr>
          <w:rFonts w:hint="eastAsia" w:ascii="宋体" w:hAnsi="宋体" w:cs="宋体"/>
          <w:spacing w:val="13"/>
          <w:sz w:val="32"/>
          <w:szCs w:val="32"/>
        </w:rPr>
        <w:t>***</w:t>
      </w:r>
      <w:r>
        <w:rPr>
          <w:sz w:val="28"/>
          <w:szCs w:val="28"/>
        </w:rPr>
        <w:t>m水平以下区域进行回填垫坡。</w:t>
      </w:r>
    </w:p>
    <w:p w14:paraId="54F58EA3">
      <w:pPr>
        <w:spacing w:line="360" w:lineRule="auto"/>
        <w:ind w:firstLine="560" w:firstLineChars="200"/>
        <w:rPr>
          <w:sz w:val="28"/>
          <w:szCs w:val="28"/>
        </w:rPr>
      </w:pPr>
      <w:r>
        <w:rPr>
          <w:rFonts w:hint="eastAsia"/>
          <w:sz w:val="28"/>
          <w:szCs w:val="28"/>
        </w:rPr>
        <w:t>（2）对</w:t>
      </w:r>
      <w:r>
        <w:rPr>
          <w:sz w:val="28"/>
          <w:szCs w:val="28"/>
        </w:rPr>
        <w:t>民采渣堆</w:t>
      </w:r>
      <w:r>
        <w:rPr>
          <w:rFonts w:hint="eastAsia" w:ascii="宋体" w:hAnsi="宋体" w:cs="宋体"/>
          <w:spacing w:val="13"/>
          <w:sz w:val="32"/>
          <w:szCs w:val="32"/>
        </w:rPr>
        <w:t>***</w:t>
      </w:r>
      <w:r>
        <w:rPr>
          <w:sz w:val="28"/>
          <w:szCs w:val="28"/>
        </w:rPr>
        <w:t>进行覆土及植被恢复</w:t>
      </w:r>
    </w:p>
    <w:p w14:paraId="6B6DEBBD">
      <w:pPr>
        <w:spacing w:line="360" w:lineRule="auto"/>
        <w:ind w:firstLine="560" w:firstLineChars="200"/>
        <w:rPr>
          <w:sz w:val="28"/>
          <w:szCs w:val="28"/>
        </w:rPr>
      </w:pPr>
      <w:r>
        <w:rPr>
          <w:rFonts w:hint="eastAsia"/>
          <w:sz w:val="28"/>
          <w:szCs w:val="28"/>
        </w:rPr>
        <w:t>（3）对</w:t>
      </w:r>
      <w:r>
        <w:rPr>
          <w:sz w:val="28"/>
          <w:szCs w:val="28"/>
        </w:rPr>
        <w:t>取土坑进行回填，然后对场地进行覆土，覆土后对场地进行平整，场地复垦为林地，种植油松</w:t>
      </w:r>
      <w:r>
        <w:rPr>
          <w:rFonts w:hint="eastAsia"/>
          <w:sz w:val="28"/>
          <w:szCs w:val="28"/>
        </w:rPr>
        <w:t>。</w:t>
      </w:r>
    </w:p>
    <w:p w14:paraId="72F99A68">
      <w:pPr>
        <w:spacing w:line="360" w:lineRule="auto"/>
        <w:ind w:firstLine="560" w:firstLineChars="200"/>
        <w:rPr>
          <w:sz w:val="28"/>
          <w:szCs w:val="28"/>
        </w:rPr>
      </w:pPr>
      <w:r>
        <w:rPr>
          <w:rFonts w:hint="eastAsia"/>
          <w:sz w:val="28"/>
          <w:szCs w:val="28"/>
        </w:rPr>
        <w:t>（4）对</w:t>
      </w:r>
      <w:r>
        <w:rPr>
          <w:sz w:val="28"/>
          <w:szCs w:val="28"/>
        </w:rPr>
        <w:t>废渣堆内废石进行清运</w:t>
      </w:r>
      <w:r>
        <w:rPr>
          <w:rFonts w:hint="eastAsia"/>
          <w:sz w:val="28"/>
          <w:szCs w:val="28"/>
        </w:rPr>
        <w:t>，</w:t>
      </w:r>
      <w:r>
        <w:rPr>
          <w:sz w:val="28"/>
          <w:szCs w:val="28"/>
        </w:rPr>
        <w:t>然后对场地进行土方整平、恢复植被、管护</w:t>
      </w:r>
      <w:r>
        <w:rPr>
          <w:rFonts w:hint="eastAsia"/>
          <w:sz w:val="28"/>
          <w:szCs w:val="28"/>
        </w:rPr>
        <w:t>。</w:t>
      </w:r>
    </w:p>
    <w:p w14:paraId="6CA58595">
      <w:pPr>
        <w:spacing w:line="360" w:lineRule="auto"/>
        <w:ind w:firstLine="560" w:firstLineChars="200"/>
        <w:rPr>
          <w:sz w:val="28"/>
          <w:szCs w:val="28"/>
        </w:rPr>
      </w:pPr>
      <w:r>
        <w:rPr>
          <w:rFonts w:hint="eastAsia"/>
          <w:sz w:val="28"/>
          <w:szCs w:val="28"/>
        </w:rPr>
        <w:t>（5）</w:t>
      </w:r>
      <w:r>
        <w:rPr>
          <w:sz w:val="28"/>
          <w:szCs w:val="28"/>
        </w:rPr>
        <w:t>对炸药库场地内建筑进行拆除，拆除物清运至取土坑进行回填，对清运后的炸药库场地进行土方整平，场地复垦为林地，种植油松</w:t>
      </w:r>
      <w:r>
        <w:rPr>
          <w:rFonts w:hint="eastAsia"/>
          <w:sz w:val="28"/>
          <w:szCs w:val="28"/>
        </w:rPr>
        <w:t>。</w:t>
      </w:r>
    </w:p>
    <w:p w14:paraId="2502A46F">
      <w:pPr>
        <w:spacing w:line="360" w:lineRule="auto"/>
        <w:ind w:firstLine="560" w:firstLineChars="200"/>
        <w:rPr>
          <w:sz w:val="28"/>
          <w:szCs w:val="28"/>
        </w:rPr>
      </w:pPr>
      <w:r>
        <w:rPr>
          <w:rFonts w:hint="eastAsia"/>
          <w:sz w:val="28"/>
          <w:szCs w:val="28"/>
        </w:rPr>
        <w:t>3、</w:t>
      </w:r>
      <w:r>
        <w:rPr>
          <w:sz w:val="28"/>
          <w:szCs w:val="28"/>
        </w:rPr>
        <w:t>《202</w:t>
      </w:r>
      <w:r>
        <w:rPr>
          <w:rFonts w:hint="eastAsia"/>
          <w:sz w:val="28"/>
          <w:szCs w:val="28"/>
        </w:rPr>
        <w:t>1</w:t>
      </w:r>
      <w:r>
        <w:rPr>
          <w:sz w:val="28"/>
          <w:szCs w:val="28"/>
        </w:rPr>
        <w:t>年度治理计划书》设计情况</w:t>
      </w:r>
    </w:p>
    <w:p w14:paraId="716B012D">
      <w:pPr>
        <w:spacing w:line="360" w:lineRule="auto"/>
        <w:ind w:firstLine="560" w:firstLineChars="200"/>
        <w:rPr>
          <w:sz w:val="28"/>
          <w:szCs w:val="28"/>
        </w:rPr>
      </w:pPr>
      <w:r>
        <w:rPr>
          <w:sz w:val="28"/>
          <w:szCs w:val="28"/>
        </w:rPr>
        <w:t>2021年度对露天采场场超采区域的北侧、南侧边坡及南侧民采形成的采坑进行治理，对超采区域中部的边坡进行危岩体清除，对工业场地内的废石堆进行清运</w:t>
      </w:r>
      <w:r>
        <w:rPr>
          <w:rFonts w:hint="eastAsia"/>
          <w:sz w:val="28"/>
          <w:szCs w:val="28"/>
        </w:rPr>
        <w:t>。</w:t>
      </w:r>
    </w:p>
    <w:p w14:paraId="311906CC">
      <w:pPr>
        <w:spacing w:line="360" w:lineRule="auto"/>
        <w:ind w:firstLine="560" w:firstLineChars="200"/>
        <w:rPr>
          <w:sz w:val="28"/>
          <w:szCs w:val="28"/>
        </w:rPr>
      </w:pPr>
      <w:r>
        <w:rPr>
          <w:rFonts w:hint="eastAsia"/>
          <w:sz w:val="28"/>
          <w:szCs w:val="28"/>
        </w:rPr>
        <w:t>4、</w:t>
      </w:r>
      <w:r>
        <w:rPr>
          <w:sz w:val="28"/>
          <w:szCs w:val="28"/>
        </w:rPr>
        <w:t>《202</w:t>
      </w:r>
      <w:r>
        <w:rPr>
          <w:rFonts w:hint="eastAsia"/>
          <w:sz w:val="28"/>
          <w:szCs w:val="28"/>
        </w:rPr>
        <w:t>2</w:t>
      </w:r>
      <w:r>
        <w:rPr>
          <w:sz w:val="28"/>
          <w:szCs w:val="28"/>
        </w:rPr>
        <w:t>年度治理计划书》设计情况</w:t>
      </w:r>
    </w:p>
    <w:p w14:paraId="282685DF">
      <w:pPr>
        <w:spacing w:line="360" w:lineRule="auto"/>
        <w:ind w:firstLine="560" w:firstLineChars="200"/>
        <w:rPr>
          <w:sz w:val="28"/>
          <w:szCs w:val="28"/>
        </w:rPr>
      </w:pPr>
      <w:r>
        <w:rPr>
          <w:sz w:val="28"/>
          <w:szCs w:val="28"/>
        </w:rPr>
        <w:t>2022年度对利用废石采场底部边坡进行垫坡，形成一个台阶</w:t>
      </w:r>
      <w:r>
        <w:rPr>
          <w:rFonts w:hint="eastAsia"/>
          <w:sz w:val="28"/>
          <w:szCs w:val="28"/>
        </w:rPr>
        <w:t>。</w:t>
      </w:r>
    </w:p>
    <w:p w14:paraId="68EA739B">
      <w:pPr>
        <w:spacing w:line="360" w:lineRule="auto"/>
        <w:ind w:firstLine="560" w:firstLineChars="200"/>
        <w:rPr>
          <w:sz w:val="28"/>
          <w:szCs w:val="28"/>
        </w:rPr>
      </w:pPr>
      <w:r>
        <w:rPr>
          <w:rFonts w:hint="eastAsia"/>
          <w:sz w:val="28"/>
          <w:szCs w:val="28"/>
        </w:rPr>
        <w:t>5、</w:t>
      </w:r>
      <w:r>
        <w:rPr>
          <w:sz w:val="28"/>
          <w:szCs w:val="28"/>
        </w:rPr>
        <w:t>《202</w:t>
      </w:r>
      <w:r>
        <w:rPr>
          <w:rFonts w:hint="eastAsia"/>
          <w:sz w:val="28"/>
          <w:szCs w:val="28"/>
        </w:rPr>
        <w:t>3</w:t>
      </w:r>
      <w:r>
        <w:rPr>
          <w:sz w:val="28"/>
          <w:szCs w:val="28"/>
        </w:rPr>
        <w:t>年度治理计划书》设计情况</w:t>
      </w:r>
    </w:p>
    <w:p w14:paraId="0561F8F9">
      <w:pPr>
        <w:spacing w:line="360" w:lineRule="auto"/>
        <w:ind w:firstLine="560" w:firstLineChars="200"/>
        <w:rPr>
          <w:sz w:val="28"/>
          <w:szCs w:val="28"/>
        </w:rPr>
      </w:pPr>
      <w:r>
        <w:rPr>
          <w:rFonts w:hint="eastAsia"/>
          <w:sz w:val="28"/>
          <w:szCs w:val="28"/>
        </w:rPr>
        <w:t>（1）对露天采场进行危岩体清理；</w:t>
      </w:r>
    </w:p>
    <w:p w14:paraId="1A991F02">
      <w:pPr>
        <w:spacing w:line="360" w:lineRule="auto"/>
        <w:ind w:firstLine="560" w:firstLineChars="200"/>
        <w:rPr>
          <w:sz w:val="28"/>
          <w:szCs w:val="28"/>
        </w:rPr>
      </w:pPr>
      <w:r>
        <w:rPr>
          <w:rFonts w:hint="eastAsia"/>
          <w:sz w:val="28"/>
          <w:szCs w:val="28"/>
        </w:rPr>
        <w:t>（2）对</w:t>
      </w:r>
      <w:r>
        <w:rPr>
          <w:sz w:val="28"/>
          <w:szCs w:val="28"/>
        </w:rPr>
        <w:t>国富排渣场1原地整形</w:t>
      </w:r>
      <w:r>
        <w:rPr>
          <w:rFonts w:hint="eastAsia"/>
          <w:sz w:val="28"/>
          <w:szCs w:val="28"/>
        </w:rPr>
        <w:t>、</w:t>
      </w:r>
      <w:r>
        <w:rPr>
          <w:sz w:val="28"/>
          <w:szCs w:val="28"/>
        </w:rPr>
        <w:t>覆土</w:t>
      </w:r>
      <w:r>
        <w:rPr>
          <w:rFonts w:hint="eastAsia"/>
          <w:sz w:val="28"/>
          <w:szCs w:val="28"/>
        </w:rPr>
        <w:t>、</w:t>
      </w:r>
      <w:r>
        <w:rPr>
          <w:sz w:val="28"/>
          <w:szCs w:val="28"/>
        </w:rPr>
        <w:t>复垦为草地</w:t>
      </w:r>
      <w:r>
        <w:rPr>
          <w:rFonts w:hint="eastAsia"/>
          <w:sz w:val="28"/>
          <w:szCs w:val="28"/>
        </w:rPr>
        <w:t>；</w:t>
      </w:r>
    </w:p>
    <w:p w14:paraId="7F474C31">
      <w:pPr>
        <w:spacing w:line="360" w:lineRule="auto"/>
        <w:ind w:firstLine="560" w:firstLineChars="200"/>
        <w:rPr>
          <w:sz w:val="28"/>
          <w:szCs w:val="28"/>
        </w:rPr>
      </w:pPr>
      <w:r>
        <w:rPr>
          <w:rFonts w:hint="eastAsia"/>
          <w:sz w:val="28"/>
          <w:szCs w:val="28"/>
        </w:rPr>
        <w:t>（3）对</w:t>
      </w:r>
      <w:r>
        <w:rPr>
          <w:sz w:val="28"/>
          <w:szCs w:val="28"/>
        </w:rPr>
        <w:t>废石堆北侧出入沟回填整平</w:t>
      </w:r>
      <w:r>
        <w:rPr>
          <w:rFonts w:hint="eastAsia"/>
          <w:sz w:val="28"/>
          <w:szCs w:val="28"/>
        </w:rPr>
        <w:t>，</w:t>
      </w:r>
      <w:r>
        <w:rPr>
          <w:sz w:val="28"/>
          <w:szCs w:val="28"/>
        </w:rPr>
        <w:t>覆土</w:t>
      </w:r>
      <w:r>
        <w:rPr>
          <w:rFonts w:hint="eastAsia"/>
          <w:sz w:val="28"/>
          <w:szCs w:val="28"/>
        </w:rPr>
        <w:t>、</w:t>
      </w:r>
      <w:r>
        <w:rPr>
          <w:sz w:val="28"/>
          <w:szCs w:val="28"/>
        </w:rPr>
        <w:t>复垦为草地</w:t>
      </w:r>
      <w:r>
        <w:rPr>
          <w:rFonts w:hint="eastAsia"/>
          <w:sz w:val="28"/>
          <w:szCs w:val="28"/>
        </w:rPr>
        <w:t>；</w:t>
      </w:r>
    </w:p>
    <w:p w14:paraId="6D42E40A">
      <w:pPr>
        <w:spacing w:line="360" w:lineRule="auto"/>
        <w:ind w:firstLine="560" w:firstLineChars="200"/>
        <w:rPr>
          <w:sz w:val="28"/>
          <w:szCs w:val="28"/>
        </w:rPr>
      </w:pPr>
      <w:r>
        <w:rPr>
          <w:rFonts w:hint="eastAsia"/>
          <w:sz w:val="28"/>
          <w:szCs w:val="28"/>
        </w:rPr>
        <w:t>（4）对</w:t>
      </w:r>
      <w:r>
        <w:rPr>
          <w:sz w:val="28"/>
          <w:szCs w:val="28"/>
        </w:rPr>
        <w:t>矿区西侧废弃建筑物（国富碎石加工厂遗留）场地内废弃建筑物两处</w:t>
      </w:r>
      <w:r>
        <w:rPr>
          <w:rFonts w:hint="eastAsia"/>
          <w:sz w:val="28"/>
          <w:szCs w:val="28"/>
        </w:rPr>
        <w:t>进行拆除、</w:t>
      </w:r>
      <w:r>
        <w:rPr>
          <w:sz w:val="28"/>
          <w:szCs w:val="28"/>
        </w:rPr>
        <w:t>利用拆除固废直接垫坡于场地切坡处，</w:t>
      </w:r>
      <w:r>
        <w:rPr>
          <w:rFonts w:hint="eastAsia"/>
          <w:sz w:val="28"/>
          <w:szCs w:val="28"/>
        </w:rPr>
        <w:t>对场地</w:t>
      </w:r>
      <w:r>
        <w:rPr>
          <w:sz w:val="28"/>
          <w:szCs w:val="28"/>
        </w:rPr>
        <w:t>覆土</w:t>
      </w:r>
      <w:r>
        <w:rPr>
          <w:rFonts w:hint="eastAsia"/>
          <w:sz w:val="28"/>
          <w:szCs w:val="28"/>
        </w:rPr>
        <w:t>、</w:t>
      </w:r>
      <w:r>
        <w:rPr>
          <w:sz w:val="28"/>
          <w:szCs w:val="28"/>
        </w:rPr>
        <w:t>复垦为草地</w:t>
      </w:r>
      <w:r>
        <w:rPr>
          <w:rFonts w:hint="eastAsia"/>
          <w:sz w:val="28"/>
          <w:szCs w:val="28"/>
        </w:rPr>
        <w:t>。</w:t>
      </w:r>
    </w:p>
    <w:p w14:paraId="3A3357BB">
      <w:pPr>
        <w:spacing w:line="360" w:lineRule="auto"/>
        <w:ind w:firstLine="560" w:firstLineChars="200"/>
        <w:rPr>
          <w:sz w:val="28"/>
          <w:szCs w:val="28"/>
        </w:rPr>
      </w:pPr>
      <w:r>
        <w:rPr>
          <w:rFonts w:hint="eastAsia"/>
          <w:sz w:val="28"/>
          <w:szCs w:val="28"/>
        </w:rPr>
        <w:t>6、</w:t>
      </w:r>
      <w:r>
        <w:rPr>
          <w:sz w:val="28"/>
          <w:szCs w:val="28"/>
        </w:rPr>
        <w:t>《202</w:t>
      </w:r>
      <w:r>
        <w:rPr>
          <w:rFonts w:hint="eastAsia"/>
          <w:sz w:val="28"/>
          <w:szCs w:val="28"/>
        </w:rPr>
        <w:t>4</w:t>
      </w:r>
      <w:r>
        <w:rPr>
          <w:sz w:val="28"/>
          <w:szCs w:val="28"/>
        </w:rPr>
        <w:t>年度治理计划书》设计情况</w:t>
      </w:r>
    </w:p>
    <w:p w14:paraId="5EB983C3">
      <w:pPr>
        <w:spacing w:line="360" w:lineRule="auto"/>
        <w:ind w:firstLine="560" w:firstLineChars="200"/>
        <w:rPr>
          <w:sz w:val="28"/>
          <w:szCs w:val="28"/>
        </w:rPr>
      </w:pPr>
      <w:r>
        <w:rPr>
          <w:sz w:val="28"/>
          <w:szCs w:val="28"/>
        </w:rPr>
        <w:t>该矿山2024年度矿山地质环境治理计划书设计的治理工程单元为</w:t>
      </w:r>
      <w:r>
        <w:rPr>
          <w:rFonts w:hint="eastAsia"/>
          <w:sz w:val="28"/>
          <w:szCs w:val="28"/>
        </w:rPr>
        <w:t>：</w:t>
      </w:r>
      <w:r>
        <w:rPr>
          <w:sz w:val="28"/>
          <w:szCs w:val="28"/>
        </w:rPr>
        <w:t>对前期治理单元单元进行管护;同时进行地质灾害监测、地形地貌景观监测、土地复垦</w:t>
      </w:r>
      <w:r>
        <w:rPr>
          <w:rFonts w:hint="eastAsia"/>
          <w:sz w:val="28"/>
          <w:szCs w:val="28"/>
        </w:rPr>
        <w:t>监测。</w:t>
      </w:r>
    </w:p>
    <w:p w14:paraId="0E00C016">
      <w:pPr>
        <w:spacing w:line="360" w:lineRule="auto"/>
        <w:ind w:firstLine="560" w:firstLineChars="200"/>
        <w:rPr>
          <w:sz w:val="28"/>
          <w:szCs w:val="28"/>
        </w:rPr>
      </w:pPr>
      <w:r>
        <w:rPr>
          <w:rFonts w:hint="eastAsia"/>
          <w:sz w:val="28"/>
          <w:szCs w:val="28"/>
        </w:rPr>
        <w:t>7、</w:t>
      </w:r>
      <w:r>
        <w:rPr>
          <w:sz w:val="28"/>
          <w:szCs w:val="28"/>
        </w:rPr>
        <w:t>《202</w:t>
      </w:r>
      <w:r>
        <w:rPr>
          <w:rFonts w:hint="eastAsia"/>
          <w:sz w:val="28"/>
          <w:szCs w:val="28"/>
        </w:rPr>
        <w:t>5</w:t>
      </w:r>
      <w:r>
        <w:rPr>
          <w:sz w:val="28"/>
          <w:szCs w:val="28"/>
        </w:rPr>
        <w:t>年度治理计划书》设计情况</w:t>
      </w:r>
    </w:p>
    <w:p w14:paraId="4DD5C337">
      <w:pPr>
        <w:spacing w:line="360" w:lineRule="auto"/>
        <w:ind w:firstLine="560" w:firstLineChars="200"/>
        <w:rPr>
          <w:sz w:val="28"/>
          <w:szCs w:val="28"/>
        </w:rPr>
      </w:pPr>
      <w:r>
        <w:rPr>
          <w:rFonts w:hint="eastAsia"/>
          <w:sz w:val="28"/>
          <w:szCs w:val="28"/>
        </w:rPr>
        <w:t>2025年度计划设计的治理工程为：</w:t>
      </w:r>
    </w:p>
    <w:p w14:paraId="1CAEE9CD">
      <w:pPr>
        <w:spacing w:line="360" w:lineRule="auto"/>
        <w:ind w:firstLine="560" w:firstLineChars="200"/>
        <w:rPr>
          <w:sz w:val="28"/>
          <w:szCs w:val="28"/>
        </w:rPr>
      </w:pPr>
      <w:r>
        <w:rPr>
          <w:rFonts w:hint="eastAsia"/>
          <w:sz w:val="28"/>
          <w:szCs w:val="28"/>
        </w:rPr>
        <w:t>（1）对废石堆3处的部分矿区路段进行完善修整；</w:t>
      </w:r>
    </w:p>
    <w:p w14:paraId="7D4C289F">
      <w:pPr>
        <w:spacing w:line="360" w:lineRule="auto"/>
        <w:ind w:firstLine="560" w:firstLineChars="200"/>
        <w:rPr>
          <w:sz w:val="28"/>
          <w:szCs w:val="28"/>
        </w:rPr>
      </w:pPr>
      <w:r>
        <w:rPr>
          <w:rFonts w:hint="eastAsia"/>
          <w:sz w:val="28"/>
          <w:szCs w:val="28"/>
        </w:rPr>
        <w:t>（2）对矿区及周边的植被进行管护；</w:t>
      </w:r>
    </w:p>
    <w:p w14:paraId="6DBF6314">
      <w:pPr>
        <w:spacing w:line="360" w:lineRule="auto"/>
        <w:ind w:firstLine="560" w:firstLineChars="200"/>
        <w:rPr>
          <w:sz w:val="28"/>
          <w:szCs w:val="28"/>
        </w:rPr>
      </w:pPr>
      <w:r>
        <w:rPr>
          <w:rFonts w:hint="eastAsia"/>
          <w:sz w:val="28"/>
          <w:szCs w:val="28"/>
        </w:rPr>
        <w:t>（3）开展矿山地质环境监测。</w:t>
      </w:r>
    </w:p>
    <w:p w14:paraId="6248F844">
      <w:pPr>
        <w:spacing w:line="360" w:lineRule="auto"/>
        <w:ind w:firstLine="560" w:firstLineChars="200"/>
        <w:rPr>
          <w:sz w:val="28"/>
          <w:szCs w:val="28"/>
        </w:rPr>
      </w:pPr>
      <w:r>
        <w:rPr>
          <w:rFonts w:hint="eastAsia"/>
          <w:sz w:val="28"/>
          <w:szCs w:val="28"/>
        </w:rPr>
        <w:t>8、</w:t>
      </w:r>
      <w:r>
        <w:rPr>
          <w:sz w:val="28"/>
          <w:szCs w:val="28"/>
        </w:rPr>
        <w:t>《202</w:t>
      </w:r>
      <w:r>
        <w:rPr>
          <w:rFonts w:hint="eastAsia"/>
          <w:sz w:val="28"/>
          <w:szCs w:val="28"/>
        </w:rPr>
        <w:t>6</w:t>
      </w:r>
      <w:r>
        <w:rPr>
          <w:sz w:val="28"/>
          <w:szCs w:val="28"/>
        </w:rPr>
        <w:t>年度治理计划书》设计情况</w:t>
      </w:r>
    </w:p>
    <w:p w14:paraId="2469283D">
      <w:pPr>
        <w:spacing w:line="360" w:lineRule="auto"/>
        <w:ind w:firstLine="560" w:firstLineChars="200"/>
        <w:rPr>
          <w:sz w:val="28"/>
          <w:szCs w:val="28"/>
        </w:rPr>
      </w:pPr>
      <w:r>
        <w:rPr>
          <w:rFonts w:hint="eastAsia"/>
          <w:sz w:val="28"/>
          <w:szCs w:val="28"/>
        </w:rPr>
        <w:t>2026年度计划设计的治理工程为：</w:t>
      </w:r>
    </w:p>
    <w:p w14:paraId="71397656">
      <w:pPr>
        <w:spacing w:line="360" w:lineRule="auto"/>
        <w:ind w:firstLine="560" w:firstLineChars="200"/>
        <w:rPr>
          <w:sz w:val="28"/>
          <w:szCs w:val="28"/>
        </w:rPr>
      </w:pPr>
      <w:r>
        <w:rPr>
          <w:rFonts w:hint="eastAsia"/>
          <w:sz w:val="28"/>
          <w:szCs w:val="28"/>
        </w:rPr>
        <w:t>（1）对矿区的地质灾害、地形地貌景观进行监测；</w:t>
      </w:r>
    </w:p>
    <w:p w14:paraId="447DBAB3">
      <w:pPr>
        <w:spacing w:line="360" w:lineRule="auto"/>
        <w:ind w:firstLine="560" w:firstLineChars="200"/>
        <w:rPr>
          <w:sz w:val="28"/>
          <w:szCs w:val="28"/>
        </w:rPr>
      </w:pPr>
      <w:r>
        <w:rPr>
          <w:rFonts w:hint="eastAsia"/>
          <w:sz w:val="28"/>
          <w:szCs w:val="28"/>
        </w:rPr>
        <w:t>（2）对矿区及周边的植被进行管护。</w:t>
      </w:r>
    </w:p>
    <w:p w14:paraId="26704FCD">
      <w:pPr>
        <w:spacing w:line="360" w:lineRule="auto"/>
        <w:ind w:firstLine="560" w:firstLineChars="200"/>
        <w:rPr>
          <w:sz w:val="28"/>
          <w:szCs w:val="28"/>
        </w:rPr>
      </w:pPr>
      <w:r>
        <w:rPr>
          <w:rFonts w:hint="eastAsia"/>
          <w:sz w:val="28"/>
          <w:szCs w:val="28"/>
        </w:rPr>
        <w:t>（3）完善前期治理区：对废石堆3处的部分矿区路段进行完善休整。</w:t>
      </w:r>
    </w:p>
    <w:p w14:paraId="3DB23F18">
      <w:pPr>
        <w:spacing w:line="360" w:lineRule="auto"/>
        <w:ind w:firstLine="562" w:firstLineChars="200"/>
        <w:outlineLvl w:val="2"/>
        <w:rPr>
          <w:szCs w:val="28"/>
        </w:rPr>
      </w:pPr>
      <w:r>
        <w:rPr>
          <w:b/>
          <w:bCs/>
          <w:sz w:val="28"/>
          <w:szCs w:val="28"/>
        </w:rPr>
        <w:t>二、矿山地质环境执行验收情况</w:t>
      </w:r>
    </w:p>
    <w:p w14:paraId="7A2B4A77">
      <w:pPr>
        <w:pStyle w:val="31"/>
        <w:spacing w:line="360" w:lineRule="auto"/>
        <w:ind w:firstLine="560" w:firstLineChars="200"/>
        <w:rPr>
          <w:rFonts w:eastAsia="宋体"/>
          <w:szCs w:val="28"/>
        </w:rPr>
      </w:pPr>
      <w:r>
        <w:rPr>
          <w:rFonts w:eastAsia="宋体"/>
          <w:szCs w:val="28"/>
        </w:rPr>
        <w:t>1、《原治理方案》执行情况</w:t>
      </w:r>
    </w:p>
    <w:p w14:paraId="69D4B3C2">
      <w:pPr>
        <w:pStyle w:val="31"/>
        <w:spacing w:line="360" w:lineRule="auto"/>
        <w:ind w:firstLine="560" w:firstLineChars="200"/>
        <w:rPr>
          <w:rFonts w:eastAsia="宋体"/>
          <w:szCs w:val="28"/>
        </w:rPr>
      </w:pPr>
      <w:r>
        <w:rPr>
          <w:rFonts w:hint="eastAsia" w:eastAsia="宋体"/>
          <w:szCs w:val="28"/>
        </w:rPr>
        <w:t>对于《原治理方案》设计治理内容，方案适用年限（近期）设计工作量已分解至分期治理、2020-2023年度治理计划中，</w:t>
      </w:r>
    </w:p>
    <w:p w14:paraId="2001157C">
      <w:pPr>
        <w:pStyle w:val="31"/>
        <w:spacing w:line="360" w:lineRule="auto"/>
        <w:ind w:firstLine="560" w:firstLineChars="200"/>
        <w:rPr>
          <w:rFonts w:eastAsia="宋体"/>
          <w:szCs w:val="28"/>
        </w:rPr>
      </w:pPr>
      <w:r>
        <w:rPr>
          <w:rFonts w:hint="eastAsia" w:eastAsia="宋体"/>
          <w:szCs w:val="28"/>
        </w:rPr>
        <w:t>矿山通过分期治理</w:t>
      </w:r>
      <w:r>
        <w:rPr>
          <w:rFonts w:eastAsia="宋体"/>
          <w:szCs w:val="28"/>
        </w:rPr>
        <w:t>对矿区北部的民采区域进行了治理，其形成的废弃采坑进行了回填，边坡进行了整形；废石堆等区域边坡进行整形、覆土及植被恢复；中部露天开采区域工业场地内废石进行了部分清理、场地进行了整平、露天采场超采区进行了部分回填，累计投入资金近</w:t>
      </w:r>
      <w:r>
        <w:rPr>
          <w:rFonts w:hint="eastAsia" w:ascii="宋体" w:hAnsi="宋体" w:cs="宋体"/>
          <w:spacing w:val="13"/>
          <w:sz w:val="32"/>
          <w:szCs w:val="32"/>
        </w:rPr>
        <w:t>***</w:t>
      </w:r>
      <w:r>
        <w:rPr>
          <w:rFonts w:eastAsia="宋体"/>
          <w:szCs w:val="28"/>
        </w:rPr>
        <w:t>万元。</w:t>
      </w:r>
    </w:p>
    <w:p w14:paraId="64A20120">
      <w:pPr>
        <w:pStyle w:val="31"/>
        <w:jc w:val="center"/>
        <w:rPr>
          <w:rFonts w:eastAsia="宋体"/>
          <w:szCs w:val="28"/>
        </w:rPr>
      </w:pPr>
    </w:p>
    <w:p w14:paraId="3612029D">
      <w:pPr>
        <w:pStyle w:val="31"/>
        <w:spacing w:line="360" w:lineRule="auto"/>
        <w:ind w:firstLine="480" w:firstLineChars="200"/>
        <w:jc w:val="center"/>
        <w:rPr>
          <w:rFonts w:hint="eastAsia" w:ascii="黑体" w:hAnsi="黑体" w:eastAsia="黑体"/>
          <w:sz w:val="24"/>
          <w:szCs w:val="24"/>
        </w:rPr>
      </w:pPr>
      <w:r>
        <w:rPr>
          <w:rFonts w:ascii="黑体" w:hAnsi="黑体" w:eastAsia="黑体"/>
          <w:sz w:val="24"/>
          <w:szCs w:val="24"/>
        </w:rPr>
        <w:t>照片2-</w:t>
      </w:r>
      <w:r>
        <w:rPr>
          <w:rFonts w:hint="eastAsia" w:ascii="黑体" w:hAnsi="黑体" w:eastAsia="黑体"/>
          <w:sz w:val="24"/>
          <w:szCs w:val="24"/>
        </w:rPr>
        <w:t>4</w:t>
      </w:r>
      <w:r>
        <w:rPr>
          <w:rFonts w:ascii="黑体" w:hAnsi="黑体" w:eastAsia="黑体"/>
          <w:sz w:val="24"/>
          <w:szCs w:val="24"/>
        </w:rPr>
        <w:t xml:space="preserve">    露天采场超采区域回填</w:t>
      </w:r>
    </w:p>
    <w:p w14:paraId="6BFB20A4">
      <w:pPr>
        <w:pStyle w:val="31"/>
        <w:jc w:val="center"/>
        <w:rPr>
          <w:rFonts w:hint="eastAsia" w:ascii="黑体" w:hAnsi="黑体" w:eastAsia="黑体"/>
          <w:sz w:val="24"/>
          <w:szCs w:val="24"/>
        </w:rPr>
      </w:pPr>
    </w:p>
    <w:p w14:paraId="1C202B17">
      <w:pPr>
        <w:pStyle w:val="31"/>
        <w:spacing w:line="360" w:lineRule="auto"/>
        <w:ind w:firstLine="480" w:firstLineChars="200"/>
        <w:jc w:val="center"/>
        <w:rPr>
          <w:rFonts w:hint="eastAsia" w:ascii="黑体" w:hAnsi="黑体" w:eastAsia="黑体"/>
          <w:sz w:val="24"/>
          <w:szCs w:val="24"/>
        </w:rPr>
      </w:pPr>
      <w:r>
        <w:rPr>
          <w:rFonts w:ascii="黑体" w:hAnsi="黑体" w:eastAsia="黑体"/>
          <w:sz w:val="24"/>
          <w:szCs w:val="24"/>
        </w:rPr>
        <w:t>照片2-</w:t>
      </w:r>
      <w:r>
        <w:rPr>
          <w:rFonts w:hint="eastAsia" w:ascii="黑体" w:hAnsi="黑体" w:eastAsia="黑体"/>
          <w:sz w:val="24"/>
          <w:szCs w:val="24"/>
        </w:rPr>
        <w:t>5</w:t>
      </w:r>
      <w:r>
        <w:rPr>
          <w:rFonts w:ascii="黑体" w:hAnsi="黑体" w:eastAsia="黑体"/>
          <w:sz w:val="24"/>
          <w:szCs w:val="24"/>
        </w:rPr>
        <w:t xml:space="preserve">    民采区废石堆植被恢复 1</w:t>
      </w:r>
    </w:p>
    <w:p w14:paraId="1921E068">
      <w:pPr>
        <w:pStyle w:val="31"/>
        <w:jc w:val="center"/>
        <w:rPr>
          <w:rFonts w:hint="eastAsia" w:ascii="黑体" w:hAnsi="黑体" w:eastAsia="黑体"/>
          <w:sz w:val="24"/>
          <w:szCs w:val="24"/>
        </w:rPr>
      </w:pPr>
    </w:p>
    <w:p w14:paraId="43AAC175">
      <w:pPr>
        <w:pStyle w:val="31"/>
        <w:spacing w:line="360" w:lineRule="auto"/>
        <w:ind w:firstLine="480" w:firstLineChars="200"/>
        <w:jc w:val="center"/>
        <w:rPr>
          <w:rFonts w:hint="eastAsia" w:ascii="黑体" w:hAnsi="黑体" w:eastAsia="黑体"/>
          <w:sz w:val="24"/>
          <w:szCs w:val="24"/>
        </w:rPr>
      </w:pPr>
      <w:r>
        <w:rPr>
          <w:rFonts w:ascii="黑体" w:hAnsi="黑体" w:eastAsia="黑体"/>
          <w:sz w:val="24"/>
          <w:szCs w:val="24"/>
        </w:rPr>
        <w:t>照片2-</w:t>
      </w:r>
      <w:r>
        <w:rPr>
          <w:rFonts w:hint="eastAsia" w:ascii="黑体" w:hAnsi="黑体" w:eastAsia="黑体"/>
          <w:sz w:val="24"/>
          <w:szCs w:val="24"/>
        </w:rPr>
        <w:t>6</w:t>
      </w:r>
      <w:r>
        <w:rPr>
          <w:rFonts w:ascii="黑体" w:hAnsi="黑体" w:eastAsia="黑体"/>
          <w:sz w:val="24"/>
          <w:szCs w:val="24"/>
        </w:rPr>
        <w:t xml:space="preserve">    民采区废石堆植被恢复 2</w:t>
      </w:r>
    </w:p>
    <w:p w14:paraId="08CC90E1">
      <w:pPr>
        <w:pStyle w:val="31"/>
        <w:spacing w:line="360" w:lineRule="auto"/>
        <w:ind w:firstLine="560" w:firstLineChars="200"/>
        <w:rPr>
          <w:rFonts w:eastAsia="宋体"/>
          <w:szCs w:val="28"/>
        </w:rPr>
      </w:pPr>
      <w:r>
        <w:rPr>
          <w:rFonts w:hint="eastAsia" w:eastAsia="宋体"/>
          <w:szCs w:val="28"/>
        </w:rPr>
        <w:t>2、</w:t>
      </w:r>
      <w:r>
        <w:rPr>
          <w:rFonts w:eastAsia="宋体"/>
          <w:szCs w:val="28"/>
        </w:rPr>
        <w:t>《2020年度治理计划书》</w:t>
      </w:r>
      <w:r>
        <w:rPr>
          <w:rFonts w:hint="eastAsia" w:eastAsia="宋体"/>
          <w:szCs w:val="28"/>
        </w:rPr>
        <w:t>执行</w:t>
      </w:r>
      <w:r>
        <w:rPr>
          <w:rFonts w:eastAsia="宋体"/>
          <w:szCs w:val="28"/>
        </w:rPr>
        <w:t>情况</w:t>
      </w:r>
    </w:p>
    <w:p w14:paraId="2ADEC661">
      <w:pPr>
        <w:pStyle w:val="31"/>
        <w:spacing w:line="360" w:lineRule="auto"/>
        <w:ind w:firstLine="560" w:firstLineChars="200"/>
        <w:rPr>
          <w:rFonts w:eastAsia="宋体"/>
          <w:szCs w:val="28"/>
        </w:rPr>
      </w:pPr>
      <w:r>
        <w:rPr>
          <w:rFonts w:eastAsia="宋体"/>
          <w:szCs w:val="28"/>
        </w:rPr>
        <w:t>矿山2020年完成治理面积为</w:t>
      </w:r>
      <w:r>
        <w:rPr>
          <w:rFonts w:hint="eastAsia" w:ascii="宋体" w:hAnsi="宋体" w:cs="宋体"/>
          <w:spacing w:val="13"/>
          <w:sz w:val="32"/>
          <w:szCs w:val="32"/>
        </w:rPr>
        <w:t>***</w:t>
      </w:r>
      <w:r>
        <w:rPr>
          <w:rFonts w:eastAsia="宋体"/>
          <w:szCs w:val="28"/>
        </w:rPr>
        <w:t>m</w:t>
      </w:r>
      <w:r>
        <w:rPr>
          <w:rFonts w:eastAsia="宋体"/>
          <w:szCs w:val="28"/>
          <w:vertAlign w:val="superscript"/>
        </w:rPr>
        <w:t>2</w:t>
      </w:r>
      <w:r>
        <w:rPr>
          <w:rFonts w:eastAsia="宋体"/>
          <w:szCs w:val="28"/>
        </w:rPr>
        <w:t>，地质灾害治理防治面积</w:t>
      </w:r>
      <w:r>
        <w:rPr>
          <w:rFonts w:hint="eastAsia" w:ascii="宋体" w:hAnsi="宋体" w:cs="宋体"/>
          <w:spacing w:val="13"/>
          <w:sz w:val="32"/>
          <w:szCs w:val="32"/>
        </w:rPr>
        <w:t>***</w:t>
      </w:r>
      <w:r>
        <w:rPr>
          <w:rFonts w:eastAsia="宋体"/>
          <w:szCs w:val="28"/>
        </w:rPr>
        <w:t>m</w:t>
      </w:r>
      <w:r>
        <w:rPr>
          <w:rFonts w:eastAsia="宋体"/>
          <w:szCs w:val="28"/>
          <w:vertAlign w:val="superscript"/>
        </w:rPr>
        <w:t>2</w:t>
      </w:r>
      <w:r>
        <w:rPr>
          <w:rFonts w:eastAsia="宋体"/>
          <w:szCs w:val="28"/>
        </w:rPr>
        <w:t>，复垦人工牧草地面积</w:t>
      </w:r>
      <w:r>
        <w:rPr>
          <w:rFonts w:hint="eastAsia" w:ascii="宋体" w:hAnsi="宋体" w:cs="宋体"/>
          <w:spacing w:val="13"/>
          <w:sz w:val="32"/>
          <w:szCs w:val="32"/>
        </w:rPr>
        <w:t>***</w:t>
      </w:r>
      <w:r>
        <w:rPr>
          <w:rFonts w:eastAsia="宋体"/>
          <w:szCs w:val="28"/>
        </w:rPr>
        <w:t>m</w:t>
      </w:r>
      <w:r>
        <w:rPr>
          <w:rFonts w:eastAsia="宋体"/>
          <w:szCs w:val="28"/>
          <w:vertAlign w:val="superscript"/>
        </w:rPr>
        <w:t>2</w:t>
      </w:r>
      <w:r>
        <w:rPr>
          <w:rFonts w:eastAsia="宋体"/>
          <w:szCs w:val="28"/>
        </w:rPr>
        <w:t>，复垦有林地面积</w:t>
      </w:r>
      <w:r>
        <w:rPr>
          <w:rFonts w:hint="eastAsia" w:ascii="宋体" w:hAnsi="宋体" w:cs="宋体"/>
          <w:spacing w:val="13"/>
          <w:sz w:val="32"/>
          <w:szCs w:val="32"/>
        </w:rPr>
        <w:t>***</w:t>
      </w:r>
      <w:r>
        <w:rPr>
          <w:rFonts w:eastAsia="宋体"/>
          <w:szCs w:val="28"/>
        </w:rPr>
        <w:t>m</w:t>
      </w:r>
      <w:r>
        <w:rPr>
          <w:rFonts w:eastAsia="宋体"/>
          <w:szCs w:val="28"/>
          <w:vertAlign w:val="superscript"/>
        </w:rPr>
        <w:t>2</w:t>
      </w:r>
      <w:r>
        <w:rPr>
          <w:rFonts w:eastAsia="宋体"/>
          <w:szCs w:val="28"/>
        </w:rPr>
        <w:t>，已基本完成当年年度计划。</w:t>
      </w:r>
    </w:p>
    <w:p w14:paraId="3F6D4B62">
      <w:pPr>
        <w:pStyle w:val="31"/>
        <w:spacing w:line="360" w:lineRule="auto"/>
        <w:ind w:firstLine="560" w:firstLineChars="200"/>
        <w:rPr>
          <w:rFonts w:eastAsia="宋体"/>
          <w:szCs w:val="28"/>
        </w:rPr>
      </w:pPr>
      <w:r>
        <w:rPr>
          <w:rFonts w:eastAsia="宋体"/>
          <w:szCs w:val="28"/>
        </w:rPr>
        <w:t>2021年8月28日取得了《内蒙古自治区矿山地质环境治理工程现场核查意见书》，核查结论为</w:t>
      </w:r>
      <w:r>
        <w:rPr>
          <w:rFonts w:hint="eastAsia" w:eastAsia="宋体"/>
          <w:szCs w:val="28"/>
        </w:rPr>
        <w:t>：</w:t>
      </w:r>
      <w:r>
        <w:rPr>
          <w:rFonts w:eastAsia="宋体"/>
          <w:szCs w:val="28"/>
        </w:rPr>
        <w:t>现场核查，矿山对露天采场超采区回填、垫坡工程；对民采渣堆4补植、补栽；对取土坑进行回填、平整、覆土、栽树；对废石渣堆进行土方整平、栽树；对炸药库场地进行土方平整、栽树。矿山完成了计划书设计的工程量，其治理效果基本符合年度治理计划书的要求。</w:t>
      </w:r>
    </w:p>
    <w:p w14:paraId="5EF1C7C4">
      <w:pPr>
        <w:pStyle w:val="31"/>
        <w:spacing w:line="360" w:lineRule="auto"/>
        <w:ind w:firstLine="480" w:firstLineChars="200"/>
        <w:jc w:val="center"/>
        <w:rPr>
          <w:rFonts w:hint="eastAsia" w:ascii="黑体" w:hAnsi="黑体" w:eastAsia="黑体"/>
          <w:sz w:val="24"/>
          <w:szCs w:val="24"/>
        </w:rPr>
      </w:pPr>
      <w:r>
        <w:rPr>
          <w:rFonts w:ascii="黑体" w:hAnsi="黑体" w:eastAsia="黑体"/>
          <w:sz w:val="24"/>
          <w:szCs w:val="24"/>
        </w:rPr>
        <w:t>照片2-</w:t>
      </w:r>
      <w:r>
        <w:rPr>
          <w:rFonts w:hint="eastAsia" w:ascii="黑体" w:hAnsi="黑体" w:eastAsia="黑体"/>
          <w:sz w:val="24"/>
          <w:szCs w:val="24"/>
        </w:rPr>
        <w:t>7</w:t>
      </w:r>
      <w:r>
        <w:rPr>
          <w:rFonts w:ascii="黑体" w:hAnsi="黑体" w:eastAsia="黑体"/>
          <w:sz w:val="24"/>
          <w:szCs w:val="24"/>
        </w:rPr>
        <w:t xml:space="preserve">    </w:t>
      </w:r>
      <w:r>
        <w:rPr>
          <w:rFonts w:hint="eastAsia" w:ascii="黑体" w:hAnsi="黑体" w:eastAsia="黑体"/>
          <w:sz w:val="24"/>
          <w:szCs w:val="24"/>
        </w:rPr>
        <w:t>植被补种效果</w:t>
      </w:r>
    </w:p>
    <w:p w14:paraId="7C8989E2">
      <w:pPr>
        <w:pStyle w:val="31"/>
        <w:spacing w:line="360" w:lineRule="auto"/>
        <w:ind w:firstLine="560" w:firstLineChars="200"/>
        <w:rPr>
          <w:rFonts w:eastAsia="宋体"/>
          <w:szCs w:val="28"/>
        </w:rPr>
      </w:pPr>
      <w:r>
        <w:rPr>
          <w:rFonts w:hint="eastAsia" w:eastAsia="宋体"/>
          <w:szCs w:val="28"/>
        </w:rPr>
        <w:t>3、</w:t>
      </w:r>
      <w:r>
        <w:rPr>
          <w:rFonts w:eastAsia="宋体"/>
          <w:szCs w:val="28"/>
        </w:rPr>
        <w:t>《202</w:t>
      </w:r>
      <w:r>
        <w:rPr>
          <w:rFonts w:hint="eastAsia" w:eastAsia="宋体"/>
          <w:szCs w:val="28"/>
        </w:rPr>
        <w:t>1</w:t>
      </w:r>
      <w:r>
        <w:rPr>
          <w:rFonts w:eastAsia="宋体"/>
          <w:szCs w:val="28"/>
        </w:rPr>
        <w:t>年度治理计划书》</w:t>
      </w:r>
      <w:r>
        <w:rPr>
          <w:rFonts w:hint="eastAsia" w:eastAsia="宋体"/>
          <w:szCs w:val="28"/>
        </w:rPr>
        <w:t>执行</w:t>
      </w:r>
      <w:r>
        <w:rPr>
          <w:rFonts w:eastAsia="宋体"/>
          <w:szCs w:val="28"/>
        </w:rPr>
        <w:t>情况</w:t>
      </w:r>
    </w:p>
    <w:p w14:paraId="437BA195">
      <w:pPr>
        <w:pStyle w:val="31"/>
        <w:spacing w:line="360" w:lineRule="auto"/>
        <w:ind w:firstLine="560" w:firstLineChars="200"/>
        <w:rPr>
          <w:rFonts w:eastAsia="宋体"/>
          <w:szCs w:val="28"/>
        </w:rPr>
      </w:pPr>
      <w:r>
        <w:rPr>
          <w:rFonts w:eastAsia="宋体"/>
          <w:szCs w:val="28"/>
        </w:rPr>
        <w:t>矿山2021年度对南侧民采露天采坑进行了回填，对废石堆进行了清运，治理效果见照片2-</w:t>
      </w:r>
      <w:r>
        <w:rPr>
          <w:rFonts w:hint="eastAsia" w:eastAsia="宋体"/>
          <w:szCs w:val="28"/>
        </w:rPr>
        <w:t>8</w:t>
      </w:r>
      <w:r>
        <w:rPr>
          <w:rFonts w:eastAsia="宋体"/>
          <w:szCs w:val="28"/>
        </w:rPr>
        <w:t>。</w:t>
      </w:r>
    </w:p>
    <w:p w14:paraId="78F29BFB">
      <w:pPr>
        <w:pStyle w:val="31"/>
        <w:spacing w:line="360" w:lineRule="auto"/>
        <w:ind w:firstLine="560" w:firstLineChars="200"/>
        <w:rPr>
          <w:rFonts w:eastAsia="宋体"/>
          <w:szCs w:val="28"/>
        </w:rPr>
      </w:pPr>
      <w:r>
        <w:rPr>
          <w:rFonts w:eastAsia="宋体"/>
          <w:szCs w:val="28"/>
        </w:rPr>
        <w:t>于2022年3月25日取得了《内蒙古自治区矿山地质环境治理工程</w:t>
      </w:r>
      <w:r>
        <w:rPr>
          <w:rFonts w:hint="eastAsia" w:eastAsia="宋体"/>
          <w:szCs w:val="28"/>
        </w:rPr>
        <w:t>2021年度</w:t>
      </w:r>
      <w:r>
        <w:rPr>
          <w:rFonts w:eastAsia="宋体"/>
          <w:szCs w:val="28"/>
        </w:rPr>
        <w:t>现场核查意见书》，核查结论为</w:t>
      </w:r>
      <w:r>
        <w:rPr>
          <w:rFonts w:hint="eastAsia" w:eastAsia="宋体"/>
          <w:szCs w:val="28"/>
        </w:rPr>
        <w:t>：</w:t>
      </w:r>
      <w:r>
        <w:rPr>
          <w:rFonts w:eastAsia="宋体"/>
          <w:szCs w:val="28"/>
        </w:rPr>
        <w:t>现场核查，矿山已完成对北侧露天采场超采地段分2个水平进行垫坡、整形；对南侧露天采场超采部分地段进行垫坡、整形；对南侧民采露天采坑进行行了垫坡、整形；对废石渣堆1、废渣堆2、废渣堆3进行清运；对中部露天采场超采边坡进行了危岩体清理。矿山完成了计划书设计的主要工程理与治理工程效果基本符合年度治理计划书的要求。</w:t>
      </w:r>
    </w:p>
    <w:p w14:paraId="0E56D7A2">
      <w:pPr>
        <w:pStyle w:val="31"/>
        <w:spacing w:line="360" w:lineRule="auto"/>
        <w:ind w:firstLine="480" w:firstLineChars="200"/>
        <w:jc w:val="center"/>
        <w:rPr>
          <w:rFonts w:hint="eastAsia" w:ascii="黑体" w:hAnsi="黑体" w:eastAsia="黑体"/>
          <w:sz w:val="24"/>
          <w:szCs w:val="24"/>
        </w:rPr>
      </w:pPr>
      <w:r>
        <w:rPr>
          <w:rFonts w:ascii="黑体" w:hAnsi="黑体" w:eastAsia="黑体"/>
          <w:sz w:val="24"/>
          <w:szCs w:val="24"/>
        </w:rPr>
        <w:t>照片2-</w:t>
      </w:r>
      <w:r>
        <w:rPr>
          <w:rFonts w:hint="eastAsia" w:ascii="黑体" w:hAnsi="黑体" w:eastAsia="黑体"/>
          <w:sz w:val="24"/>
          <w:szCs w:val="24"/>
        </w:rPr>
        <w:t>8</w:t>
      </w:r>
      <w:r>
        <w:rPr>
          <w:rFonts w:ascii="黑体" w:hAnsi="黑体" w:eastAsia="黑体"/>
          <w:sz w:val="24"/>
          <w:szCs w:val="24"/>
        </w:rPr>
        <w:t xml:space="preserve">   南侧民采露天采坑</w:t>
      </w:r>
      <w:r>
        <w:rPr>
          <w:rFonts w:hint="eastAsia" w:ascii="黑体" w:hAnsi="黑体" w:eastAsia="黑体"/>
          <w:sz w:val="24"/>
          <w:szCs w:val="24"/>
        </w:rPr>
        <w:t>治理效果</w:t>
      </w:r>
    </w:p>
    <w:p w14:paraId="349B279C">
      <w:pPr>
        <w:pStyle w:val="31"/>
        <w:spacing w:line="360" w:lineRule="auto"/>
        <w:ind w:firstLine="560" w:firstLineChars="200"/>
        <w:rPr>
          <w:rFonts w:eastAsia="宋体"/>
          <w:szCs w:val="28"/>
        </w:rPr>
      </w:pPr>
      <w:r>
        <w:rPr>
          <w:rFonts w:hint="eastAsia" w:eastAsia="宋体"/>
          <w:szCs w:val="28"/>
        </w:rPr>
        <w:t>4、</w:t>
      </w:r>
      <w:r>
        <w:rPr>
          <w:rFonts w:eastAsia="宋体"/>
          <w:szCs w:val="28"/>
        </w:rPr>
        <w:t>《202</w:t>
      </w:r>
      <w:r>
        <w:rPr>
          <w:rFonts w:hint="eastAsia" w:eastAsia="宋体"/>
          <w:szCs w:val="28"/>
        </w:rPr>
        <w:t>2</w:t>
      </w:r>
      <w:r>
        <w:rPr>
          <w:rFonts w:eastAsia="宋体"/>
          <w:szCs w:val="28"/>
        </w:rPr>
        <w:t>年度治理计划书》</w:t>
      </w:r>
      <w:r>
        <w:rPr>
          <w:rFonts w:hint="eastAsia" w:eastAsia="宋体"/>
          <w:szCs w:val="28"/>
        </w:rPr>
        <w:t>执行</w:t>
      </w:r>
      <w:r>
        <w:rPr>
          <w:rFonts w:eastAsia="宋体"/>
          <w:szCs w:val="28"/>
        </w:rPr>
        <w:t>情况</w:t>
      </w:r>
    </w:p>
    <w:p w14:paraId="3F4B69A2">
      <w:pPr>
        <w:pStyle w:val="31"/>
        <w:spacing w:line="360" w:lineRule="auto"/>
        <w:ind w:firstLine="560" w:firstLineChars="200"/>
        <w:rPr>
          <w:rFonts w:eastAsia="宋体"/>
          <w:szCs w:val="28"/>
        </w:rPr>
      </w:pPr>
      <w:r>
        <w:rPr>
          <w:rFonts w:eastAsia="宋体"/>
          <w:szCs w:val="28"/>
        </w:rPr>
        <w:t>矿山2022年度主要是利用废石对露天采场超采场地进行了垫坡整形</w:t>
      </w:r>
      <w:r>
        <w:rPr>
          <w:rFonts w:hint="eastAsia" w:eastAsia="宋体"/>
          <w:szCs w:val="28"/>
        </w:rPr>
        <w:t>；</w:t>
      </w:r>
      <w:r>
        <w:rPr>
          <w:rFonts w:eastAsia="宋体"/>
          <w:szCs w:val="28"/>
        </w:rPr>
        <w:t>2022年6月与周边土地损毁权属人一同对矿山及周边整体面貌进行了治理及复垦，涉及“赤峰国富玄武岩矿区域”治理的区域及单元为露天采场、废石堆3、</w:t>
      </w:r>
      <w:bookmarkStart w:id="80" w:name="_Hlk240360089"/>
      <w:r>
        <w:rPr>
          <w:rFonts w:eastAsia="宋体"/>
          <w:szCs w:val="28"/>
        </w:rPr>
        <w:t>国富排渣场1</w:t>
      </w:r>
      <w:bookmarkEnd w:id="80"/>
      <w:r>
        <w:rPr>
          <w:rFonts w:eastAsia="宋体"/>
          <w:szCs w:val="28"/>
        </w:rPr>
        <w:t>和国富排渣场2。各场地治理效果见照片</w:t>
      </w:r>
      <w:r>
        <w:rPr>
          <w:rFonts w:hint="eastAsia" w:eastAsia="宋体"/>
          <w:szCs w:val="28"/>
        </w:rPr>
        <w:t>2-9、</w:t>
      </w:r>
      <w:r>
        <w:rPr>
          <w:rFonts w:eastAsia="宋体"/>
          <w:szCs w:val="28"/>
        </w:rPr>
        <w:t>2-</w:t>
      </w:r>
      <w:r>
        <w:rPr>
          <w:rFonts w:hint="eastAsia" w:eastAsia="宋体"/>
          <w:szCs w:val="28"/>
        </w:rPr>
        <w:t>10</w:t>
      </w:r>
      <w:r>
        <w:rPr>
          <w:rFonts w:eastAsia="宋体"/>
          <w:szCs w:val="28"/>
        </w:rPr>
        <w:t>。</w:t>
      </w:r>
    </w:p>
    <w:p w14:paraId="4B203D26">
      <w:pPr>
        <w:pStyle w:val="31"/>
        <w:jc w:val="center"/>
        <w:rPr>
          <w:rFonts w:eastAsia="宋体"/>
          <w:szCs w:val="28"/>
        </w:rPr>
      </w:pPr>
    </w:p>
    <w:p w14:paraId="2ED6B7B8">
      <w:pPr>
        <w:pStyle w:val="31"/>
        <w:spacing w:line="360" w:lineRule="auto"/>
        <w:ind w:firstLine="480" w:firstLineChars="200"/>
        <w:jc w:val="center"/>
        <w:rPr>
          <w:rFonts w:hint="eastAsia" w:ascii="黑体" w:hAnsi="黑体" w:eastAsia="黑体"/>
          <w:sz w:val="24"/>
          <w:szCs w:val="24"/>
        </w:rPr>
      </w:pPr>
      <w:r>
        <w:rPr>
          <w:rFonts w:hint="eastAsia" w:ascii="黑体" w:hAnsi="黑体" w:eastAsia="黑体"/>
          <w:sz w:val="24"/>
          <w:szCs w:val="24"/>
        </w:rPr>
        <w:t xml:space="preserve">照片2-9   </w:t>
      </w:r>
      <w:r>
        <w:rPr>
          <w:rFonts w:ascii="黑体" w:hAnsi="黑体" w:eastAsia="黑体"/>
          <w:sz w:val="24"/>
          <w:szCs w:val="24"/>
        </w:rPr>
        <w:t>露天采场超采场地垫坡效果</w:t>
      </w:r>
    </w:p>
    <w:p w14:paraId="7E52CA4F">
      <w:pPr>
        <w:pStyle w:val="31"/>
        <w:jc w:val="center"/>
        <w:rPr>
          <w:rFonts w:hint="eastAsia" w:ascii="黑体" w:hAnsi="黑体" w:eastAsia="黑体"/>
          <w:sz w:val="24"/>
          <w:szCs w:val="24"/>
        </w:rPr>
      </w:pPr>
    </w:p>
    <w:p w14:paraId="492828F1">
      <w:pPr>
        <w:pStyle w:val="31"/>
        <w:spacing w:line="360" w:lineRule="auto"/>
        <w:ind w:firstLine="480" w:firstLineChars="200"/>
        <w:jc w:val="center"/>
        <w:rPr>
          <w:rFonts w:hint="eastAsia" w:ascii="黑体" w:hAnsi="黑体" w:eastAsia="黑体"/>
          <w:sz w:val="24"/>
          <w:szCs w:val="24"/>
        </w:rPr>
      </w:pPr>
      <w:r>
        <w:rPr>
          <w:rFonts w:hint="eastAsia" w:ascii="黑体" w:hAnsi="黑体" w:eastAsia="黑体"/>
          <w:sz w:val="24"/>
          <w:szCs w:val="24"/>
        </w:rPr>
        <w:t>照片2-10   国富排渣场1治理效果</w:t>
      </w:r>
    </w:p>
    <w:p w14:paraId="24B7834A">
      <w:pPr>
        <w:pStyle w:val="31"/>
        <w:spacing w:line="360" w:lineRule="auto"/>
        <w:ind w:firstLine="560" w:firstLineChars="200"/>
        <w:rPr>
          <w:rFonts w:eastAsia="宋体"/>
          <w:szCs w:val="28"/>
        </w:rPr>
      </w:pPr>
      <w:r>
        <w:rPr>
          <w:rFonts w:hint="eastAsia" w:eastAsia="宋体"/>
          <w:szCs w:val="28"/>
        </w:rPr>
        <w:t>矿山</w:t>
      </w:r>
      <w:r>
        <w:rPr>
          <w:rFonts w:eastAsia="宋体"/>
          <w:szCs w:val="28"/>
        </w:rPr>
        <w:t>于202</w:t>
      </w:r>
      <w:r>
        <w:rPr>
          <w:rFonts w:hint="eastAsia" w:eastAsia="宋体"/>
          <w:szCs w:val="28"/>
        </w:rPr>
        <w:t>3</w:t>
      </w:r>
      <w:r>
        <w:rPr>
          <w:rFonts w:eastAsia="宋体"/>
          <w:szCs w:val="28"/>
        </w:rPr>
        <w:t>年</w:t>
      </w:r>
      <w:r>
        <w:rPr>
          <w:rFonts w:hint="eastAsia" w:eastAsia="宋体"/>
          <w:szCs w:val="28"/>
        </w:rPr>
        <w:t>12</w:t>
      </w:r>
      <w:r>
        <w:rPr>
          <w:rFonts w:eastAsia="宋体"/>
          <w:szCs w:val="28"/>
        </w:rPr>
        <w:t>月</w:t>
      </w:r>
      <w:r>
        <w:rPr>
          <w:rFonts w:hint="eastAsia" w:eastAsia="宋体"/>
          <w:szCs w:val="28"/>
        </w:rPr>
        <w:t>31</w:t>
      </w:r>
      <w:r>
        <w:rPr>
          <w:rFonts w:eastAsia="宋体"/>
          <w:szCs w:val="28"/>
        </w:rPr>
        <w:t>日取得了《内蒙古自治区矿山地质环境治理工程</w:t>
      </w:r>
      <w:r>
        <w:rPr>
          <w:rFonts w:hint="eastAsia" w:eastAsia="宋体"/>
          <w:szCs w:val="28"/>
        </w:rPr>
        <w:t>2022年度</w:t>
      </w:r>
      <w:r>
        <w:rPr>
          <w:rFonts w:eastAsia="宋体"/>
          <w:szCs w:val="28"/>
        </w:rPr>
        <w:t>现场核查意见书》，核查结论为</w:t>
      </w:r>
      <w:r>
        <w:rPr>
          <w:rFonts w:hint="eastAsia" w:eastAsia="宋体"/>
          <w:szCs w:val="28"/>
        </w:rPr>
        <w:t>：经现场核查，该利矿山处于停产状态，矿山基本完成了露天采场超采区域的底层垫坡工作，根据矿山提供的资料，矿山地质环境监测工作正常进行。</w:t>
      </w:r>
    </w:p>
    <w:p w14:paraId="2F346A47">
      <w:pPr>
        <w:pStyle w:val="31"/>
        <w:spacing w:line="360" w:lineRule="auto"/>
        <w:ind w:firstLine="560" w:firstLineChars="200"/>
        <w:rPr>
          <w:rFonts w:eastAsia="宋体"/>
          <w:szCs w:val="28"/>
        </w:rPr>
      </w:pPr>
      <w:r>
        <w:rPr>
          <w:rFonts w:hint="eastAsia" w:eastAsia="宋体"/>
          <w:szCs w:val="28"/>
        </w:rPr>
        <w:t>核查组认为矿山基本完成了露天采场超采区域地层垫坡工作，治理工程效果符合年度治理计划书的要求。</w:t>
      </w:r>
    </w:p>
    <w:p w14:paraId="08DDE8B5">
      <w:pPr>
        <w:pStyle w:val="31"/>
        <w:spacing w:line="360" w:lineRule="auto"/>
        <w:ind w:firstLine="560" w:firstLineChars="200"/>
        <w:rPr>
          <w:rFonts w:eastAsia="宋体"/>
          <w:szCs w:val="28"/>
        </w:rPr>
      </w:pPr>
      <w:r>
        <w:rPr>
          <w:rFonts w:hint="eastAsia" w:eastAsia="宋体"/>
          <w:szCs w:val="28"/>
        </w:rPr>
        <w:t>5、</w:t>
      </w:r>
      <w:r>
        <w:rPr>
          <w:rFonts w:eastAsia="宋体"/>
          <w:szCs w:val="28"/>
        </w:rPr>
        <w:t>《20</w:t>
      </w:r>
      <w:r>
        <w:rPr>
          <w:rFonts w:hint="eastAsia" w:eastAsia="宋体"/>
          <w:szCs w:val="28"/>
        </w:rPr>
        <w:t>23</w:t>
      </w:r>
      <w:r>
        <w:rPr>
          <w:rFonts w:eastAsia="宋体"/>
          <w:szCs w:val="28"/>
        </w:rPr>
        <w:t>年度治理计划书》</w:t>
      </w:r>
      <w:r>
        <w:rPr>
          <w:rFonts w:hint="eastAsia" w:eastAsia="宋体"/>
          <w:szCs w:val="28"/>
        </w:rPr>
        <w:t>执行</w:t>
      </w:r>
      <w:r>
        <w:rPr>
          <w:rFonts w:eastAsia="宋体"/>
          <w:szCs w:val="28"/>
        </w:rPr>
        <w:t>情况</w:t>
      </w:r>
    </w:p>
    <w:p w14:paraId="44352319">
      <w:pPr>
        <w:pStyle w:val="31"/>
        <w:spacing w:line="360" w:lineRule="auto"/>
        <w:ind w:firstLine="560" w:firstLineChars="200"/>
        <w:rPr>
          <w:rFonts w:eastAsia="宋体"/>
          <w:szCs w:val="28"/>
        </w:rPr>
      </w:pPr>
      <w:r>
        <w:rPr>
          <w:rFonts w:eastAsia="宋体"/>
          <w:szCs w:val="28"/>
        </w:rPr>
        <w:t>2023年度为矿山地质环境治理区域为露天采场危岩体清理；国富排渣场1废石渣原地整形，表层覆土并复垦草地；原出入沟已不再利用，废石场3紧邻原出入沟南侧，本次设计对出入沟进行综合治理，然后最终复垦草地；矿区西侧原国富加工场场地内废弃建筑物两处，本次对废弃建筑物进行拆除，然后对其场地进行复垦。治理效果见照片2-</w:t>
      </w:r>
      <w:r>
        <w:rPr>
          <w:rFonts w:hint="eastAsia" w:eastAsia="宋体"/>
          <w:szCs w:val="28"/>
        </w:rPr>
        <w:t>11</w:t>
      </w:r>
      <w:r>
        <w:rPr>
          <w:rFonts w:eastAsia="宋体"/>
          <w:szCs w:val="28"/>
        </w:rPr>
        <w:t>至2-</w:t>
      </w:r>
      <w:r>
        <w:rPr>
          <w:rFonts w:hint="eastAsia" w:eastAsia="宋体"/>
          <w:szCs w:val="28"/>
        </w:rPr>
        <w:t>12</w:t>
      </w:r>
      <w:r>
        <w:rPr>
          <w:rFonts w:eastAsia="宋体"/>
          <w:szCs w:val="28"/>
        </w:rPr>
        <w:t>。</w:t>
      </w:r>
    </w:p>
    <w:p w14:paraId="45904A87">
      <w:pPr>
        <w:pStyle w:val="31"/>
        <w:jc w:val="center"/>
        <w:rPr>
          <w:rFonts w:hint="eastAsia" w:ascii="黑体" w:hAnsi="黑体" w:eastAsia="黑体"/>
          <w:sz w:val="24"/>
          <w:szCs w:val="24"/>
        </w:rPr>
      </w:pPr>
    </w:p>
    <w:p w14:paraId="4B87EBB8">
      <w:pPr>
        <w:pStyle w:val="31"/>
        <w:spacing w:line="360" w:lineRule="auto"/>
        <w:ind w:firstLine="480" w:firstLineChars="200"/>
        <w:jc w:val="center"/>
        <w:rPr>
          <w:rFonts w:hint="eastAsia" w:ascii="黑体" w:hAnsi="黑体" w:eastAsia="黑体"/>
          <w:sz w:val="24"/>
          <w:szCs w:val="24"/>
        </w:rPr>
      </w:pPr>
      <w:r>
        <w:rPr>
          <w:rFonts w:ascii="黑体" w:hAnsi="黑体" w:eastAsia="黑体"/>
          <w:sz w:val="24"/>
          <w:szCs w:val="24"/>
        </w:rPr>
        <w:t>照片2-</w:t>
      </w:r>
      <w:r>
        <w:rPr>
          <w:rFonts w:hint="eastAsia" w:ascii="黑体" w:hAnsi="黑体" w:eastAsia="黑体"/>
          <w:sz w:val="24"/>
          <w:szCs w:val="24"/>
        </w:rPr>
        <w:t>11</w:t>
      </w:r>
      <w:r>
        <w:rPr>
          <w:rFonts w:ascii="黑体" w:hAnsi="黑体" w:eastAsia="黑体"/>
          <w:sz w:val="24"/>
          <w:szCs w:val="24"/>
        </w:rPr>
        <w:t xml:space="preserve">  废石堆北侧出入沟治理效果</w:t>
      </w:r>
    </w:p>
    <w:p w14:paraId="386AC10B">
      <w:pPr>
        <w:pStyle w:val="31"/>
        <w:spacing w:line="360" w:lineRule="auto"/>
        <w:ind w:firstLine="480" w:firstLineChars="200"/>
        <w:jc w:val="center"/>
        <w:rPr>
          <w:rFonts w:hint="eastAsia" w:ascii="黑体" w:hAnsi="黑体" w:eastAsia="黑体"/>
          <w:sz w:val="24"/>
          <w:szCs w:val="24"/>
        </w:rPr>
      </w:pPr>
      <w:r>
        <w:rPr>
          <w:rFonts w:ascii="黑体" w:hAnsi="黑体" w:eastAsia="黑体"/>
          <w:sz w:val="24"/>
          <w:szCs w:val="24"/>
        </w:rPr>
        <w:t>照片2-</w:t>
      </w:r>
      <w:r>
        <w:rPr>
          <w:rFonts w:hint="eastAsia" w:ascii="黑体" w:hAnsi="黑体" w:eastAsia="黑体"/>
          <w:sz w:val="24"/>
          <w:szCs w:val="24"/>
        </w:rPr>
        <w:t>12</w:t>
      </w:r>
      <w:r>
        <w:rPr>
          <w:rFonts w:ascii="黑体" w:hAnsi="黑体" w:eastAsia="黑体"/>
          <w:sz w:val="24"/>
          <w:szCs w:val="24"/>
        </w:rPr>
        <w:t xml:space="preserve">  矿区西侧废弃建筑物拆除治理效果</w:t>
      </w:r>
    </w:p>
    <w:p w14:paraId="727C9C9C">
      <w:pPr>
        <w:pStyle w:val="31"/>
        <w:spacing w:line="360" w:lineRule="auto"/>
        <w:ind w:firstLine="560" w:firstLineChars="200"/>
        <w:rPr>
          <w:rFonts w:eastAsia="宋体"/>
          <w:szCs w:val="28"/>
        </w:rPr>
      </w:pPr>
      <w:r>
        <w:rPr>
          <w:rFonts w:hint="eastAsia" w:eastAsia="宋体"/>
          <w:szCs w:val="28"/>
        </w:rPr>
        <w:t>矿山</w:t>
      </w:r>
      <w:r>
        <w:rPr>
          <w:rFonts w:eastAsia="宋体"/>
          <w:szCs w:val="28"/>
        </w:rPr>
        <w:t>于202</w:t>
      </w:r>
      <w:r>
        <w:rPr>
          <w:rFonts w:hint="eastAsia" w:eastAsia="宋体"/>
          <w:szCs w:val="28"/>
        </w:rPr>
        <w:t>4</w:t>
      </w:r>
      <w:r>
        <w:rPr>
          <w:rFonts w:eastAsia="宋体"/>
          <w:szCs w:val="28"/>
        </w:rPr>
        <w:t>年</w:t>
      </w:r>
      <w:r>
        <w:rPr>
          <w:rFonts w:hint="eastAsia" w:eastAsia="宋体"/>
          <w:szCs w:val="28"/>
        </w:rPr>
        <w:t>1</w:t>
      </w:r>
      <w:r>
        <w:rPr>
          <w:rFonts w:eastAsia="宋体"/>
          <w:szCs w:val="28"/>
        </w:rPr>
        <w:t>月</w:t>
      </w:r>
      <w:r>
        <w:rPr>
          <w:rFonts w:hint="eastAsia" w:eastAsia="宋体"/>
          <w:szCs w:val="28"/>
        </w:rPr>
        <w:t>3</w:t>
      </w:r>
      <w:r>
        <w:rPr>
          <w:rFonts w:eastAsia="宋体"/>
          <w:szCs w:val="28"/>
        </w:rPr>
        <w:t>日取得了《内蒙古自治区矿山地质环境治理工程</w:t>
      </w:r>
      <w:r>
        <w:rPr>
          <w:rFonts w:hint="eastAsia" w:eastAsia="宋体"/>
          <w:szCs w:val="28"/>
        </w:rPr>
        <w:t>2023年度</w:t>
      </w:r>
      <w:r>
        <w:rPr>
          <w:rFonts w:eastAsia="宋体"/>
          <w:szCs w:val="28"/>
        </w:rPr>
        <w:t>现场核查意见书》，核查结论为</w:t>
      </w:r>
      <w:r>
        <w:rPr>
          <w:rFonts w:hint="eastAsia" w:eastAsia="宋体"/>
          <w:szCs w:val="28"/>
        </w:rPr>
        <w:t>：经现场核查，该矿山处于停产状态，矿山基本完成了露天采场的危岩体清理坡工作；完成了排渣场1的整形覆土、废石堆北侧出入沟的回填覆土及矿区西侧废弃建筑物并垫坡后覆土工作，由于季节原因，植被恢复工作尚未完成。</w:t>
      </w:r>
    </w:p>
    <w:p w14:paraId="3190EFCE">
      <w:pPr>
        <w:pStyle w:val="31"/>
        <w:spacing w:line="360" w:lineRule="auto"/>
        <w:ind w:firstLine="560" w:firstLineChars="200"/>
        <w:rPr>
          <w:rFonts w:eastAsia="宋体"/>
          <w:szCs w:val="28"/>
        </w:rPr>
      </w:pPr>
      <w:r>
        <w:rPr>
          <w:rFonts w:hint="eastAsia" w:eastAsia="宋体"/>
          <w:szCs w:val="28"/>
        </w:rPr>
        <w:t>核查组认为矿山基本完成了2023年度治理计划书设计的主体工程，治理工程效果符合年度治理计划书的要求。</w:t>
      </w:r>
    </w:p>
    <w:p w14:paraId="204C714D">
      <w:pPr>
        <w:pStyle w:val="31"/>
        <w:spacing w:line="360" w:lineRule="auto"/>
        <w:ind w:firstLine="560" w:firstLineChars="200"/>
        <w:rPr>
          <w:rFonts w:eastAsia="宋体"/>
          <w:szCs w:val="28"/>
        </w:rPr>
      </w:pPr>
      <w:r>
        <w:rPr>
          <w:rFonts w:hint="eastAsia" w:eastAsia="宋体"/>
          <w:szCs w:val="28"/>
        </w:rPr>
        <w:t>6、</w:t>
      </w:r>
      <w:r>
        <w:rPr>
          <w:rFonts w:eastAsia="宋体"/>
          <w:szCs w:val="28"/>
        </w:rPr>
        <w:t>《20</w:t>
      </w:r>
      <w:r>
        <w:rPr>
          <w:rFonts w:hint="eastAsia" w:eastAsia="宋体"/>
          <w:szCs w:val="28"/>
        </w:rPr>
        <w:t>24</w:t>
      </w:r>
      <w:r>
        <w:rPr>
          <w:rFonts w:eastAsia="宋体"/>
          <w:szCs w:val="28"/>
        </w:rPr>
        <w:t>年度治理计划书》</w:t>
      </w:r>
      <w:r>
        <w:rPr>
          <w:rFonts w:hint="eastAsia" w:eastAsia="宋体"/>
          <w:szCs w:val="28"/>
        </w:rPr>
        <w:t>执行</w:t>
      </w:r>
      <w:r>
        <w:rPr>
          <w:rFonts w:eastAsia="宋体"/>
          <w:szCs w:val="28"/>
        </w:rPr>
        <w:t>情况</w:t>
      </w:r>
    </w:p>
    <w:p w14:paraId="2FA36B0B">
      <w:pPr>
        <w:pStyle w:val="31"/>
        <w:spacing w:line="360" w:lineRule="auto"/>
        <w:ind w:firstLine="560" w:firstLineChars="200"/>
        <w:rPr>
          <w:rFonts w:eastAsia="宋体"/>
          <w:szCs w:val="28"/>
        </w:rPr>
      </w:pPr>
      <w:r>
        <w:rPr>
          <w:rFonts w:hint="eastAsia" w:eastAsia="宋体"/>
          <w:szCs w:val="28"/>
        </w:rPr>
        <w:t>2024年11月28日，赤峰市自然资源局松山分局组织有关专家组成核查组对赤峰国富玄武岩矿提交的《赤峰国富玄武岩矿2024年度矿山地质环境治理计划》中矿山地质环境治理工程执行情况进行现场核查。</w:t>
      </w:r>
    </w:p>
    <w:p w14:paraId="2B4E5732">
      <w:pPr>
        <w:pStyle w:val="31"/>
        <w:spacing w:line="360" w:lineRule="auto"/>
        <w:ind w:firstLine="560" w:firstLineChars="200"/>
        <w:rPr>
          <w:rFonts w:eastAsia="宋体"/>
          <w:szCs w:val="28"/>
        </w:rPr>
      </w:pPr>
      <w:r>
        <w:rPr>
          <w:rFonts w:hint="eastAsia" w:eastAsia="宋体"/>
          <w:szCs w:val="28"/>
        </w:rPr>
        <w:t>矿山2024年度矿山地质环境治理计划书设计的治理工程单元为：对前期治理单元单元进行管护;同时进行地质灾害监测、地形地貌景观监测、土地复垦监测。</w:t>
      </w:r>
    </w:p>
    <w:p w14:paraId="7773D69A">
      <w:pPr>
        <w:pStyle w:val="31"/>
        <w:spacing w:line="360" w:lineRule="auto"/>
        <w:ind w:firstLine="560" w:firstLineChars="200"/>
        <w:rPr>
          <w:rFonts w:eastAsia="宋体"/>
          <w:szCs w:val="28"/>
        </w:rPr>
      </w:pPr>
      <w:r>
        <w:rPr>
          <w:rFonts w:hint="eastAsia" w:eastAsia="宋体"/>
          <w:szCs w:val="28"/>
        </w:rPr>
        <w:t>矿山</w:t>
      </w:r>
      <w:r>
        <w:rPr>
          <w:rFonts w:eastAsia="宋体"/>
          <w:szCs w:val="28"/>
        </w:rPr>
        <w:t>于202</w:t>
      </w:r>
      <w:r>
        <w:rPr>
          <w:rFonts w:hint="eastAsia" w:eastAsia="宋体"/>
          <w:szCs w:val="28"/>
        </w:rPr>
        <w:t>4</w:t>
      </w:r>
      <w:r>
        <w:rPr>
          <w:rFonts w:eastAsia="宋体"/>
          <w:szCs w:val="28"/>
        </w:rPr>
        <w:t>年</w:t>
      </w:r>
      <w:r>
        <w:rPr>
          <w:rFonts w:hint="eastAsia" w:eastAsia="宋体"/>
          <w:szCs w:val="28"/>
        </w:rPr>
        <w:t>11</w:t>
      </w:r>
      <w:r>
        <w:rPr>
          <w:rFonts w:eastAsia="宋体"/>
          <w:szCs w:val="28"/>
        </w:rPr>
        <w:t>月</w:t>
      </w:r>
      <w:r>
        <w:rPr>
          <w:rFonts w:hint="eastAsia" w:eastAsia="宋体"/>
          <w:szCs w:val="28"/>
        </w:rPr>
        <w:t>28</w:t>
      </w:r>
      <w:r>
        <w:rPr>
          <w:rFonts w:eastAsia="宋体"/>
          <w:szCs w:val="28"/>
        </w:rPr>
        <w:t>日取得了《内蒙古自治区矿山地质环境治理工程</w:t>
      </w:r>
      <w:r>
        <w:rPr>
          <w:rFonts w:hint="eastAsia" w:eastAsia="宋体"/>
          <w:szCs w:val="28"/>
        </w:rPr>
        <w:t>2024年度</w:t>
      </w:r>
      <w:r>
        <w:rPr>
          <w:rFonts w:eastAsia="宋体"/>
          <w:szCs w:val="28"/>
        </w:rPr>
        <w:t>现场核查意见书》，核查结论为</w:t>
      </w:r>
      <w:r>
        <w:rPr>
          <w:rFonts w:hint="eastAsia" w:eastAsia="宋体"/>
          <w:szCs w:val="28"/>
        </w:rPr>
        <w:t>：经现场核查，矿山完成了对前期治理工程单元的植被管护工作。核查组认为，赤峰国富玄武岩矿基本完成了2024年度矿山地质环境治理计划书设计的主体治理内容，治理工程效果符合年度治理计划书的要求。</w:t>
      </w:r>
    </w:p>
    <w:p w14:paraId="31FCD00D">
      <w:pPr>
        <w:pStyle w:val="31"/>
        <w:spacing w:line="360" w:lineRule="auto"/>
        <w:ind w:firstLine="560" w:firstLineChars="200"/>
        <w:rPr>
          <w:rFonts w:eastAsia="宋体"/>
          <w:szCs w:val="28"/>
        </w:rPr>
      </w:pPr>
      <w:r>
        <w:rPr>
          <w:rFonts w:hint="eastAsia" w:eastAsia="宋体"/>
          <w:szCs w:val="28"/>
        </w:rPr>
        <w:t>7、</w:t>
      </w:r>
      <w:r>
        <w:rPr>
          <w:rFonts w:eastAsia="宋体"/>
          <w:szCs w:val="28"/>
        </w:rPr>
        <w:t>《20</w:t>
      </w:r>
      <w:r>
        <w:rPr>
          <w:rFonts w:hint="eastAsia" w:eastAsia="宋体"/>
          <w:szCs w:val="28"/>
        </w:rPr>
        <w:t>25</w:t>
      </w:r>
      <w:r>
        <w:rPr>
          <w:rFonts w:eastAsia="宋体"/>
          <w:szCs w:val="28"/>
        </w:rPr>
        <w:t>年度治理计划书》</w:t>
      </w:r>
      <w:r>
        <w:rPr>
          <w:rFonts w:hint="eastAsia" w:eastAsia="宋体"/>
          <w:szCs w:val="28"/>
        </w:rPr>
        <w:t>执行</w:t>
      </w:r>
      <w:r>
        <w:rPr>
          <w:rFonts w:eastAsia="宋体"/>
          <w:szCs w:val="28"/>
        </w:rPr>
        <w:t>情况</w:t>
      </w:r>
    </w:p>
    <w:p w14:paraId="4AC6512C">
      <w:pPr>
        <w:pStyle w:val="31"/>
        <w:spacing w:line="360" w:lineRule="auto"/>
        <w:ind w:firstLine="560" w:firstLineChars="200"/>
        <w:rPr>
          <w:rFonts w:eastAsia="宋体"/>
          <w:szCs w:val="28"/>
        </w:rPr>
      </w:pPr>
      <w:r>
        <w:rPr>
          <w:rFonts w:hint="eastAsia" w:eastAsia="宋体"/>
          <w:szCs w:val="28"/>
        </w:rPr>
        <w:t>2025年11月3日，赤峰市自然资源局松山区分局组织有关专家组成核查组对赤峰国富玄武岩矿提交的《2025年度赤峰国富玄武岩矿矿山地质环境治理与土地复垦计划书》执行情况进行现场核查。</w:t>
      </w:r>
    </w:p>
    <w:p w14:paraId="3524E5A5">
      <w:pPr>
        <w:pStyle w:val="31"/>
        <w:spacing w:line="360" w:lineRule="auto"/>
        <w:ind w:firstLine="560" w:firstLineChars="200"/>
        <w:rPr>
          <w:rFonts w:eastAsia="宋体"/>
          <w:szCs w:val="28"/>
        </w:rPr>
      </w:pPr>
      <w:r>
        <w:rPr>
          <w:rFonts w:hint="eastAsia" w:eastAsia="宋体"/>
          <w:szCs w:val="28"/>
        </w:rPr>
        <w:t>2025年度计划设计的治理工程为：（1）对废石堆3处的部分矿区路段进行完善修整；（2）对矿区及周边的植被进行管护；（3）开展矿山地质环境监测。</w:t>
      </w:r>
    </w:p>
    <w:p w14:paraId="638AAA8E">
      <w:pPr>
        <w:pStyle w:val="31"/>
        <w:spacing w:line="360" w:lineRule="auto"/>
        <w:ind w:left="-21" w:leftChars="-67" w:hanging="120" w:hangingChars="50"/>
        <w:jc w:val="center"/>
        <w:rPr>
          <w:rFonts w:eastAsia="宋体"/>
          <w:szCs w:val="28"/>
        </w:rPr>
      </w:pPr>
      <w:r>
        <w:rPr>
          <w:rFonts w:hint="eastAsia" w:ascii="黑体" w:hAnsi="黑体" w:eastAsia="黑体"/>
          <w:sz w:val="24"/>
          <w:szCs w:val="24"/>
        </w:rPr>
        <w:t>照片2-13  部分矿区路段进行完善修整</w:t>
      </w:r>
    </w:p>
    <w:p w14:paraId="59BDEB97">
      <w:pPr>
        <w:pStyle w:val="31"/>
        <w:spacing w:line="360" w:lineRule="auto"/>
        <w:ind w:firstLine="560" w:firstLineChars="200"/>
        <w:rPr>
          <w:rFonts w:eastAsia="宋体"/>
          <w:szCs w:val="28"/>
        </w:rPr>
      </w:pPr>
      <w:r>
        <w:rPr>
          <w:rFonts w:hint="eastAsia" w:eastAsia="宋体"/>
          <w:szCs w:val="28"/>
        </w:rPr>
        <w:t>矿山</w:t>
      </w:r>
      <w:r>
        <w:rPr>
          <w:rFonts w:eastAsia="宋体"/>
          <w:szCs w:val="28"/>
        </w:rPr>
        <w:t>于202</w:t>
      </w:r>
      <w:r>
        <w:rPr>
          <w:rFonts w:hint="eastAsia" w:eastAsia="宋体"/>
          <w:szCs w:val="28"/>
        </w:rPr>
        <w:t>5</w:t>
      </w:r>
      <w:r>
        <w:rPr>
          <w:rFonts w:eastAsia="宋体"/>
          <w:szCs w:val="28"/>
        </w:rPr>
        <w:t>年</w:t>
      </w:r>
      <w:r>
        <w:rPr>
          <w:rFonts w:hint="eastAsia" w:eastAsia="宋体"/>
          <w:szCs w:val="28"/>
        </w:rPr>
        <w:t>11</w:t>
      </w:r>
      <w:r>
        <w:rPr>
          <w:rFonts w:eastAsia="宋体"/>
          <w:szCs w:val="28"/>
        </w:rPr>
        <w:t>月</w:t>
      </w:r>
      <w:r>
        <w:rPr>
          <w:rFonts w:hint="eastAsia" w:eastAsia="宋体"/>
          <w:szCs w:val="28"/>
        </w:rPr>
        <w:t>3</w:t>
      </w:r>
      <w:r>
        <w:rPr>
          <w:rFonts w:eastAsia="宋体"/>
          <w:szCs w:val="28"/>
        </w:rPr>
        <w:t>日取得了《内蒙古自治区矿山地质环境治理工程</w:t>
      </w:r>
      <w:r>
        <w:rPr>
          <w:rFonts w:hint="eastAsia" w:eastAsia="宋体"/>
          <w:szCs w:val="28"/>
        </w:rPr>
        <w:t>2025年度</w:t>
      </w:r>
      <w:r>
        <w:rPr>
          <w:rFonts w:eastAsia="宋体"/>
          <w:szCs w:val="28"/>
        </w:rPr>
        <w:t>现场核查意见书》，核查结论为</w:t>
      </w:r>
      <w:r>
        <w:rPr>
          <w:rFonts w:hint="eastAsia" w:eastAsia="宋体"/>
          <w:szCs w:val="28"/>
        </w:rPr>
        <w:t>：经现场核查，矿山完成了废石堆3处的部分矿区路段的修整工作；完成了前期治理单元的管护工作。</w:t>
      </w:r>
    </w:p>
    <w:p w14:paraId="6603F02C">
      <w:pPr>
        <w:pStyle w:val="31"/>
        <w:spacing w:line="360" w:lineRule="auto"/>
        <w:ind w:firstLine="560" w:firstLineChars="200"/>
        <w:rPr>
          <w:rFonts w:eastAsia="宋体"/>
          <w:szCs w:val="28"/>
        </w:rPr>
      </w:pPr>
      <w:r>
        <w:rPr>
          <w:rFonts w:hint="eastAsia" w:eastAsia="宋体"/>
          <w:szCs w:val="28"/>
        </w:rPr>
        <w:t>核查组认为，赤峰国富玄武岩矿完成了2025年度计划设计的治理工程:治理工程效果基本符合2025年度治理计划的要求。</w:t>
      </w:r>
    </w:p>
    <w:p w14:paraId="4021AC8A">
      <w:pPr>
        <w:spacing w:line="360" w:lineRule="auto"/>
        <w:ind w:firstLine="562" w:firstLineChars="200"/>
        <w:outlineLvl w:val="2"/>
        <w:rPr>
          <w:szCs w:val="28"/>
        </w:rPr>
      </w:pPr>
      <w:r>
        <w:rPr>
          <w:b/>
          <w:bCs/>
          <w:sz w:val="28"/>
          <w:szCs w:val="28"/>
        </w:rPr>
        <w:t>三、前期治理存在问题</w:t>
      </w:r>
    </w:p>
    <w:p w14:paraId="66E4FAD4">
      <w:pPr>
        <w:spacing w:line="360" w:lineRule="auto"/>
        <w:ind w:firstLine="560" w:firstLineChars="200"/>
        <w:rPr>
          <w:sz w:val="28"/>
          <w:szCs w:val="28"/>
        </w:rPr>
      </w:pPr>
      <w:r>
        <w:rPr>
          <w:rFonts w:hint="eastAsia"/>
          <w:sz w:val="28"/>
          <w:szCs w:val="28"/>
        </w:rPr>
        <w:t>依据本次实地调查结果，原废石堆4、废石堆5属于现状历史遗留治理区域，该单元已经通过历史遗留矿山治理，但后续被双盈碎石加工厂所占用，根据赤峰双盈碎石有限公司提供的《情况说明》（附件16）该单元治理责任主体现属于“赤峰双盈碎石有限公司”。赤峰双盈碎石有限公司承诺后续生产后，对该场地实施场地生态修复治理，并做好区域绿化补植。</w:t>
      </w:r>
    </w:p>
    <w:p w14:paraId="797788E7">
      <w:pPr>
        <w:spacing w:line="360" w:lineRule="auto"/>
        <w:ind w:firstLine="560" w:firstLineChars="200"/>
        <w:rPr>
          <w:sz w:val="28"/>
          <w:szCs w:val="28"/>
        </w:rPr>
      </w:pPr>
      <w:r>
        <w:rPr>
          <w:rFonts w:hint="eastAsia"/>
          <w:sz w:val="28"/>
          <w:szCs w:val="28"/>
        </w:rPr>
        <w:t>一分期及各年度治理计划书设计治理的民采渣堆1、民采坑3、民采渣堆3、民采渣堆4、废石堆1，植被恢复效果不佳，需对其进行植被补种。</w:t>
      </w:r>
    </w:p>
    <w:p w14:paraId="79CC09B7">
      <w:pPr>
        <w:spacing w:line="360" w:lineRule="auto"/>
        <w:ind w:firstLine="560" w:firstLineChars="200"/>
        <w:rPr>
          <w:sz w:val="28"/>
          <w:szCs w:val="28"/>
        </w:rPr>
      </w:pPr>
      <w:r>
        <w:rPr>
          <w:rFonts w:hint="eastAsia"/>
          <w:sz w:val="28"/>
          <w:szCs w:val="28"/>
        </w:rPr>
        <w:t>2021年度治理的露天采场超采区域，现已对其回填，并且已完成覆土工作，但整体治理效果较差，本次将其纳入生态修复现状单元中，重新规划命名为“废石场2”。</w:t>
      </w:r>
    </w:p>
    <w:p w14:paraId="239D9ECE">
      <w:pPr>
        <w:spacing w:line="360" w:lineRule="auto"/>
        <w:ind w:firstLine="560" w:firstLineChars="200"/>
        <w:rPr>
          <w:sz w:val="28"/>
          <w:szCs w:val="28"/>
        </w:rPr>
      </w:pPr>
      <w:r>
        <w:rPr>
          <w:rFonts w:hint="eastAsia"/>
          <w:sz w:val="28"/>
          <w:szCs w:val="28"/>
        </w:rPr>
        <w:t>前期治理完善措施位置见下图（图2-5）</w:t>
      </w:r>
    </w:p>
    <w:p w14:paraId="70E1F8E9">
      <w:pPr>
        <w:ind w:left="-2" w:leftChars="-1" w:firstLine="1"/>
        <w:jc w:val="center"/>
        <w:rPr>
          <w:sz w:val="28"/>
          <w:szCs w:val="28"/>
        </w:rPr>
      </w:pPr>
    </w:p>
    <w:p w14:paraId="2816E5B4">
      <w:pPr>
        <w:ind w:left="-21" w:leftChars="-67" w:hanging="120" w:hangingChars="50"/>
        <w:jc w:val="center"/>
        <w:rPr>
          <w:rFonts w:hint="eastAsia" w:ascii="黑体" w:hAnsi="黑体" w:eastAsia="黑体"/>
          <w:sz w:val="28"/>
          <w:szCs w:val="28"/>
        </w:rPr>
      </w:pPr>
      <w:r>
        <w:rPr>
          <w:rFonts w:hint="eastAsia" w:ascii="黑体" w:hAnsi="黑体" w:eastAsia="黑体"/>
          <w:sz w:val="24"/>
          <w:szCs w:val="24"/>
        </w:rPr>
        <w:t>图2-5  前期治理完善措施实施位置</w:t>
      </w:r>
    </w:p>
    <w:p w14:paraId="1176E2F7">
      <w:pPr>
        <w:spacing w:line="360" w:lineRule="auto"/>
        <w:ind w:firstLine="562" w:firstLineChars="200"/>
        <w:outlineLvl w:val="2"/>
        <w:rPr>
          <w:sz w:val="28"/>
          <w:szCs w:val="28"/>
        </w:rPr>
      </w:pPr>
      <w:r>
        <w:rPr>
          <w:rFonts w:hint="eastAsia"/>
          <w:b/>
          <w:bCs/>
          <w:sz w:val="28"/>
          <w:szCs w:val="28"/>
        </w:rPr>
        <w:t>四、取得的经验</w:t>
      </w:r>
    </w:p>
    <w:p w14:paraId="18EDD687">
      <w:pPr>
        <w:spacing w:line="360" w:lineRule="auto"/>
        <w:ind w:firstLine="560" w:firstLineChars="200"/>
        <w:rPr>
          <w:sz w:val="28"/>
          <w:szCs w:val="28"/>
        </w:rPr>
      </w:pPr>
      <w:r>
        <w:rPr>
          <w:rFonts w:hint="eastAsia"/>
          <w:sz w:val="28"/>
          <w:szCs w:val="28"/>
        </w:rPr>
        <w:t>矿区地处生态环境脆弱区，对暂不利用场地应及时进行修复，加强管护养护工作，针对偏碱性土壤采取土壤改良，确保复垦效果、植被成活率，本方案针对以上问题，对土壤改良、恢复植被类型、管护措施重新进行设计。</w:t>
      </w:r>
    </w:p>
    <w:p w14:paraId="774BC6BE">
      <w:pPr>
        <w:spacing w:line="360" w:lineRule="auto"/>
        <w:ind w:firstLine="560" w:firstLineChars="200"/>
        <w:rPr>
          <w:sz w:val="28"/>
          <w:szCs w:val="28"/>
        </w:rPr>
      </w:pPr>
      <w:r>
        <w:rPr>
          <w:rFonts w:hint="eastAsia"/>
          <w:sz w:val="28"/>
          <w:szCs w:val="28"/>
        </w:rPr>
        <w:t>针对本次调查结论，上期矿山地质环境保护与土地复垦方案设计监测内容，有效避免不稳定地质体对人员造成损伤形成安全生产事故，目前该矿山未发生相关情况，但监测措施、手段陈旧，本方案重新设计监测工程。</w:t>
      </w:r>
    </w:p>
    <w:p w14:paraId="31144EBA">
      <w:pPr>
        <w:pStyle w:val="4"/>
        <w:spacing w:before="120" w:beforeLines="50"/>
        <w:rPr>
          <w:rFonts w:ascii="Times New Roman" w:hAnsi="Times New Roman"/>
        </w:rPr>
      </w:pPr>
      <w:bookmarkStart w:id="81" w:name="_Toc26698"/>
      <w:r>
        <w:rPr>
          <w:rFonts w:ascii="Times New Roman" w:hAnsi="Times New Roman"/>
        </w:rPr>
        <w:t>第八节  矿区基本情况调查监测指标</w:t>
      </w:r>
      <w:bookmarkEnd w:id="81"/>
    </w:p>
    <w:p w14:paraId="731CF807">
      <w:pPr>
        <w:spacing w:line="360" w:lineRule="auto"/>
        <w:ind w:firstLine="560" w:firstLineChars="200"/>
        <w:rPr>
          <w:sz w:val="28"/>
          <w:szCs w:val="28"/>
        </w:rPr>
      </w:pPr>
      <w:r>
        <w:rPr>
          <w:sz w:val="28"/>
          <w:szCs w:val="28"/>
        </w:rPr>
        <w:t>《原治理方案》</w:t>
      </w:r>
      <w:r>
        <w:rPr>
          <w:rFonts w:hint="eastAsia"/>
          <w:sz w:val="28"/>
          <w:szCs w:val="28"/>
        </w:rPr>
        <w:t>对矿区进行了</w:t>
      </w:r>
      <w:r>
        <w:rPr>
          <w:sz w:val="28"/>
          <w:szCs w:val="28"/>
        </w:rPr>
        <w:t>地质灾害</w:t>
      </w:r>
      <w:r>
        <w:rPr>
          <w:rFonts w:hint="eastAsia"/>
          <w:sz w:val="28"/>
          <w:szCs w:val="28"/>
        </w:rPr>
        <w:t>、</w:t>
      </w:r>
      <w:r>
        <w:rPr>
          <w:sz w:val="28"/>
          <w:szCs w:val="28"/>
        </w:rPr>
        <w:t>地形地貌景观及土地资源</w:t>
      </w:r>
      <w:r>
        <w:rPr>
          <w:rFonts w:hint="eastAsia"/>
          <w:sz w:val="28"/>
          <w:szCs w:val="28"/>
        </w:rPr>
        <w:t>监测设计，矿山期间执行其中部分监测措施，</w:t>
      </w:r>
      <w:r>
        <w:rPr>
          <w:sz w:val="28"/>
          <w:szCs w:val="28"/>
        </w:rPr>
        <w:t>主要是简易监测，采用人工肉眼巡视监测和全站仪监测相结合的方法，定时对坡体变形情况进行测量、记录和分析。在矿山适当位置，按一定密度设置监控设备，并由专人负责监控、记录和总结汇报。使用全站仪及视频监控设备行全天候监测。</w:t>
      </w:r>
    </w:p>
    <w:p w14:paraId="3964292B">
      <w:pPr>
        <w:spacing w:line="360" w:lineRule="auto"/>
        <w:ind w:firstLine="560" w:firstLineChars="200"/>
        <w:rPr>
          <w:sz w:val="28"/>
          <w:szCs w:val="28"/>
        </w:rPr>
      </w:pPr>
      <w:r>
        <w:rPr>
          <w:sz w:val="28"/>
          <w:szCs w:val="28"/>
        </w:rPr>
        <w:t>地形地貌景观及土地资源监测</w:t>
      </w:r>
      <w:r>
        <w:rPr>
          <w:rFonts w:hint="eastAsia"/>
          <w:sz w:val="28"/>
          <w:szCs w:val="28"/>
        </w:rPr>
        <w:t>主要按监测路线进行监测。</w:t>
      </w:r>
      <w:r>
        <w:rPr>
          <w:sz w:val="28"/>
          <w:szCs w:val="28"/>
        </w:rPr>
        <w:t>结合矿区实际，根据矿区生态修复监测内容与监测指标表（见表2-</w:t>
      </w:r>
      <w:r>
        <w:rPr>
          <w:rFonts w:hint="eastAsia"/>
          <w:sz w:val="28"/>
          <w:szCs w:val="28"/>
        </w:rPr>
        <w:t>23</w:t>
      </w:r>
      <w:r>
        <w:rPr>
          <w:sz w:val="28"/>
          <w:szCs w:val="28"/>
        </w:rPr>
        <w:t>、表2-</w:t>
      </w:r>
      <w:r>
        <w:rPr>
          <w:rFonts w:hint="eastAsia"/>
          <w:sz w:val="28"/>
          <w:szCs w:val="28"/>
        </w:rPr>
        <w:t>24</w:t>
      </w:r>
      <w:r>
        <w:rPr>
          <w:sz w:val="28"/>
          <w:szCs w:val="28"/>
        </w:rPr>
        <w:t>）。</w:t>
      </w:r>
    </w:p>
    <w:p w14:paraId="528C1D94">
      <w:pPr>
        <w:jc w:val="center"/>
        <w:rPr>
          <w:rFonts w:eastAsia="黑体"/>
          <w:sz w:val="24"/>
          <w:szCs w:val="24"/>
        </w:rPr>
      </w:pPr>
      <w:r>
        <w:rPr>
          <w:rFonts w:eastAsia="黑体"/>
          <w:sz w:val="24"/>
          <w:szCs w:val="24"/>
        </w:rPr>
        <w:t>表2-</w:t>
      </w:r>
      <w:r>
        <w:rPr>
          <w:rFonts w:hint="eastAsia" w:eastAsia="黑体"/>
          <w:sz w:val="24"/>
          <w:szCs w:val="24"/>
        </w:rPr>
        <w:t>23</w:t>
      </w:r>
      <w:r>
        <w:rPr>
          <w:rFonts w:eastAsia="黑体"/>
          <w:sz w:val="24"/>
          <w:szCs w:val="24"/>
        </w:rPr>
        <w:t xml:space="preserve">  矿山开采前生态修复监测内容与监测指标表</w:t>
      </w:r>
    </w:p>
    <w:p w14:paraId="64579121">
      <w:pPr>
        <w:adjustRightInd w:val="0"/>
        <w:snapToGrid w:val="0"/>
        <w:spacing w:before="120" w:beforeLines="50" w:line="360" w:lineRule="auto"/>
        <w:jc w:val="center"/>
        <w:rPr>
          <w:rFonts w:eastAsia="黑体"/>
          <w:sz w:val="24"/>
          <w:szCs w:val="24"/>
        </w:rPr>
      </w:pPr>
      <w:r>
        <w:rPr>
          <w:rFonts w:eastAsia="黑体"/>
          <w:sz w:val="24"/>
          <w:szCs w:val="24"/>
        </w:rPr>
        <w:t>表2-2</w:t>
      </w:r>
      <w:r>
        <w:rPr>
          <w:rFonts w:hint="eastAsia" w:eastAsia="黑体"/>
          <w:sz w:val="24"/>
          <w:szCs w:val="24"/>
        </w:rPr>
        <w:t>4</w:t>
      </w:r>
      <w:r>
        <w:rPr>
          <w:rFonts w:eastAsia="黑体"/>
          <w:sz w:val="24"/>
          <w:szCs w:val="24"/>
        </w:rPr>
        <w:t xml:space="preserve">  矿山开采中生态修复监测内容与监测指标表</w:t>
      </w:r>
    </w:p>
    <w:p w14:paraId="0E677B14">
      <w:pPr>
        <w:jc w:val="center"/>
        <w:rPr>
          <w:rFonts w:eastAsia="黑体"/>
          <w:sz w:val="24"/>
          <w:szCs w:val="24"/>
        </w:rPr>
      </w:pPr>
    </w:p>
    <w:p w14:paraId="32E96ACF">
      <w:pPr>
        <w:pStyle w:val="31"/>
        <w:spacing w:line="360" w:lineRule="auto"/>
        <w:ind w:firstLine="480" w:firstLineChars="200"/>
        <w:rPr>
          <w:rFonts w:eastAsia="宋体"/>
          <w:sz w:val="24"/>
          <w:szCs w:val="24"/>
        </w:rPr>
        <w:sectPr>
          <w:headerReference r:id="rId14" w:type="default"/>
          <w:footerReference r:id="rId15" w:type="default"/>
          <w:pgSz w:w="11907" w:h="16840"/>
          <w:pgMar w:top="1418" w:right="1418" w:bottom="1418" w:left="1418" w:header="851" w:footer="992" w:gutter="0"/>
          <w:cols w:space="720" w:num="1"/>
          <w:docGrid w:linePitch="312" w:charSpace="0"/>
        </w:sectPr>
      </w:pPr>
    </w:p>
    <w:p w14:paraId="3FB3580C">
      <w:pPr>
        <w:pStyle w:val="3"/>
        <w:spacing w:line="360" w:lineRule="auto"/>
        <w:jc w:val="center"/>
        <w:rPr>
          <w:rFonts w:eastAsia="黑体"/>
          <w:bCs/>
        </w:rPr>
      </w:pPr>
      <w:bookmarkStart w:id="82" w:name="_Toc210478051"/>
      <w:bookmarkStart w:id="83" w:name="_Toc11885"/>
      <w:r>
        <w:rPr>
          <w:rFonts w:eastAsia="黑体"/>
          <w:bCs/>
        </w:rPr>
        <w:t xml:space="preserve">第三章  </w:t>
      </w:r>
      <w:bookmarkEnd w:id="82"/>
      <w:r>
        <w:rPr>
          <w:rFonts w:eastAsia="黑体"/>
          <w:bCs/>
        </w:rPr>
        <w:t>问题识别诊断及修复可行性分析</w:t>
      </w:r>
      <w:bookmarkEnd w:id="83"/>
    </w:p>
    <w:p w14:paraId="5E459DD2">
      <w:pPr>
        <w:pStyle w:val="4"/>
        <w:spacing w:before="120" w:beforeLines="50"/>
        <w:rPr>
          <w:rFonts w:ascii="Times New Roman" w:hAnsi="Times New Roman"/>
        </w:rPr>
      </w:pPr>
      <w:bookmarkStart w:id="84" w:name="_Toc18170"/>
      <w:r>
        <w:rPr>
          <w:rFonts w:ascii="Times New Roman" w:hAnsi="Times New Roman"/>
        </w:rPr>
        <w:t>第一节  问题识别与受损预测</w:t>
      </w:r>
      <w:bookmarkEnd w:id="84"/>
    </w:p>
    <w:p w14:paraId="2FC47CD9">
      <w:pPr>
        <w:adjustRightInd w:val="0"/>
        <w:snapToGrid w:val="0"/>
        <w:spacing w:line="360" w:lineRule="auto"/>
        <w:ind w:firstLine="562" w:firstLineChars="200"/>
        <w:outlineLvl w:val="2"/>
      </w:pPr>
      <w:r>
        <w:rPr>
          <w:b/>
          <w:bCs/>
          <w:snapToGrid w:val="0"/>
          <w:sz w:val="28"/>
          <w:szCs w:val="28"/>
        </w:rPr>
        <w:t>一、矿山生态修复范围</w:t>
      </w:r>
    </w:p>
    <w:p w14:paraId="1FF65877">
      <w:pPr>
        <w:adjustRightInd w:val="0"/>
        <w:snapToGrid w:val="0"/>
        <w:spacing w:line="360" w:lineRule="auto"/>
        <w:ind w:firstLine="560" w:firstLineChars="200"/>
        <w:rPr>
          <w:snapToGrid w:val="0"/>
          <w:sz w:val="28"/>
          <w:szCs w:val="28"/>
        </w:rPr>
      </w:pPr>
      <w:r>
        <w:rPr>
          <w:snapToGrid w:val="0"/>
          <w:sz w:val="28"/>
          <w:szCs w:val="28"/>
        </w:rPr>
        <w:t>矿区生态修复评价对象为赤峰国富玄武岩矿，矿区生态修复评价范围为矿区范围、矿业活动影响范围的不良地质因素存在的范围。</w:t>
      </w:r>
    </w:p>
    <w:p w14:paraId="48AC9995">
      <w:pPr>
        <w:adjustRightInd w:val="0"/>
        <w:snapToGrid w:val="0"/>
        <w:spacing w:line="360" w:lineRule="auto"/>
        <w:ind w:firstLine="560" w:firstLineChars="200"/>
        <w:rPr>
          <w:snapToGrid w:val="0"/>
          <w:sz w:val="28"/>
          <w:szCs w:val="28"/>
        </w:rPr>
      </w:pPr>
      <w:r>
        <w:rPr>
          <w:snapToGrid w:val="0"/>
          <w:sz w:val="28"/>
          <w:szCs w:val="28"/>
        </w:rPr>
        <w:t>1、矿区范围</w:t>
      </w:r>
    </w:p>
    <w:p w14:paraId="208CC67E">
      <w:pPr>
        <w:adjustRightInd w:val="0"/>
        <w:snapToGrid w:val="0"/>
        <w:spacing w:line="360" w:lineRule="auto"/>
        <w:ind w:firstLine="560" w:firstLineChars="200"/>
        <w:rPr>
          <w:snapToGrid w:val="0"/>
          <w:sz w:val="28"/>
          <w:szCs w:val="28"/>
        </w:rPr>
      </w:pPr>
      <w:r>
        <w:rPr>
          <w:snapToGrid w:val="0"/>
          <w:sz w:val="28"/>
          <w:szCs w:val="28"/>
        </w:rPr>
        <w:t>赤峰国富玄武岩矿赤峰国富玄武岩矿矿区面积</w:t>
      </w:r>
      <w:r>
        <w:rPr>
          <w:rFonts w:hint="eastAsia" w:ascii="宋体" w:hAnsi="宋体" w:cs="宋体"/>
          <w:spacing w:val="13"/>
          <w:sz w:val="32"/>
          <w:szCs w:val="32"/>
        </w:rPr>
        <w:t>***</w:t>
      </w:r>
      <w:r>
        <w:rPr>
          <w:rFonts w:hint="eastAsia"/>
          <w:snapToGrid w:val="0"/>
          <w:sz w:val="28"/>
          <w:szCs w:val="28"/>
        </w:rPr>
        <w:t>h</w:t>
      </w:r>
      <w:r>
        <w:rPr>
          <w:snapToGrid w:val="0"/>
          <w:sz w:val="28"/>
          <w:szCs w:val="28"/>
        </w:rPr>
        <w:t>m</w:t>
      </w:r>
      <w:r>
        <w:rPr>
          <w:snapToGrid w:val="0"/>
          <w:sz w:val="28"/>
          <w:szCs w:val="28"/>
          <w:vertAlign w:val="superscript"/>
        </w:rPr>
        <w:t>2</w:t>
      </w:r>
      <w:r>
        <w:rPr>
          <w:snapToGrid w:val="0"/>
          <w:sz w:val="28"/>
          <w:szCs w:val="28"/>
        </w:rPr>
        <w:t>。</w:t>
      </w:r>
    </w:p>
    <w:p w14:paraId="53A78FB0">
      <w:pPr>
        <w:adjustRightInd w:val="0"/>
        <w:snapToGrid w:val="0"/>
        <w:spacing w:line="360" w:lineRule="auto"/>
        <w:ind w:firstLine="560" w:firstLineChars="200"/>
        <w:rPr>
          <w:snapToGrid w:val="0"/>
          <w:sz w:val="28"/>
          <w:szCs w:val="28"/>
        </w:rPr>
      </w:pPr>
      <w:r>
        <w:rPr>
          <w:snapToGrid w:val="0"/>
          <w:sz w:val="28"/>
          <w:szCs w:val="28"/>
        </w:rPr>
        <w:t>2、矿业活动影响范围</w:t>
      </w:r>
    </w:p>
    <w:p w14:paraId="5E402A74">
      <w:pPr>
        <w:adjustRightInd w:val="0"/>
        <w:snapToGrid w:val="0"/>
        <w:spacing w:line="360" w:lineRule="auto"/>
        <w:ind w:firstLine="560" w:firstLineChars="200"/>
        <w:rPr>
          <w:snapToGrid w:val="0"/>
          <w:sz w:val="28"/>
          <w:szCs w:val="28"/>
        </w:rPr>
      </w:pPr>
      <w:r>
        <w:rPr>
          <w:snapToGrid w:val="0"/>
          <w:sz w:val="28"/>
          <w:szCs w:val="28"/>
        </w:rPr>
        <w:t>根据现场实际调查确定，矿区外（</w:t>
      </w:r>
      <w:r>
        <w:rPr>
          <w:rFonts w:hint="eastAsia"/>
          <w:snapToGrid w:val="0"/>
          <w:sz w:val="28"/>
          <w:szCs w:val="28"/>
        </w:rPr>
        <w:t>部分露天采场、工业场地、废石场1、废石场2、废石场3、钻机平台、生活区、办公区、门卫、矿区道路）</w:t>
      </w:r>
      <w:r>
        <w:rPr>
          <w:snapToGrid w:val="0"/>
          <w:sz w:val="28"/>
          <w:szCs w:val="28"/>
        </w:rPr>
        <w:t>矿区外矿业活动的影响面积</w:t>
      </w:r>
      <w:r>
        <w:rPr>
          <w:rFonts w:hint="eastAsia" w:ascii="宋体" w:hAnsi="宋体" w:cs="宋体"/>
          <w:spacing w:val="13"/>
          <w:sz w:val="32"/>
          <w:szCs w:val="32"/>
        </w:rPr>
        <w:t>***</w:t>
      </w:r>
      <w:r>
        <w:rPr>
          <w:rFonts w:hint="eastAsia"/>
          <w:snapToGrid w:val="0"/>
          <w:sz w:val="28"/>
          <w:szCs w:val="28"/>
        </w:rPr>
        <w:t>h</w:t>
      </w:r>
      <w:r>
        <w:rPr>
          <w:snapToGrid w:val="0"/>
          <w:sz w:val="28"/>
          <w:szCs w:val="28"/>
        </w:rPr>
        <w:t>m</w:t>
      </w:r>
      <w:r>
        <w:rPr>
          <w:snapToGrid w:val="0"/>
          <w:sz w:val="28"/>
          <w:szCs w:val="28"/>
          <w:vertAlign w:val="superscript"/>
        </w:rPr>
        <w:t>2</w:t>
      </w:r>
      <w:r>
        <w:rPr>
          <w:snapToGrid w:val="0"/>
          <w:sz w:val="28"/>
          <w:szCs w:val="28"/>
        </w:rPr>
        <w:t>。</w:t>
      </w:r>
    </w:p>
    <w:p w14:paraId="5EA983F9">
      <w:pPr>
        <w:adjustRightInd w:val="0"/>
        <w:snapToGrid w:val="0"/>
        <w:spacing w:line="360" w:lineRule="auto"/>
        <w:ind w:firstLine="560" w:firstLineChars="200"/>
        <w:rPr>
          <w:snapToGrid w:val="0"/>
          <w:sz w:val="28"/>
          <w:szCs w:val="28"/>
        </w:rPr>
      </w:pPr>
      <w:r>
        <w:rPr>
          <w:rFonts w:hint="eastAsia"/>
          <w:snapToGrid w:val="0"/>
          <w:sz w:val="28"/>
          <w:szCs w:val="28"/>
        </w:rPr>
        <w:t>根据矿山规划与《开发利用方案》设计情况，</w:t>
      </w:r>
      <w:r>
        <w:rPr>
          <w:rFonts w:hint="eastAsia"/>
          <w:sz w:val="28"/>
          <w:szCs w:val="28"/>
        </w:rPr>
        <w:t>矿山后续建设将新建排土场、新建办公生活区、新建截洪沟、新建矿区道路。其中新建截洪沟位于现状露天采场范围内，新建办公生活区面积为</w:t>
      </w:r>
      <w:r>
        <w:rPr>
          <w:rFonts w:hint="eastAsia" w:ascii="宋体" w:hAnsi="宋体" w:cs="宋体"/>
          <w:spacing w:val="13"/>
          <w:sz w:val="32"/>
          <w:szCs w:val="32"/>
        </w:rPr>
        <w:t>***</w:t>
      </w:r>
      <w:r>
        <w:rPr>
          <w:sz w:val="28"/>
          <w:szCs w:val="28"/>
        </w:rPr>
        <w:t>hm</w:t>
      </w:r>
      <w:r>
        <w:rPr>
          <w:sz w:val="28"/>
          <w:szCs w:val="28"/>
          <w:vertAlign w:val="superscript"/>
        </w:rPr>
        <w:t>2</w:t>
      </w:r>
      <w:r>
        <w:rPr>
          <w:rFonts w:hint="eastAsia"/>
          <w:sz w:val="28"/>
          <w:szCs w:val="28"/>
        </w:rPr>
        <w:t>，与现状工业场地面积部分重合，新增面积为</w:t>
      </w:r>
      <w:r>
        <w:rPr>
          <w:rFonts w:hint="eastAsia" w:ascii="宋体" w:hAnsi="宋体" w:cs="宋体"/>
          <w:spacing w:val="13"/>
          <w:sz w:val="32"/>
          <w:szCs w:val="32"/>
        </w:rPr>
        <w:t>***</w:t>
      </w:r>
      <w:r>
        <w:rPr>
          <w:rFonts w:hint="eastAsia"/>
          <w:snapToGrid w:val="0"/>
          <w:sz w:val="28"/>
          <w:szCs w:val="28"/>
        </w:rPr>
        <w:t>h</w:t>
      </w:r>
      <w:r>
        <w:rPr>
          <w:snapToGrid w:val="0"/>
          <w:sz w:val="28"/>
          <w:szCs w:val="28"/>
        </w:rPr>
        <w:t>m</w:t>
      </w:r>
      <w:r>
        <w:rPr>
          <w:snapToGrid w:val="0"/>
          <w:sz w:val="28"/>
          <w:szCs w:val="28"/>
          <w:vertAlign w:val="superscript"/>
        </w:rPr>
        <w:t>2</w:t>
      </w:r>
      <w:r>
        <w:rPr>
          <w:rFonts w:hint="eastAsia"/>
          <w:sz w:val="28"/>
          <w:szCs w:val="28"/>
        </w:rPr>
        <w:t>、新建排土场新增面积为</w:t>
      </w:r>
      <w:r>
        <w:rPr>
          <w:rFonts w:hint="eastAsia" w:ascii="宋体" w:hAnsi="宋体" w:cs="宋体"/>
          <w:spacing w:val="13"/>
          <w:sz w:val="32"/>
          <w:szCs w:val="32"/>
        </w:rPr>
        <w:t>***</w:t>
      </w:r>
      <w:r>
        <w:rPr>
          <w:sz w:val="28"/>
          <w:szCs w:val="28"/>
        </w:rPr>
        <w:t>hm</w:t>
      </w:r>
      <w:r>
        <w:rPr>
          <w:sz w:val="28"/>
          <w:szCs w:val="28"/>
          <w:vertAlign w:val="superscript"/>
        </w:rPr>
        <w:t>2</w:t>
      </w:r>
      <w:r>
        <w:rPr>
          <w:rFonts w:hint="eastAsia"/>
          <w:sz w:val="28"/>
          <w:szCs w:val="28"/>
        </w:rPr>
        <w:t>、新建矿区道路新增面积为</w:t>
      </w:r>
      <w:r>
        <w:rPr>
          <w:rFonts w:hint="eastAsia" w:ascii="宋体" w:hAnsi="宋体" w:cs="宋体"/>
          <w:spacing w:val="13"/>
          <w:sz w:val="32"/>
          <w:szCs w:val="32"/>
        </w:rPr>
        <w:t>***</w:t>
      </w:r>
      <w:r>
        <w:rPr>
          <w:sz w:val="28"/>
          <w:szCs w:val="28"/>
        </w:rPr>
        <w:t>hm</w:t>
      </w:r>
      <w:r>
        <w:rPr>
          <w:sz w:val="28"/>
          <w:szCs w:val="28"/>
          <w:vertAlign w:val="superscript"/>
        </w:rPr>
        <w:t>2</w:t>
      </w:r>
      <w:r>
        <w:rPr>
          <w:rFonts w:hint="eastAsia"/>
          <w:sz w:val="28"/>
          <w:szCs w:val="28"/>
        </w:rPr>
        <w:t>，合计拟建场地新增面积为</w:t>
      </w:r>
      <w:r>
        <w:rPr>
          <w:rFonts w:hint="eastAsia" w:ascii="宋体" w:hAnsi="宋体" w:cs="宋体"/>
          <w:spacing w:val="13"/>
          <w:sz w:val="32"/>
          <w:szCs w:val="32"/>
        </w:rPr>
        <w:t>***</w:t>
      </w:r>
      <w:r>
        <w:rPr>
          <w:sz w:val="28"/>
          <w:szCs w:val="28"/>
        </w:rPr>
        <w:t>hm</w:t>
      </w:r>
      <w:r>
        <w:rPr>
          <w:sz w:val="28"/>
          <w:szCs w:val="28"/>
          <w:vertAlign w:val="superscript"/>
        </w:rPr>
        <w:t>2</w:t>
      </w:r>
      <w:r>
        <w:rPr>
          <w:rFonts w:hint="eastAsia"/>
          <w:sz w:val="28"/>
          <w:szCs w:val="28"/>
        </w:rPr>
        <w:t>。</w:t>
      </w:r>
    </w:p>
    <w:p w14:paraId="2838CD83">
      <w:pPr>
        <w:adjustRightInd w:val="0"/>
        <w:snapToGrid w:val="0"/>
        <w:spacing w:line="360" w:lineRule="auto"/>
        <w:ind w:firstLine="560" w:firstLineChars="200"/>
        <w:rPr>
          <w:snapToGrid w:val="0"/>
          <w:sz w:val="28"/>
          <w:szCs w:val="28"/>
        </w:rPr>
      </w:pPr>
      <w:r>
        <w:rPr>
          <w:snapToGrid w:val="0"/>
          <w:sz w:val="28"/>
          <w:szCs w:val="28"/>
        </w:rPr>
        <w:t>3、矿区生态修复范围</w:t>
      </w:r>
    </w:p>
    <w:p w14:paraId="2630DD34">
      <w:pPr>
        <w:adjustRightInd w:val="0"/>
        <w:snapToGrid w:val="0"/>
        <w:spacing w:line="360" w:lineRule="auto"/>
        <w:ind w:firstLine="560" w:firstLineChars="200"/>
        <w:rPr>
          <w:snapToGrid w:val="0"/>
          <w:sz w:val="28"/>
          <w:szCs w:val="28"/>
        </w:rPr>
      </w:pPr>
      <w:r>
        <w:rPr>
          <w:snapToGrid w:val="0"/>
          <w:sz w:val="28"/>
          <w:szCs w:val="28"/>
        </w:rPr>
        <w:t>综上所述矿区生态修复范围为矿区范围及影响区范围，则矿区生态修复范围总面积</w:t>
      </w:r>
      <w:r>
        <w:rPr>
          <w:rFonts w:hint="eastAsia" w:ascii="宋体" w:hAnsi="宋体" w:cs="宋体"/>
          <w:spacing w:val="13"/>
          <w:sz w:val="32"/>
          <w:szCs w:val="32"/>
        </w:rPr>
        <w:t>***</w:t>
      </w:r>
      <w:r>
        <w:rPr>
          <w:rFonts w:hint="eastAsia"/>
          <w:snapToGrid w:val="0"/>
          <w:sz w:val="28"/>
          <w:szCs w:val="28"/>
        </w:rPr>
        <w:t>h</w:t>
      </w:r>
      <w:r>
        <w:rPr>
          <w:snapToGrid w:val="0"/>
          <w:sz w:val="28"/>
          <w:szCs w:val="28"/>
        </w:rPr>
        <w:t>m²。</w:t>
      </w:r>
    </w:p>
    <w:p w14:paraId="3BA2D9B9">
      <w:pPr>
        <w:pStyle w:val="88"/>
        <w:rPr>
          <w:rFonts w:ascii="Times New Roman" w:cs="Times New Roman" w:eastAsiaTheme="minorEastAsia"/>
          <w:snapToGrid w:val="0"/>
          <w:color w:val="auto"/>
        </w:rPr>
      </w:pPr>
    </w:p>
    <w:p w14:paraId="71877322">
      <w:pPr>
        <w:tabs>
          <w:tab w:val="left" w:pos="3186"/>
        </w:tabs>
        <w:ind w:firstLine="1920" w:firstLineChars="800"/>
        <w:jc w:val="left"/>
        <w:rPr>
          <w:rFonts w:eastAsia="黑体"/>
          <w:kern w:val="0"/>
          <w:sz w:val="24"/>
          <w:szCs w:val="24"/>
        </w:rPr>
      </w:pPr>
      <w:r>
        <w:rPr>
          <w:rFonts w:eastAsia="黑体"/>
          <w:kern w:val="0"/>
          <w:sz w:val="24"/>
          <w:szCs w:val="24"/>
        </w:rPr>
        <w:t>图3-1  矿区生态修复范围示意图</w:t>
      </w:r>
    </w:p>
    <w:p w14:paraId="7458D2E3">
      <w:pPr>
        <w:pStyle w:val="115"/>
        <w:rPr>
          <w:rFonts w:ascii="Times New Roman" w:hAnsi="Times New Roman" w:cs="Times New Roman"/>
          <w:b/>
          <w:bCs/>
          <w:kern w:val="0"/>
          <w:sz w:val="28"/>
          <w:szCs w:val="28"/>
        </w:rPr>
        <w:sectPr>
          <w:headerReference r:id="rId16" w:type="default"/>
          <w:pgSz w:w="11906" w:h="16838"/>
          <w:pgMar w:top="1418" w:right="1418" w:bottom="1418" w:left="1418" w:header="851" w:footer="992" w:gutter="0"/>
          <w:cols w:space="720" w:num="1"/>
          <w:docGrid w:linePitch="312" w:charSpace="0"/>
        </w:sectPr>
      </w:pPr>
    </w:p>
    <w:p w14:paraId="0E9F5244">
      <w:pPr>
        <w:adjustRightInd w:val="0"/>
        <w:snapToGrid w:val="0"/>
        <w:spacing w:before="120" w:beforeLines="50" w:line="360" w:lineRule="auto"/>
        <w:ind w:firstLine="565" w:firstLineChars="201"/>
        <w:outlineLvl w:val="2"/>
        <w:rPr>
          <w:b/>
          <w:bCs/>
          <w:snapToGrid w:val="0"/>
          <w:sz w:val="28"/>
          <w:szCs w:val="28"/>
        </w:rPr>
      </w:pPr>
      <w:bookmarkStart w:id="85" w:name="_Hlk221183422"/>
      <w:bookmarkStart w:id="86" w:name="_Toc210478053"/>
      <w:r>
        <w:rPr>
          <w:b/>
          <w:bCs/>
          <w:snapToGrid w:val="0"/>
          <w:sz w:val="28"/>
          <w:szCs w:val="28"/>
        </w:rPr>
        <w:t>二、现状问题</w:t>
      </w:r>
      <w:bookmarkEnd w:id="85"/>
    </w:p>
    <w:p w14:paraId="1123C1AA">
      <w:pPr>
        <w:adjustRightInd w:val="0"/>
        <w:snapToGrid w:val="0"/>
        <w:spacing w:line="360" w:lineRule="auto"/>
        <w:ind w:firstLine="562" w:firstLineChars="200"/>
        <w:outlineLvl w:val="3"/>
        <w:rPr>
          <w:b/>
          <w:bCs/>
          <w:sz w:val="28"/>
          <w:szCs w:val="28"/>
        </w:rPr>
      </w:pPr>
      <w:r>
        <w:rPr>
          <w:b/>
          <w:bCs/>
          <w:snapToGrid w:val="0"/>
          <w:sz w:val="28"/>
          <w:szCs w:val="28"/>
        </w:rPr>
        <w:t>（一）地质环境破坏现状</w:t>
      </w:r>
    </w:p>
    <w:p w14:paraId="23C94AC3">
      <w:pPr>
        <w:spacing w:line="360" w:lineRule="auto"/>
        <w:ind w:firstLine="562" w:firstLineChars="200"/>
        <w:rPr>
          <w:b/>
          <w:bCs/>
          <w:sz w:val="28"/>
          <w:szCs w:val="28"/>
        </w:rPr>
      </w:pPr>
      <w:r>
        <w:rPr>
          <w:b/>
          <w:bCs/>
          <w:sz w:val="28"/>
          <w:szCs w:val="28"/>
        </w:rPr>
        <w:t>1、</w:t>
      </w:r>
      <w:r>
        <w:rPr>
          <w:rFonts w:hint="eastAsia"/>
          <w:b/>
          <w:bCs/>
          <w:sz w:val="28"/>
          <w:szCs w:val="28"/>
        </w:rPr>
        <w:t>不稳定地质体</w:t>
      </w:r>
      <w:r>
        <w:rPr>
          <w:b/>
          <w:bCs/>
          <w:sz w:val="28"/>
          <w:szCs w:val="28"/>
        </w:rPr>
        <w:t>现状</w:t>
      </w:r>
    </w:p>
    <w:p w14:paraId="7C45D08F">
      <w:pPr>
        <w:adjustRightInd w:val="0"/>
        <w:snapToGrid w:val="0"/>
        <w:spacing w:line="360" w:lineRule="auto"/>
        <w:ind w:firstLine="560" w:firstLineChars="200"/>
        <w:rPr>
          <w:sz w:val="28"/>
          <w:szCs w:val="28"/>
        </w:rPr>
      </w:pPr>
      <w:r>
        <w:rPr>
          <w:sz w:val="28"/>
          <w:szCs w:val="28"/>
        </w:rPr>
        <w:t>根据现状调查，矿区生态修复影响范围内无登记在册的地质灾害，且不会对矿山生产建设造成影响。矿山生产建设引发的地质灾害和隐患包括露天采场边坡、废石场堆积形成的不稳定边坡和可能引发的崩塌隐患。</w:t>
      </w:r>
    </w:p>
    <w:p w14:paraId="1D5F0738">
      <w:pPr>
        <w:adjustRightInd w:val="0"/>
        <w:snapToGrid w:val="0"/>
        <w:spacing w:line="360" w:lineRule="auto"/>
        <w:ind w:firstLine="560" w:firstLineChars="200"/>
        <w:rPr>
          <w:sz w:val="28"/>
          <w:szCs w:val="28"/>
        </w:rPr>
      </w:pPr>
      <w:r>
        <w:rPr>
          <w:rFonts w:hint="eastAsia"/>
          <w:sz w:val="28"/>
          <w:szCs w:val="28"/>
        </w:rPr>
        <w:t>（1）露天采场不稳定边坡</w:t>
      </w:r>
    </w:p>
    <w:p w14:paraId="61A4C031">
      <w:pPr>
        <w:adjustRightInd w:val="0"/>
        <w:snapToGrid w:val="0"/>
        <w:spacing w:line="360" w:lineRule="auto"/>
        <w:ind w:firstLine="560" w:firstLineChars="200"/>
        <w:rPr>
          <w:sz w:val="28"/>
          <w:szCs w:val="28"/>
        </w:rPr>
      </w:pPr>
      <w:r>
        <w:rPr>
          <w:rFonts w:hint="eastAsia"/>
          <w:sz w:val="28"/>
          <w:szCs w:val="28"/>
        </w:rPr>
        <w:t>根据现场调查，评估区内山体稳定，地形起伏变化小，未曾发生过崩塌地质灾害。露天采场上部为第四系砂砾石，下部为玄武岩，属坚硬岩石，地质构造简单，未见断裂构造，但经长期风化剥蚀，临空面岩壁岩体风化明显，存在多组节理裂隙切割，局部岩体破碎、剥落，坡面存在凹腔、悬空岩块，底部堆积大量崩落碎石，台阶布设不规整，缺少安全平台，边坡角远大于常规岩质边坡推荐坡角；上部山体有残坡积土层与基岩接触面，降雨入渗易沿接触面软化，加剧失稳风险。</w:t>
      </w:r>
    </w:p>
    <w:p w14:paraId="086DF145">
      <w:pPr>
        <w:adjustRightInd w:val="0"/>
        <w:snapToGrid w:val="0"/>
        <w:spacing w:line="360" w:lineRule="auto"/>
        <w:ind w:firstLine="560" w:firstLineChars="200"/>
        <w:rPr>
          <w:snapToGrid w:val="0"/>
          <w:sz w:val="28"/>
          <w:szCs w:val="28"/>
        </w:rPr>
      </w:pPr>
      <w:r>
        <w:rPr>
          <w:rFonts w:hint="eastAsia"/>
          <w:sz w:val="28"/>
          <w:szCs w:val="28"/>
        </w:rPr>
        <w:t>现状条件下，岩体节理裂隙发育、风化卸荷，经过爆破振动扰动、雨水入渗，裂隙水压力升高，易发生倾倒式崩塌、坠落式危岩崩落；危害采场底部作业平台、施工设备、作业人员、场内运输道路。、</w:t>
      </w:r>
    </w:p>
    <w:p w14:paraId="7CCD92E5">
      <w:pPr>
        <w:pStyle w:val="88"/>
        <w:spacing w:line="360" w:lineRule="auto"/>
        <w:jc w:val="center"/>
        <w:rPr>
          <w:rFonts w:ascii="Times New Roman" w:eastAsia="黑体" w:cs="Times New Roman"/>
          <w:color w:val="auto"/>
        </w:rPr>
      </w:pPr>
      <w:r>
        <w:rPr>
          <w:rFonts w:ascii="Times New Roman" w:eastAsia="黑体" w:cs="Times New Roman"/>
          <w:color w:val="auto"/>
        </w:rPr>
        <w:t>照片3-1  露天采场采掘面</w:t>
      </w:r>
    </w:p>
    <w:bookmarkEnd w:id="86"/>
    <w:p w14:paraId="7589492F">
      <w:pPr>
        <w:adjustRightInd w:val="0"/>
        <w:snapToGrid w:val="0"/>
        <w:spacing w:line="360" w:lineRule="auto"/>
        <w:ind w:firstLine="560" w:firstLineChars="200"/>
        <w:rPr>
          <w:sz w:val="28"/>
          <w:szCs w:val="28"/>
        </w:rPr>
      </w:pPr>
      <w:r>
        <w:rPr>
          <w:rFonts w:hint="eastAsia"/>
          <w:sz w:val="28"/>
          <w:szCs w:val="28"/>
        </w:rPr>
        <w:t>现状下崩塌地质灾害规模中等，可能造成直接经济损失中等，受威胁人员主要为附近放牧的人员和牲畜，地质灾害危害程度中等，崩塌地质灾害发育程度中等，危险性中等。</w:t>
      </w:r>
    </w:p>
    <w:p w14:paraId="2EC982CA">
      <w:pPr>
        <w:adjustRightInd w:val="0"/>
        <w:snapToGrid w:val="0"/>
        <w:spacing w:line="360" w:lineRule="auto"/>
        <w:ind w:firstLine="560" w:firstLineChars="200"/>
        <w:rPr>
          <w:sz w:val="28"/>
          <w:szCs w:val="28"/>
        </w:rPr>
      </w:pPr>
      <w:r>
        <w:rPr>
          <w:rFonts w:hint="eastAsia"/>
          <w:sz w:val="28"/>
          <w:szCs w:val="28"/>
        </w:rPr>
        <w:t>（2）废石场不稳定边坡</w:t>
      </w:r>
    </w:p>
    <w:p w14:paraId="03AB5CD3">
      <w:pPr>
        <w:spacing w:line="360" w:lineRule="auto"/>
        <w:ind w:firstLine="560" w:firstLineChars="200"/>
        <w:contextualSpacing/>
        <w:rPr>
          <w:sz w:val="28"/>
          <w:szCs w:val="28"/>
        </w:rPr>
      </w:pPr>
      <w:r>
        <w:rPr>
          <w:rFonts w:hint="eastAsia"/>
          <w:sz w:val="28"/>
          <w:szCs w:val="28"/>
        </w:rPr>
        <w:t>现状废石场2属于前期治理露天采场超采区域回填所形成，现状调查场地废石堆高约</w:t>
      </w:r>
      <w:r>
        <w:rPr>
          <w:rFonts w:hint="eastAsia" w:ascii="宋体" w:hAnsi="宋体" w:cs="宋体"/>
          <w:spacing w:val="13"/>
          <w:sz w:val="32"/>
          <w:szCs w:val="32"/>
        </w:rPr>
        <w:t>***</w:t>
      </w:r>
      <w:r>
        <w:rPr>
          <w:rFonts w:hint="eastAsia"/>
          <w:sz w:val="28"/>
          <w:szCs w:val="28"/>
        </w:rPr>
        <w:t>m，堆放坡角约</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废石场2属于人工碎石土松散堆积体，堆体由多级排土台阶构成，坡面可见冲沟发育、表层岩土剥离现象，堆体临空面大，物质组成为块石、碎石、粉土混杂，颗粒级配不均，整体稳定性受降雨、堆载、坡脚扰动控制。</w:t>
      </w:r>
    </w:p>
    <w:p w14:paraId="6014AB2B">
      <w:pPr>
        <w:spacing w:line="360" w:lineRule="auto"/>
        <w:ind w:firstLine="560" w:firstLineChars="200"/>
        <w:contextualSpacing/>
        <w:rPr>
          <w:sz w:val="28"/>
          <w:szCs w:val="28"/>
        </w:rPr>
      </w:pPr>
      <w:r>
        <w:rPr>
          <w:rFonts w:hint="eastAsia"/>
          <w:sz w:val="28"/>
          <w:szCs w:val="28"/>
        </w:rPr>
        <w:t>废石堆积体内部孔隙发育，细粒土在降雨入渗后易形成软弱夹层，孔隙水压力升高，降低土体抗剪强度。存在两种失稳模式：①浅层溜滑：表层碎石土沿风化接触面发生局部滑塌；②推移式滑坡：堆体沿基底岩土界面发生整体滑动。现状坡面已出现冲刷沟槽，是滑坡早期变形迹象。主要诱发因素是大气降雨，雨水入渗软化土体、增大堆体自重。</w:t>
      </w:r>
    </w:p>
    <w:p w14:paraId="13F78A62">
      <w:pPr>
        <w:adjustRightInd w:val="0"/>
        <w:snapToGrid w:val="0"/>
        <w:spacing w:line="360" w:lineRule="auto"/>
        <w:ind w:firstLine="560" w:firstLineChars="200"/>
        <w:rPr>
          <w:sz w:val="28"/>
          <w:szCs w:val="28"/>
        </w:rPr>
      </w:pPr>
      <w:r>
        <w:rPr>
          <w:rFonts w:hint="eastAsia"/>
          <w:sz w:val="28"/>
          <w:szCs w:val="28"/>
        </w:rPr>
        <w:t>现状条件下，废石堆积松散，经过爆破振动扰动、雨水入渗，孔隙水压力升高，易发生滑坡风险；危害废石场底部作业平台、施工设备、作业人员、场内运输道路。</w:t>
      </w:r>
    </w:p>
    <w:p w14:paraId="1A848B73">
      <w:pPr>
        <w:adjustRightInd w:val="0"/>
        <w:snapToGrid w:val="0"/>
        <w:spacing w:line="360" w:lineRule="auto"/>
        <w:jc w:val="center"/>
        <w:rPr>
          <w:rFonts w:hint="eastAsia" w:ascii="黑体" w:hAnsi="黑体" w:eastAsia="黑体"/>
          <w:sz w:val="24"/>
          <w:szCs w:val="24"/>
        </w:rPr>
      </w:pPr>
      <w:r>
        <w:rPr>
          <w:rFonts w:hint="eastAsia" w:ascii="黑体" w:hAnsi="黑体" w:eastAsia="黑体"/>
          <w:sz w:val="24"/>
          <w:szCs w:val="24"/>
        </w:rPr>
        <w:t>照片3-2  废石场2不稳定边坡现状</w:t>
      </w:r>
    </w:p>
    <w:p w14:paraId="69E676F1">
      <w:pPr>
        <w:adjustRightInd w:val="0"/>
        <w:snapToGrid w:val="0"/>
        <w:spacing w:line="360" w:lineRule="auto"/>
        <w:ind w:firstLine="560" w:firstLineChars="200"/>
        <w:rPr>
          <w:sz w:val="28"/>
          <w:szCs w:val="28"/>
        </w:rPr>
      </w:pPr>
      <w:r>
        <w:rPr>
          <w:rFonts w:hint="eastAsia"/>
          <w:sz w:val="28"/>
          <w:szCs w:val="28"/>
        </w:rPr>
        <w:t>现状下滑坡地质灾害规模中等，可能造成直接经济损失中等，受威胁人员主要为附近放牧的人员和牲畜，地质灾害危害程度中等，滑坡地质灾害发育程度中等，危险性中等。</w:t>
      </w:r>
    </w:p>
    <w:p w14:paraId="496DF648">
      <w:pPr>
        <w:adjustRightInd w:val="0"/>
        <w:snapToGrid w:val="0"/>
        <w:spacing w:line="360" w:lineRule="auto"/>
        <w:ind w:firstLine="560" w:firstLineChars="200"/>
        <w:rPr>
          <w:sz w:val="28"/>
          <w:szCs w:val="28"/>
        </w:rPr>
      </w:pPr>
      <w:r>
        <w:rPr>
          <w:sz w:val="28"/>
          <w:szCs w:val="28"/>
        </w:rPr>
        <w:t>综上所述，现状条件下，矿区现状</w:t>
      </w:r>
      <w:r>
        <w:rPr>
          <w:rFonts w:hint="eastAsia"/>
          <w:sz w:val="28"/>
          <w:szCs w:val="28"/>
        </w:rPr>
        <w:t>露天采场</w:t>
      </w:r>
      <w:r>
        <w:rPr>
          <w:sz w:val="28"/>
          <w:szCs w:val="28"/>
        </w:rPr>
        <w:t>存在</w:t>
      </w:r>
      <w:r>
        <w:rPr>
          <w:rFonts w:hint="eastAsia"/>
          <w:sz w:val="28"/>
          <w:szCs w:val="28"/>
        </w:rPr>
        <w:t>崩塌</w:t>
      </w:r>
      <w:bookmarkStart w:id="87" w:name="OLE_LINK26"/>
      <w:r>
        <w:rPr>
          <w:sz w:val="28"/>
          <w:szCs w:val="28"/>
        </w:rPr>
        <w:t>地质灾害问题</w:t>
      </w:r>
      <w:bookmarkEnd w:id="87"/>
      <w:r>
        <w:rPr>
          <w:rFonts w:hint="eastAsia"/>
          <w:sz w:val="28"/>
          <w:szCs w:val="28"/>
        </w:rPr>
        <w:t>、废石场2存在滑坡</w:t>
      </w:r>
      <w:r>
        <w:rPr>
          <w:sz w:val="28"/>
          <w:szCs w:val="28"/>
        </w:rPr>
        <w:t>地质灾害问题</w:t>
      </w:r>
      <w:r>
        <w:rPr>
          <w:rFonts w:hint="eastAsia"/>
          <w:sz w:val="28"/>
          <w:szCs w:val="28"/>
        </w:rPr>
        <w:t>，</w:t>
      </w:r>
      <w:r>
        <w:rPr>
          <w:sz w:val="28"/>
          <w:szCs w:val="28"/>
        </w:rPr>
        <w:t>现状危害程度</w:t>
      </w:r>
      <w:r>
        <w:rPr>
          <w:rFonts w:hint="eastAsia"/>
          <w:sz w:val="28"/>
          <w:szCs w:val="28"/>
        </w:rPr>
        <w:t>中等</w:t>
      </w:r>
      <w:r>
        <w:rPr>
          <w:sz w:val="28"/>
          <w:szCs w:val="28"/>
        </w:rPr>
        <w:t>，危险性</w:t>
      </w:r>
      <w:r>
        <w:rPr>
          <w:rFonts w:hint="eastAsia"/>
          <w:sz w:val="28"/>
          <w:szCs w:val="28"/>
        </w:rPr>
        <w:t>中等</w:t>
      </w:r>
      <w:r>
        <w:rPr>
          <w:sz w:val="28"/>
          <w:szCs w:val="28"/>
        </w:rPr>
        <w:t>；矿区生态修复影响范围内其他工程场地地质灾害不发育。现状评估地质灾害影响程度分级为较</w:t>
      </w:r>
      <w:r>
        <w:rPr>
          <w:rFonts w:hint="eastAsia"/>
          <w:sz w:val="28"/>
          <w:szCs w:val="28"/>
        </w:rPr>
        <w:t>严重</w:t>
      </w:r>
      <w:r>
        <w:rPr>
          <w:sz w:val="28"/>
          <w:szCs w:val="28"/>
        </w:rPr>
        <w:t>。</w:t>
      </w:r>
    </w:p>
    <w:p w14:paraId="1A8E163B">
      <w:pPr>
        <w:spacing w:line="360" w:lineRule="auto"/>
        <w:ind w:firstLine="562" w:firstLineChars="200"/>
        <w:contextualSpacing/>
        <w:rPr>
          <w:b/>
          <w:bCs/>
          <w:sz w:val="28"/>
          <w:szCs w:val="28"/>
        </w:rPr>
      </w:pPr>
      <w:r>
        <w:rPr>
          <w:b/>
          <w:bCs/>
          <w:sz w:val="28"/>
          <w:szCs w:val="28"/>
        </w:rPr>
        <w:t>2、矿区含水层破坏分析</w:t>
      </w:r>
    </w:p>
    <w:p w14:paraId="57F78264">
      <w:pPr>
        <w:spacing w:line="360" w:lineRule="auto"/>
        <w:ind w:firstLine="560" w:firstLineChars="200"/>
        <w:rPr>
          <w:sz w:val="28"/>
          <w:szCs w:val="28"/>
        </w:rPr>
      </w:pPr>
      <w:r>
        <w:rPr>
          <w:rFonts w:hint="eastAsia"/>
          <w:sz w:val="28"/>
          <w:szCs w:val="28"/>
        </w:rPr>
        <w:t>（1）含水层结构破坏</w:t>
      </w:r>
    </w:p>
    <w:p w14:paraId="4D520F91">
      <w:pPr>
        <w:spacing w:line="360" w:lineRule="auto"/>
        <w:ind w:firstLine="560" w:firstLineChars="200"/>
        <w:rPr>
          <w:sz w:val="28"/>
          <w:szCs w:val="28"/>
        </w:rPr>
      </w:pPr>
      <w:r>
        <w:rPr>
          <w:rFonts w:hint="eastAsia"/>
          <w:sz w:val="28"/>
          <w:szCs w:val="28"/>
        </w:rPr>
        <w:t>现状露天采场最低开采底标高</w:t>
      </w:r>
      <w:r>
        <w:rPr>
          <w:rFonts w:hint="eastAsia" w:ascii="宋体" w:hAnsi="宋体" w:cs="宋体"/>
          <w:spacing w:val="13"/>
          <w:sz w:val="32"/>
          <w:szCs w:val="32"/>
        </w:rPr>
        <w:t>***</w:t>
      </w:r>
      <w:r>
        <w:rPr>
          <w:rFonts w:hint="eastAsia"/>
          <w:sz w:val="28"/>
          <w:szCs w:val="28"/>
        </w:rPr>
        <w:t>m，含水层静止</w:t>
      </w:r>
      <w:r>
        <w:rPr>
          <w:sz w:val="28"/>
          <w:szCs w:val="28"/>
        </w:rPr>
        <w:t>水位标高在</w:t>
      </w:r>
      <w:r>
        <w:rPr>
          <w:rFonts w:hint="eastAsia" w:ascii="宋体" w:hAnsi="宋体" w:cs="宋体"/>
          <w:spacing w:val="13"/>
          <w:sz w:val="32"/>
          <w:szCs w:val="32"/>
        </w:rPr>
        <w:t>***</w:t>
      </w:r>
      <w:r>
        <w:rPr>
          <w:sz w:val="28"/>
          <w:szCs w:val="28"/>
        </w:rPr>
        <w:t>m以下</w:t>
      </w:r>
      <w:r>
        <w:rPr>
          <w:rFonts w:hint="eastAsia"/>
          <w:sz w:val="28"/>
          <w:szCs w:val="28"/>
        </w:rPr>
        <w:t>，采场底标高位于地下水位标高以上，现状条件下，露天采场未揭露地下水含水层。</w:t>
      </w:r>
    </w:p>
    <w:p w14:paraId="602C1453">
      <w:pPr>
        <w:spacing w:line="360" w:lineRule="auto"/>
        <w:ind w:firstLine="560" w:firstLineChars="200"/>
        <w:rPr>
          <w:sz w:val="28"/>
          <w:szCs w:val="28"/>
        </w:rPr>
      </w:pPr>
      <w:r>
        <w:rPr>
          <w:rFonts w:hint="eastAsia"/>
          <w:sz w:val="28"/>
          <w:szCs w:val="28"/>
        </w:rPr>
        <w:t>（2）矿坑疏干排水对含水层影响</w:t>
      </w:r>
    </w:p>
    <w:p w14:paraId="1614AE83">
      <w:pPr>
        <w:spacing w:line="360" w:lineRule="auto"/>
        <w:ind w:firstLine="560" w:firstLineChars="200"/>
        <w:rPr>
          <w:sz w:val="28"/>
          <w:szCs w:val="28"/>
        </w:rPr>
      </w:pPr>
      <w:r>
        <w:rPr>
          <w:rFonts w:hint="eastAsia"/>
          <w:sz w:val="28"/>
          <w:szCs w:val="28"/>
        </w:rPr>
        <w:t>现状条件下，露天采场的开采工作未揭露含水层，未产生矿坑疏干排水。</w:t>
      </w:r>
    </w:p>
    <w:p w14:paraId="3277A2D2">
      <w:pPr>
        <w:spacing w:line="360" w:lineRule="auto"/>
        <w:ind w:firstLine="560" w:firstLineChars="200"/>
        <w:rPr>
          <w:sz w:val="28"/>
          <w:szCs w:val="28"/>
        </w:rPr>
      </w:pPr>
      <w:r>
        <w:rPr>
          <w:rFonts w:hint="eastAsia"/>
          <w:sz w:val="28"/>
          <w:szCs w:val="28"/>
        </w:rPr>
        <w:t>（3）对矿区及附近水源的影响</w:t>
      </w:r>
    </w:p>
    <w:p w14:paraId="32AE13DA">
      <w:pPr>
        <w:spacing w:line="360" w:lineRule="auto"/>
        <w:ind w:firstLine="560" w:firstLineChars="200"/>
        <w:rPr>
          <w:sz w:val="28"/>
          <w:szCs w:val="28"/>
        </w:rPr>
      </w:pPr>
      <w:r>
        <w:rPr>
          <w:rFonts w:hint="eastAsia"/>
          <w:sz w:val="28"/>
          <w:szCs w:val="28"/>
        </w:rPr>
        <w:t>据实地调查，矿区及周围无常年性地表水体，在现状条件下，采坑无排水，未对附近水源造成影响。</w:t>
      </w:r>
    </w:p>
    <w:p w14:paraId="5B3C698F">
      <w:pPr>
        <w:spacing w:line="360" w:lineRule="auto"/>
        <w:ind w:firstLine="560" w:firstLineChars="200"/>
        <w:rPr>
          <w:sz w:val="28"/>
          <w:szCs w:val="28"/>
        </w:rPr>
      </w:pPr>
      <w:r>
        <w:rPr>
          <w:rFonts w:hint="eastAsia"/>
          <w:sz w:val="28"/>
          <w:szCs w:val="28"/>
        </w:rPr>
        <w:t>（4）对地下水水质影响</w:t>
      </w:r>
    </w:p>
    <w:p w14:paraId="37AA8B36">
      <w:pPr>
        <w:spacing w:line="360" w:lineRule="auto"/>
        <w:ind w:firstLine="560" w:firstLineChars="200"/>
        <w:rPr>
          <w:sz w:val="28"/>
          <w:szCs w:val="28"/>
        </w:rPr>
      </w:pPr>
      <w:r>
        <w:rPr>
          <w:rFonts w:hint="eastAsia"/>
          <w:sz w:val="28"/>
          <w:szCs w:val="28"/>
        </w:rPr>
        <w:t>据实地调查，矿山现状采坑无排水，不会影响到地下水水质。</w:t>
      </w:r>
    </w:p>
    <w:p w14:paraId="24AB5E8D">
      <w:pPr>
        <w:spacing w:line="360" w:lineRule="auto"/>
        <w:ind w:firstLine="560" w:firstLineChars="200"/>
        <w:rPr>
          <w:sz w:val="28"/>
          <w:szCs w:val="28"/>
        </w:rPr>
      </w:pPr>
      <w:r>
        <w:rPr>
          <w:rFonts w:hint="eastAsia"/>
          <w:sz w:val="28"/>
          <w:szCs w:val="28"/>
        </w:rPr>
        <w:t>综上所述，现状矿山开采未破坏含水层结构；采坑无疏干水；矿山未对矿区及附近水源造成影响；矿山现状对地下水水质的影响较轻。</w:t>
      </w:r>
    </w:p>
    <w:p w14:paraId="5D570915">
      <w:pPr>
        <w:spacing w:line="360" w:lineRule="auto"/>
        <w:ind w:firstLine="562" w:firstLineChars="200"/>
        <w:contextualSpacing/>
        <w:rPr>
          <w:b/>
          <w:bCs/>
          <w:sz w:val="28"/>
          <w:szCs w:val="28"/>
        </w:rPr>
      </w:pPr>
      <w:r>
        <w:rPr>
          <w:b/>
          <w:bCs/>
          <w:sz w:val="28"/>
          <w:szCs w:val="28"/>
        </w:rPr>
        <w:t>3、矿区地形地貌景观破坏</w:t>
      </w:r>
    </w:p>
    <w:p w14:paraId="6F045DDE">
      <w:pPr>
        <w:spacing w:line="360" w:lineRule="auto"/>
        <w:ind w:firstLine="560" w:firstLineChars="200"/>
        <w:contextualSpacing/>
        <w:rPr>
          <w:sz w:val="28"/>
          <w:szCs w:val="28"/>
        </w:rPr>
      </w:pPr>
      <w:r>
        <w:rPr>
          <w:sz w:val="28"/>
          <w:szCs w:val="28"/>
        </w:rPr>
        <w:t>矿山远离各人文景观、风景旅游区、城市周围、主要交通干线（不可视），现状矿山开采对地形地貌景观的影响主要表现在已形成的工程场地，主要为</w:t>
      </w:r>
      <w:r>
        <w:rPr>
          <w:rFonts w:hint="eastAsia"/>
          <w:snapToGrid w:val="0"/>
          <w:sz w:val="28"/>
          <w:szCs w:val="28"/>
        </w:rPr>
        <w:t>露天采场、工业场地、废石场1、废石场2、废石场3、钻机平台、生活区、办公区、门卫、矿区道路</w:t>
      </w:r>
      <w:r>
        <w:rPr>
          <w:rFonts w:hint="eastAsia"/>
          <w:sz w:val="28"/>
          <w:szCs w:val="28"/>
        </w:rPr>
        <w:t>等。</w:t>
      </w:r>
    </w:p>
    <w:p w14:paraId="1591F56D">
      <w:pPr>
        <w:spacing w:line="360" w:lineRule="auto"/>
        <w:ind w:firstLine="560" w:firstLineChars="200"/>
        <w:contextualSpacing/>
        <w:rPr>
          <w:sz w:val="28"/>
          <w:szCs w:val="28"/>
        </w:rPr>
      </w:pPr>
      <w:r>
        <w:rPr>
          <w:sz w:val="28"/>
          <w:szCs w:val="28"/>
        </w:rPr>
        <w:t>根据《矿山地质环境保护与恢复治理方案编制规范》（DZ/T 0223-2011），参考国家和地方相关部门规定的划分标准，将地形地貌景观破坏程度等级数确定为3级标准，分别定为：一级（较轻）、二级（较严重）、三级（严重）。可以定义如下：</w:t>
      </w:r>
    </w:p>
    <w:p w14:paraId="1B81201B">
      <w:pPr>
        <w:spacing w:line="360" w:lineRule="auto"/>
        <w:ind w:firstLine="560" w:firstLineChars="200"/>
        <w:contextualSpacing/>
        <w:rPr>
          <w:sz w:val="28"/>
          <w:szCs w:val="28"/>
        </w:rPr>
      </w:pPr>
      <w:r>
        <w:rPr>
          <w:sz w:val="28"/>
          <w:szCs w:val="28"/>
        </w:rPr>
        <w:t>①较轻：地形地貌景观破坏程度轻微，轻微影响视觉效果；</w:t>
      </w:r>
    </w:p>
    <w:p w14:paraId="43B9668D">
      <w:pPr>
        <w:spacing w:line="360" w:lineRule="auto"/>
        <w:ind w:firstLine="560" w:firstLineChars="200"/>
        <w:contextualSpacing/>
        <w:rPr>
          <w:sz w:val="28"/>
          <w:szCs w:val="28"/>
        </w:rPr>
      </w:pPr>
      <w:r>
        <w:rPr>
          <w:sz w:val="28"/>
          <w:szCs w:val="28"/>
        </w:rPr>
        <w:t>②较严重：地形地貌景观破坏程度较严重，中等影响视觉效果；</w:t>
      </w:r>
    </w:p>
    <w:p w14:paraId="3AA018A6">
      <w:pPr>
        <w:spacing w:line="360" w:lineRule="auto"/>
        <w:ind w:firstLine="560" w:firstLineChars="200"/>
        <w:contextualSpacing/>
        <w:rPr>
          <w:sz w:val="28"/>
          <w:szCs w:val="28"/>
        </w:rPr>
      </w:pPr>
      <w:r>
        <w:rPr>
          <w:sz w:val="28"/>
          <w:szCs w:val="28"/>
        </w:rPr>
        <w:t>③严重：地形地貌景观破坏程度严重，严重影响视觉效果。</w:t>
      </w:r>
    </w:p>
    <w:p w14:paraId="2ADE6196">
      <w:pPr>
        <w:spacing w:line="360" w:lineRule="auto"/>
        <w:ind w:firstLine="560" w:firstLineChars="200"/>
        <w:contextualSpacing/>
        <w:rPr>
          <w:sz w:val="28"/>
          <w:szCs w:val="28"/>
        </w:rPr>
      </w:pPr>
      <w:r>
        <w:rPr>
          <w:sz w:val="28"/>
          <w:szCs w:val="28"/>
        </w:rPr>
        <w:t>评价因素的具体等级标准目前国内外尚无精确的划分值，本方案通过选取合适的因素因子采用多因素评价法划分地形地貌景观的破坏程度等级。根据类似项目的地形地貌景观破坏因素调查情况，结合项目区实际情况，同时参考各相关学科的实际经验数据，选取因素因子，进而根据从重原则确定地形地貌景观破坏程度等级。</w:t>
      </w:r>
    </w:p>
    <w:p w14:paraId="305283B2">
      <w:pPr>
        <w:spacing w:line="360" w:lineRule="auto"/>
        <w:ind w:firstLine="560" w:firstLineChars="200"/>
        <w:contextualSpacing/>
        <w:rPr>
          <w:sz w:val="28"/>
          <w:szCs w:val="28"/>
        </w:rPr>
      </w:pPr>
      <w:r>
        <w:rPr>
          <w:sz w:val="28"/>
          <w:szCs w:val="28"/>
        </w:rPr>
        <w:t>工程场地地形地貌景观程度评价因素及等级标准见表3-</w:t>
      </w:r>
      <w:r>
        <w:rPr>
          <w:rFonts w:hint="eastAsia"/>
          <w:sz w:val="28"/>
          <w:szCs w:val="28"/>
        </w:rPr>
        <w:t>1</w:t>
      </w:r>
      <w:r>
        <w:rPr>
          <w:sz w:val="28"/>
          <w:szCs w:val="28"/>
        </w:rPr>
        <w:t>。</w:t>
      </w:r>
    </w:p>
    <w:p w14:paraId="68931316">
      <w:pPr>
        <w:widowControl/>
        <w:adjustRightInd w:val="0"/>
        <w:snapToGrid w:val="0"/>
        <w:jc w:val="center"/>
        <w:rPr>
          <w:rFonts w:eastAsia="黑体"/>
          <w:bCs/>
          <w:szCs w:val="21"/>
        </w:rPr>
      </w:pPr>
      <w:r>
        <w:rPr>
          <w:rFonts w:eastAsia="黑体"/>
          <w:bCs/>
          <w:sz w:val="24"/>
          <w:szCs w:val="24"/>
        </w:rPr>
        <w:t>表3-</w:t>
      </w:r>
      <w:r>
        <w:rPr>
          <w:rFonts w:hint="eastAsia" w:eastAsia="黑体"/>
          <w:bCs/>
          <w:sz w:val="24"/>
          <w:szCs w:val="24"/>
        </w:rPr>
        <w:t>1</w:t>
      </w:r>
      <w:r>
        <w:rPr>
          <w:rFonts w:eastAsia="黑体"/>
          <w:bCs/>
          <w:sz w:val="24"/>
          <w:szCs w:val="24"/>
        </w:rPr>
        <w:t xml:space="preserve">  地形地貌景观破坏程度评价因素及等级标准表</w:t>
      </w:r>
    </w:p>
    <w:p w14:paraId="6D502182">
      <w:pPr>
        <w:widowControl/>
        <w:snapToGrid w:val="0"/>
        <w:jc w:val="center"/>
        <w:rPr>
          <w:rFonts w:eastAsia="黑体"/>
          <w:bCs/>
          <w:szCs w:val="21"/>
        </w:rPr>
      </w:pPr>
    </w:p>
    <w:p w14:paraId="3622755C">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2</w:t>
      </w:r>
      <w:r>
        <w:rPr>
          <w:rFonts w:eastAsia="黑体"/>
          <w:bCs/>
          <w:sz w:val="24"/>
          <w:szCs w:val="24"/>
        </w:rPr>
        <w:t xml:space="preserve">  地形地貌景观破坏程度评分界线表</w:t>
      </w:r>
    </w:p>
    <w:p w14:paraId="62FD0B15">
      <w:pPr>
        <w:ind w:firstLine="420" w:firstLineChars="200"/>
        <w:contextualSpacing/>
        <w:rPr>
          <w:szCs w:val="21"/>
        </w:rPr>
      </w:pPr>
    </w:p>
    <w:p w14:paraId="209F1B78">
      <w:pPr>
        <w:spacing w:line="360" w:lineRule="auto"/>
        <w:ind w:firstLine="560" w:firstLineChars="200"/>
        <w:contextualSpacing/>
        <w:rPr>
          <w:sz w:val="28"/>
          <w:szCs w:val="28"/>
        </w:rPr>
      </w:pPr>
      <w:r>
        <w:rPr>
          <w:sz w:val="28"/>
          <w:szCs w:val="28"/>
        </w:rPr>
        <w:t>根据表3-</w:t>
      </w:r>
      <w:r>
        <w:rPr>
          <w:rFonts w:hint="eastAsia"/>
          <w:sz w:val="28"/>
          <w:szCs w:val="28"/>
        </w:rPr>
        <w:t>1</w:t>
      </w:r>
      <w:r>
        <w:rPr>
          <w:sz w:val="28"/>
          <w:szCs w:val="28"/>
        </w:rPr>
        <w:t>、表3-</w:t>
      </w:r>
      <w:r>
        <w:rPr>
          <w:rFonts w:hint="eastAsia"/>
          <w:sz w:val="28"/>
          <w:szCs w:val="28"/>
        </w:rPr>
        <w:t>2</w:t>
      </w:r>
      <w:r>
        <w:rPr>
          <w:sz w:val="28"/>
          <w:szCs w:val="28"/>
        </w:rPr>
        <w:t>通过各项评估因子对评估区内各场地打分，并进行场地的地形地貌景观现状评估。分述如下：</w:t>
      </w:r>
    </w:p>
    <w:p w14:paraId="12ED8138">
      <w:pPr>
        <w:spacing w:line="360" w:lineRule="auto"/>
        <w:ind w:firstLine="562" w:firstLineChars="200"/>
        <w:contextualSpacing/>
        <w:rPr>
          <w:b/>
          <w:bCs/>
          <w:sz w:val="28"/>
          <w:szCs w:val="28"/>
        </w:rPr>
      </w:pPr>
      <w:r>
        <w:rPr>
          <w:b/>
          <w:bCs/>
          <w:kern w:val="0"/>
          <w:sz w:val="28"/>
          <w:szCs w:val="24"/>
        </w:rPr>
        <w:t>（1）</w:t>
      </w:r>
      <w:r>
        <w:rPr>
          <w:rFonts w:hint="eastAsia"/>
          <w:b/>
          <w:bCs/>
          <w:sz w:val="28"/>
          <w:szCs w:val="28"/>
        </w:rPr>
        <w:t>露天采场</w:t>
      </w:r>
    </w:p>
    <w:p w14:paraId="3C8304C8">
      <w:pPr>
        <w:spacing w:line="360" w:lineRule="auto"/>
        <w:ind w:firstLine="560" w:firstLineChars="200"/>
        <w:contextualSpacing/>
        <w:rPr>
          <w:sz w:val="28"/>
          <w:szCs w:val="28"/>
        </w:rPr>
      </w:pPr>
      <w:r>
        <w:rPr>
          <w:sz w:val="28"/>
          <w:szCs w:val="28"/>
        </w:rPr>
        <w:t>矿区范围较小，露天采场布满整个矿区，占地面积</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，属于山坡型露天天场，高坡位于采场东侧，采深</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m，边坡未分台阶一坡到底，坡度角</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°，局部近直立。原出入沟位于采场西侧，现已不利用，已由废石铺垫一段新的运输道路</w:t>
      </w:r>
      <w:r>
        <w:rPr>
          <w:rFonts w:hint="eastAsia"/>
          <w:sz w:val="28"/>
          <w:szCs w:val="28"/>
        </w:rPr>
        <w:t>。</w:t>
      </w:r>
      <w:r>
        <w:rPr>
          <w:sz w:val="28"/>
          <w:szCs w:val="28"/>
        </w:rPr>
        <w:t>采坑开挖破坏了地表形态与植被，破坏了地形地貌景观，与周围景观不协调，对原生的地形地貌景观影响较大，对地形地貌景观影响程度为严重（见照片3-</w:t>
      </w:r>
      <w:r>
        <w:rPr>
          <w:rFonts w:hint="eastAsia"/>
          <w:sz w:val="28"/>
          <w:szCs w:val="28"/>
        </w:rPr>
        <w:t>3</w:t>
      </w:r>
      <w:r>
        <w:rPr>
          <w:sz w:val="28"/>
          <w:szCs w:val="28"/>
        </w:rPr>
        <w:t>）。</w:t>
      </w:r>
    </w:p>
    <w:p w14:paraId="095B326B">
      <w:pPr>
        <w:widowControl/>
        <w:contextualSpacing/>
        <w:jc w:val="center"/>
        <w:rPr>
          <w:rFonts w:eastAsia="黑体"/>
          <w:kern w:val="0"/>
          <w:sz w:val="24"/>
          <w:szCs w:val="24"/>
        </w:rPr>
      </w:pPr>
      <w:r>
        <w:rPr>
          <w:rFonts w:eastAsia="黑体"/>
          <w:kern w:val="0"/>
          <w:sz w:val="24"/>
          <w:szCs w:val="24"/>
        </w:rPr>
        <w:t>表3-</w:t>
      </w:r>
      <w:r>
        <w:rPr>
          <w:rFonts w:hint="eastAsia" w:eastAsia="黑体"/>
          <w:kern w:val="0"/>
          <w:sz w:val="24"/>
          <w:szCs w:val="24"/>
        </w:rPr>
        <w:t>3</w:t>
      </w:r>
      <w:r>
        <w:rPr>
          <w:rFonts w:eastAsia="黑体"/>
          <w:kern w:val="0"/>
          <w:sz w:val="24"/>
          <w:szCs w:val="24"/>
        </w:rPr>
        <w:t xml:space="preserve">  地形地貌景观破坏程度评价表</w:t>
      </w:r>
    </w:p>
    <w:p w14:paraId="0AA9EA79">
      <w:pPr>
        <w:contextualSpacing/>
        <w:rPr>
          <w:sz w:val="28"/>
          <w:szCs w:val="28"/>
        </w:rPr>
      </w:pPr>
    </w:p>
    <w:p w14:paraId="3394CEE4">
      <w:pPr>
        <w:widowControl/>
        <w:spacing w:line="360" w:lineRule="auto"/>
        <w:ind w:firstLine="480" w:firstLineChars="200"/>
        <w:contextualSpacing/>
        <w:jc w:val="center"/>
        <w:rPr>
          <w:b/>
          <w:bCs/>
          <w:kern w:val="0"/>
          <w:sz w:val="28"/>
          <w:szCs w:val="28"/>
        </w:rPr>
      </w:pPr>
      <w:r>
        <w:rPr>
          <w:rFonts w:eastAsia="黑体"/>
          <w:kern w:val="0"/>
          <w:sz w:val="24"/>
          <w:szCs w:val="24"/>
        </w:rPr>
        <w:t>照片3-</w:t>
      </w:r>
      <w:r>
        <w:rPr>
          <w:rFonts w:hint="eastAsia" w:eastAsia="黑体"/>
          <w:kern w:val="0"/>
          <w:sz w:val="24"/>
          <w:szCs w:val="24"/>
        </w:rPr>
        <w:t>3</w:t>
      </w:r>
      <w:r>
        <w:rPr>
          <w:rFonts w:eastAsia="黑体"/>
          <w:kern w:val="0"/>
          <w:sz w:val="24"/>
          <w:szCs w:val="24"/>
        </w:rPr>
        <w:t xml:space="preserve">  </w:t>
      </w:r>
      <w:r>
        <w:rPr>
          <w:rFonts w:hint="eastAsia" w:eastAsia="黑体"/>
          <w:kern w:val="0"/>
          <w:sz w:val="24"/>
          <w:szCs w:val="24"/>
        </w:rPr>
        <w:t>露天采场现状</w:t>
      </w:r>
    </w:p>
    <w:p w14:paraId="6ED1DDBD">
      <w:pPr>
        <w:spacing w:line="360" w:lineRule="auto"/>
        <w:ind w:firstLine="562" w:firstLineChars="200"/>
        <w:contextualSpacing/>
        <w:rPr>
          <w:b/>
          <w:bCs/>
          <w:sz w:val="28"/>
          <w:szCs w:val="28"/>
        </w:rPr>
      </w:pPr>
      <w:r>
        <w:rPr>
          <w:b/>
          <w:bCs/>
          <w:kern w:val="0"/>
          <w:sz w:val="28"/>
          <w:szCs w:val="24"/>
        </w:rPr>
        <w:t>（</w:t>
      </w:r>
      <w:r>
        <w:rPr>
          <w:rFonts w:hint="eastAsia"/>
          <w:b/>
          <w:bCs/>
          <w:kern w:val="0"/>
          <w:sz w:val="28"/>
          <w:szCs w:val="24"/>
        </w:rPr>
        <w:t>2</w:t>
      </w:r>
      <w:r>
        <w:rPr>
          <w:b/>
          <w:bCs/>
          <w:kern w:val="0"/>
          <w:sz w:val="28"/>
          <w:szCs w:val="24"/>
        </w:rPr>
        <w:t>）</w:t>
      </w:r>
      <w:r>
        <w:rPr>
          <w:rFonts w:hint="eastAsia"/>
          <w:b/>
          <w:bCs/>
          <w:sz w:val="28"/>
          <w:szCs w:val="28"/>
        </w:rPr>
        <w:t>工业场地</w:t>
      </w:r>
    </w:p>
    <w:p w14:paraId="04347E7F">
      <w:pPr>
        <w:spacing w:line="360" w:lineRule="auto"/>
        <w:ind w:firstLine="560" w:firstLineChars="200"/>
        <w:contextualSpacing/>
        <w:rPr>
          <w:sz w:val="28"/>
          <w:szCs w:val="28"/>
        </w:rPr>
      </w:pPr>
      <w:r>
        <w:rPr>
          <w:rFonts w:hint="eastAsia"/>
          <w:sz w:val="28"/>
          <w:szCs w:val="28"/>
        </w:rPr>
        <w:t>工业场地位于露天采场西侧，占地面积约</w:t>
      </w:r>
      <w:bookmarkStart w:id="88" w:name="OLE_LINK21"/>
      <w:r>
        <w:rPr>
          <w:rFonts w:hint="eastAsia" w:ascii="宋体" w:hAnsi="宋体" w:cs="宋体"/>
          <w:spacing w:val="13"/>
          <w:sz w:val="32"/>
          <w:szCs w:val="32"/>
        </w:rPr>
        <w:t>***</w:t>
      </w:r>
      <w:r>
        <w:rPr>
          <w:sz w:val="28"/>
          <w:szCs w:val="28"/>
        </w:rPr>
        <w:t>m</w:t>
      </w:r>
      <w:r>
        <w:rPr>
          <w:rFonts w:hint="eastAsia"/>
          <w:sz w:val="28"/>
          <w:szCs w:val="28"/>
          <w:vertAlign w:val="superscript"/>
        </w:rPr>
        <w:t>2</w:t>
      </w:r>
      <w:r>
        <w:rPr>
          <w:sz w:val="28"/>
          <w:szCs w:val="28"/>
        </w:rPr>
        <w:t>，</w:t>
      </w:r>
      <w:bookmarkEnd w:id="88"/>
      <w:r>
        <w:rPr>
          <w:rFonts w:hint="eastAsia"/>
          <w:sz w:val="28"/>
          <w:szCs w:val="28"/>
        </w:rPr>
        <w:t>场地内存在料石，堆高</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w:t>
      </w:r>
      <w:r>
        <w:rPr>
          <w:sz w:val="28"/>
          <w:szCs w:val="28"/>
        </w:rPr>
        <w:t>堆坡度角约</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w:t>
      </w:r>
      <w:bookmarkStart w:id="89" w:name="OLE_LINK43"/>
      <w:r>
        <w:rPr>
          <w:sz w:val="28"/>
          <w:szCs w:val="28"/>
        </w:rPr>
        <w:t>现状堆放</w:t>
      </w:r>
      <w:r>
        <w:rPr>
          <w:rFonts w:hint="eastAsia"/>
          <w:sz w:val="28"/>
          <w:szCs w:val="28"/>
        </w:rPr>
        <w:t>料石</w:t>
      </w:r>
      <w:r>
        <w:rPr>
          <w:sz w:val="28"/>
          <w:szCs w:val="28"/>
        </w:rPr>
        <w:t>方量</w:t>
      </w:r>
      <w:r>
        <w:rPr>
          <w:rFonts w:hint="eastAsia"/>
          <w:sz w:val="28"/>
          <w:szCs w:val="28"/>
        </w:rPr>
        <w:t>约</w:t>
      </w:r>
      <w:bookmarkStart w:id="90" w:name="OLE_LINK19"/>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bookmarkEnd w:id="89"/>
      <w:bookmarkEnd w:id="90"/>
      <w:r>
        <w:rPr>
          <w:rFonts w:hint="eastAsia"/>
          <w:sz w:val="28"/>
          <w:szCs w:val="28"/>
        </w:rPr>
        <w:t>场地内部含有地泵，矿山利用其称量出矿重量，现已废弃，矿山后续将利用该场地拟建新的工业厂房。</w:t>
      </w:r>
      <w:r>
        <w:rPr>
          <w:sz w:val="28"/>
          <w:szCs w:val="28"/>
        </w:rPr>
        <w:t>场地建设形成的人工堆积地貌</w:t>
      </w:r>
      <w:r>
        <w:rPr>
          <w:bCs/>
          <w:sz w:val="28"/>
          <w:szCs w:val="28"/>
        </w:rPr>
        <w:t>，破坏了原有地形地貌景观，</w:t>
      </w:r>
      <w:r>
        <w:rPr>
          <w:sz w:val="28"/>
          <w:szCs w:val="28"/>
        </w:rPr>
        <w:t>与周围景观不协调，对地形地貌景观影响程度为较</w:t>
      </w:r>
      <w:r>
        <w:rPr>
          <w:rFonts w:hint="eastAsia"/>
          <w:sz w:val="28"/>
          <w:szCs w:val="28"/>
        </w:rPr>
        <w:t>严重。</w:t>
      </w:r>
      <w:bookmarkStart w:id="91" w:name="OLE_LINK23"/>
      <w:r>
        <w:rPr>
          <w:sz w:val="28"/>
          <w:szCs w:val="28"/>
        </w:rPr>
        <w:t>（见照片3-</w:t>
      </w:r>
      <w:r>
        <w:rPr>
          <w:rFonts w:hint="eastAsia"/>
          <w:sz w:val="28"/>
          <w:szCs w:val="28"/>
        </w:rPr>
        <w:t>4</w:t>
      </w:r>
      <w:r>
        <w:rPr>
          <w:sz w:val="28"/>
          <w:szCs w:val="28"/>
        </w:rPr>
        <w:t>）</w:t>
      </w:r>
    </w:p>
    <w:bookmarkEnd w:id="91"/>
    <w:p w14:paraId="6CE571BA">
      <w:pPr>
        <w:widowControl/>
        <w:contextualSpacing/>
        <w:jc w:val="center"/>
        <w:rPr>
          <w:rFonts w:eastAsia="黑体"/>
          <w:kern w:val="0"/>
          <w:sz w:val="24"/>
          <w:szCs w:val="22"/>
        </w:rPr>
      </w:pPr>
      <w:r>
        <w:rPr>
          <w:rFonts w:eastAsia="黑体"/>
          <w:kern w:val="0"/>
          <w:sz w:val="24"/>
          <w:szCs w:val="22"/>
        </w:rPr>
        <w:t>表3-</w:t>
      </w:r>
      <w:r>
        <w:rPr>
          <w:rFonts w:hint="eastAsia" w:eastAsia="黑体"/>
          <w:kern w:val="0"/>
          <w:sz w:val="24"/>
          <w:szCs w:val="22"/>
        </w:rPr>
        <w:t>4</w:t>
      </w:r>
      <w:r>
        <w:rPr>
          <w:rFonts w:eastAsia="黑体"/>
          <w:kern w:val="0"/>
          <w:sz w:val="24"/>
          <w:szCs w:val="22"/>
        </w:rPr>
        <w:t xml:space="preserve">  </w:t>
      </w:r>
      <w:r>
        <w:rPr>
          <w:rFonts w:eastAsia="黑体"/>
          <w:kern w:val="0"/>
          <w:sz w:val="24"/>
          <w:szCs w:val="24"/>
        </w:rPr>
        <w:t>地形地貌景观破坏</w:t>
      </w:r>
      <w:r>
        <w:rPr>
          <w:rFonts w:eastAsia="黑体"/>
          <w:kern w:val="0"/>
          <w:sz w:val="24"/>
          <w:szCs w:val="22"/>
        </w:rPr>
        <w:t>程度评价表</w:t>
      </w:r>
    </w:p>
    <w:p w14:paraId="3948D120">
      <w:pPr>
        <w:widowControl/>
        <w:contextualSpacing/>
        <w:rPr>
          <w:b/>
          <w:bCs/>
          <w:kern w:val="0"/>
          <w:sz w:val="24"/>
          <w:szCs w:val="24"/>
        </w:rPr>
      </w:pPr>
    </w:p>
    <w:p w14:paraId="398B8979">
      <w:pPr>
        <w:widowControl/>
        <w:spacing w:line="360" w:lineRule="auto"/>
        <w:ind w:firstLine="480" w:firstLineChars="200"/>
        <w:contextualSpacing/>
        <w:jc w:val="center"/>
        <w:rPr>
          <w:b/>
          <w:bCs/>
          <w:kern w:val="0"/>
          <w:sz w:val="28"/>
          <w:szCs w:val="28"/>
        </w:rPr>
      </w:pPr>
      <w:r>
        <w:rPr>
          <w:rFonts w:eastAsia="黑体"/>
          <w:kern w:val="0"/>
          <w:sz w:val="24"/>
          <w:szCs w:val="24"/>
        </w:rPr>
        <w:t>照片3-</w:t>
      </w:r>
      <w:r>
        <w:rPr>
          <w:rFonts w:hint="eastAsia" w:eastAsia="黑体"/>
          <w:kern w:val="0"/>
          <w:sz w:val="24"/>
          <w:szCs w:val="24"/>
        </w:rPr>
        <w:t>4</w:t>
      </w:r>
      <w:r>
        <w:rPr>
          <w:rFonts w:eastAsia="黑体"/>
          <w:kern w:val="0"/>
          <w:sz w:val="24"/>
          <w:szCs w:val="24"/>
        </w:rPr>
        <w:t xml:space="preserve">  </w:t>
      </w:r>
      <w:r>
        <w:rPr>
          <w:rFonts w:hint="eastAsia" w:eastAsia="黑体"/>
          <w:kern w:val="0"/>
          <w:sz w:val="24"/>
          <w:szCs w:val="24"/>
        </w:rPr>
        <w:t>工业场地现状</w:t>
      </w:r>
    </w:p>
    <w:p w14:paraId="3925C06C">
      <w:pPr>
        <w:spacing w:line="360" w:lineRule="auto"/>
        <w:ind w:firstLine="562" w:firstLineChars="200"/>
        <w:contextualSpacing/>
        <w:rPr>
          <w:b/>
          <w:bCs/>
          <w:sz w:val="28"/>
          <w:szCs w:val="28"/>
        </w:rPr>
      </w:pPr>
      <w:r>
        <w:rPr>
          <w:rFonts w:hint="eastAsia"/>
          <w:b/>
          <w:bCs/>
          <w:sz w:val="28"/>
          <w:szCs w:val="28"/>
        </w:rPr>
        <w:t>（3）废石场1</w:t>
      </w:r>
    </w:p>
    <w:p w14:paraId="7853C46D">
      <w:pPr>
        <w:spacing w:line="360" w:lineRule="auto"/>
        <w:ind w:firstLine="560" w:firstLineChars="200"/>
        <w:contextualSpacing/>
        <w:rPr>
          <w:sz w:val="28"/>
          <w:szCs w:val="28"/>
        </w:rPr>
      </w:pPr>
      <w:r>
        <w:rPr>
          <w:rFonts w:hint="eastAsia"/>
          <w:sz w:val="28"/>
          <w:szCs w:val="28"/>
        </w:rPr>
        <w:t>废石场1位于矿区外西侧约</w:t>
      </w:r>
      <w:r>
        <w:rPr>
          <w:rFonts w:hint="eastAsia" w:ascii="宋体" w:hAnsi="宋体" w:cs="宋体"/>
          <w:spacing w:val="13"/>
          <w:sz w:val="32"/>
          <w:szCs w:val="32"/>
        </w:rPr>
        <w:t>***</w:t>
      </w:r>
      <w:r>
        <w:rPr>
          <w:rFonts w:hint="eastAsia"/>
          <w:sz w:val="28"/>
          <w:szCs w:val="28"/>
        </w:rPr>
        <w:t>m，属于前期堆放废石料所利用，现状场地内废石已被清理，现状场地占地面积29336</w:t>
      </w:r>
      <w:r>
        <w:rPr>
          <w:sz w:val="28"/>
          <w:szCs w:val="28"/>
        </w:rPr>
        <w:t>m</w:t>
      </w:r>
      <w:r>
        <w:rPr>
          <w:rFonts w:hint="eastAsia"/>
          <w:sz w:val="28"/>
          <w:szCs w:val="28"/>
          <w:vertAlign w:val="superscript"/>
        </w:rPr>
        <w:t>2</w:t>
      </w:r>
      <w:r>
        <w:rPr>
          <w:sz w:val="28"/>
          <w:szCs w:val="28"/>
        </w:rPr>
        <w:t>，</w:t>
      </w:r>
      <w:r>
        <w:rPr>
          <w:rFonts w:hint="eastAsia"/>
          <w:sz w:val="28"/>
          <w:szCs w:val="28"/>
        </w:rPr>
        <w:t>整体呈不规则的碗状洼地，该场地通过历史遗留矿山治理，边坡较规整，后经过雨水冲刷，边坡存在冲沟；场地边坡多级台阶残留，台阶面宽窄不一，平台不规整。四周为开挖形成的人工岩土质边坡，边坡坡度较陡；坡面可见大量风化剥落、冲蚀沟槽，存在明显的水土流失痕迹，部分区域有滑塌、垮塌痕迹，边坡岩体/土体破碎，局部危岩裸露。坑底地势低洼，起伏不平，没有规整的作业平台。</w:t>
      </w:r>
      <w:bookmarkStart w:id="92" w:name="OLE_LINK39"/>
    </w:p>
    <w:p w14:paraId="40A37798">
      <w:pPr>
        <w:spacing w:line="360" w:lineRule="auto"/>
        <w:ind w:firstLine="560" w:firstLineChars="200"/>
        <w:contextualSpacing/>
        <w:rPr>
          <w:sz w:val="28"/>
          <w:szCs w:val="28"/>
        </w:rPr>
      </w:pPr>
      <w:r>
        <w:rPr>
          <w:sz w:val="28"/>
          <w:szCs w:val="28"/>
        </w:rPr>
        <w:t>该场地的</w:t>
      </w:r>
      <w:r>
        <w:rPr>
          <w:rFonts w:hint="eastAsia"/>
          <w:sz w:val="28"/>
          <w:szCs w:val="28"/>
        </w:rPr>
        <w:t>堆放废石</w:t>
      </w:r>
      <w:r>
        <w:rPr>
          <w:sz w:val="28"/>
          <w:szCs w:val="28"/>
        </w:rPr>
        <w:t>破坏了原始地形地貌景观及植被，现状评估场地对地形地貌景观影响程度为较严重。（见照片3-</w:t>
      </w:r>
      <w:r>
        <w:rPr>
          <w:rFonts w:hint="eastAsia"/>
          <w:sz w:val="28"/>
          <w:szCs w:val="28"/>
        </w:rPr>
        <w:t>5</w:t>
      </w:r>
      <w:r>
        <w:rPr>
          <w:sz w:val="28"/>
          <w:szCs w:val="28"/>
        </w:rPr>
        <w:t>）</w:t>
      </w:r>
    </w:p>
    <w:bookmarkEnd w:id="92"/>
    <w:p w14:paraId="5A2FCE92">
      <w:pPr>
        <w:widowControl/>
        <w:snapToGrid w:val="0"/>
        <w:jc w:val="center"/>
        <w:rPr>
          <w:rFonts w:eastAsia="黑体"/>
          <w:bCs/>
          <w:sz w:val="24"/>
          <w:szCs w:val="24"/>
        </w:rPr>
      </w:pPr>
    </w:p>
    <w:p w14:paraId="77149466">
      <w:pPr>
        <w:widowControl/>
        <w:snapToGrid w:val="0"/>
        <w:jc w:val="center"/>
        <w:rPr>
          <w:sz w:val="28"/>
          <w:szCs w:val="28"/>
        </w:rPr>
      </w:pPr>
      <w:r>
        <w:rPr>
          <w:rFonts w:eastAsia="黑体"/>
          <w:bCs/>
          <w:sz w:val="24"/>
          <w:szCs w:val="24"/>
        </w:rPr>
        <w:t>表3-</w:t>
      </w:r>
      <w:r>
        <w:rPr>
          <w:rFonts w:hint="eastAsia" w:eastAsia="黑体"/>
          <w:bCs/>
          <w:sz w:val="24"/>
          <w:szCs w:val="24"/>
        </w:rPr>
        <w:t>5</w:t>
      </w:r>
      <w:r>
        <w:rPr>
          <w:rFonts w:eastAsia="黑体"/>
          <w:bCs/>
          <w:sz w:val="24"/>
          <w:szCs w:val="24"/>
        </w:rPr>
        <w:t xml:space="preserve">   地形地貌景观影响评分表</w:t>
      </w:r>
    </w:p>
    <w:p w14:paraId="6B8DF354">
      <w:pPr>
        <w:widowControl/>
        <w:ind w:firstLine="480" w:firstLineChars="200"/>
        <w:contextualSpacing/>
        <w:jc w:val="center"/>
        <w:rPr>
          <w:rFonts w:eastAsia="黑体"/>
          <w:kern w:val="0"/>
          <w:sz w:val="24"/>
          <w:szCs w:val="24"/>
        </w:rPr>
      </w:pPr>
      <w:r>
        <w:rPr>
          <w:rFonts w:eastAsia="黑体"/>
          <w:kern w:val="0"/>
          <w:sz w:val="24"/>
          <w:szCs w:val="24"/>
        </w:rPr>
        <w:t>照片3-</w:t>
      </w:r>
      <w:r>
        <w:rPr>
          <w:rFonts w:hint="eastAsia" w:eastAsia="黑体"/>
          <w:kern w:val="0"/>
          <w:sz w:val="24"/>
          <w:szCs w:val="24"/>
        </w:rPr>
        <w:t>5</w:t>
      </w:r>
      <w:r>
        <w:rPr>
          <w:rFonts w:eastAsia="黑体"/>
          <w:kern w:val="0"/>
          <w:sz w:val="24"/>
          <w:szCs w:val="24"/>
        </w:rPr>
        <w:t xml:space="preserve">  </w:t>
      </w:r>
      <w:r>
        <w:rPr>
          <w:rFonts w:hint="eastAsia" w:eastAsia="黑体"/>
          <w:kern w:val="0"/>
          <w:sz w:val="24"/>
          <w:szCs w:val="24"/>
        </w:rPr>
        <w:t>废石场1现状</w:t>
      </w:r>
    </w:p>
    <w:p w14:paraId="3FBCDB78">
      <w:pPr>
        <w:widowControl/>
        <w:contextualSpacing/>
        <w:jc w:val="center"/>
        <w:rPr>
          <w:b/>
          <w:bCs/>
          <w:kern w:val="0"/>
          <w:sz w:val="28"/>
          <w:szCs w:val="28"/>
        </w:rPr>
      </w:pPr>
    </w:p>
    <w:p w14:paraId="4B3C7178">
      <w:pPr>
        <w:widowControl/>
        <w:spacing w:line="360" w:lineRule="auto"/>
        <w:ind w:firstLine="480" w:firstLineChars="200"/>
        <w:contextualSpacing/>
        <w:jc w:val="center"/>
        <w:rPr>
          <w:rFonts w:eastAsia="黑体"/>
          <w:kern w:val="0"/>
          <w:sz w:val="24"/>
          <w:szCs w:val="24"/>
        </w:rPr>
      </w:pPr>
      <w:r>
        <w:rPr>
          <w:rFonts w:eastAsia="黑体"/>
          <w:kern w:val="0"/>
          <w:sz w:val="24"/>
          <w:szCs w:val="24"/>
        </w:rPr>
        <w:t>照片3-</w:t>
      </w:r>
      <w:r>
        <w:rPr>
          <w:rFonts w:hint="eastAsia" w:eastAsia="黑体"/>
          <w:kern w:val="0"/>
          <w:sz w:val="24"/>
          <w:szCs w:val="24"/>
        </w:rPr>
        <w:t>6</w:t>
      </w:r>
      <w:r>
        <w:rPr>
          <w:rFonts w:eastAsia="黑体"/>
          <w:kern w:val="0"/>
          <w:sz w:val="24"/>
          <w:szCs w:val="24"/>
        </w:rPr>
        <w:t xml:space="preserve">  </w:t>
      </w:r>
      <w:r>
        <w:rPr>
          <w:rFonts w:hint="eastAsia" w:eastAsia="黑体"/>
          <w:kern w:val="0"/>
          <w:sz w:val="24"/>
          <w:szCs w:val="24"/>
        </w:rPr>
        <w:t>废石场1现状</w:t>
      </w:r>
    </w:p>
    <w:p w14:paraId="68D9F17E">
      <w:pPr>
        <w:spacing w:line="360" w:lineRule="auto"/>
        <w:ind w:firstLine="562" w:firstLineChars="200"/>
        <w:contextualSpacing/>
        <w:rPr>
          <w:b/>
          <w:bCs/>
          <w:sz w:val="28"/>
          <w:szCs w:val="28"/>
        </w:rPr>
      </w:pPr>
      <w:r>
        <w:rPr>
          <w:rFonts w:hint="eastAsia"/>
          <w:b/>
          <w:bCs/>
          <w:sz w:val="28"/>
          <w:szCs w:val="28"/>
        </w:rPr>
        <w:t>（4）废石场2</w:t>
      </w:r>
    </w:p>
    <w:p w14:paraId="0C125401">
      <w:pPr>
        <w:spacing w:line="360" w:lineRule="auto"/>
        <w:ind w:firstLine="560" w:firstLineChars="200"/>
        <w:contextualSpacing/>
        <w:rPr>
          <w:sz w:val="28"/>
          <w:szCs w:val="28"/>
        </w:rPr>
      </w:pPr>
      <w:r>
        <w:rPr>
          <w:rFonts w:hint="eastAsia"/>
          <w:sz w:val="28"/>
          <w:szCs w:val="28"/>
        </w:rPr>
        <w:t>该场地属于前期治理露天采场超采区域回填所形成，现状调查场地废石堆高约</w:t>
      </w:r>
      <w:r>
        <w:rPr>
          <w:rFonts w:hint="eastAsia" w:ascii="宋体" w:hAnsi="宋体" w:cs="宋体"/>
          <w:spacing w:val="13"/>
          <w:sz w:val="32"/>
          <w:szCs w:val="32"/>
        </w:rPr>
        <w:t>***</w:t>
      </w:r>
      <w:r>
        <w:rPr>
          <w:rFonts w:hint="eastAsia"/>
          <w:sz w:val="28"/>
          <w:szCs w:val="28"/>
        </w:rPr>
        <w:t>m，堆放坡角约</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废石通过2层台阶堆放，但经过雨水冲刷，导致部分废石边坡出现坍塌。左侧及后缘以裸露基岩为主，岩体节理裂隙发育，岩石破碎；岩体表面剥落、掉块痕迹明显，存在多处凹坑与岩腔，岩石碎块散落于坡面上，属于岩质陡边坡。中部主体坡面基岩、风化残积土、碎石混杂分布。坡面可见大面积浅风化土、蚀变岩或矿化土层；坡面岩土混杂，局部土体松散，表层碎石密布，存在多条浅表层冲刷沟槽，降雨易产生坡面径流与碎屑流。下部及前缘由采矿剥离的碎石、岩屑、土体混杂堆填而成，属于人工堆积渣体。颗粒级配杂乱，大块石、碎石、细土相间，堆积体结构松散，孔隙大；坡面呈自然休止角堆积，无压实处理，坡面零散分布少量耐旱杂草，植被覆盖率极低。场地占地面积约40026</w:t>
      </w:r>
      <w:r>
        <w:rPr>
          <w:sz w:val="28"/>
          <w:szCs w:val="28"/>
        </w:rPr>
        <w:t>m</w:t>
      </w:r>
      <w:r>
        <w:rPr>
          <w:rFonts w:hint="eastAsia"/>
          <w:sz w:val="28"/>
          <w:szCs w:val="28"/>
          <w:vertAlign w:val="superscript"/>
        </w:rPr>
        <w:t>2</w:t>
      </w:r>
      <w:r>
        <w:rPr>
          <w:rFonts w:hint="eastAsia"/>
          <w:sz w:val="28"/>
          <w:szCs w:val="28"/>
        </w:rPr>
        <w:t>。</w:t>
      </w:r>
      <w:r>
        <w:rPr>
          <w:sz w:val="28"/>
          <w:szCs w:val="28"/>
        </w:rPr>
        <w:t>该场地的</w:t>
      </w:r>
      <w:r>
        <w:rPr>
          <w:rFonts w:hint="eastAsia"/>
          <w:sz w:val="28"/>
          <w:szCs w:val="28"/>
        </w:rPr>
        <w:t>堆放废石</w:t>
      </w:r>
      <w:r>
        <w:rPr>
          <w:sz w:val="28"/>
          <w:szCs w:val="28"/>
        </w:rPr>
        <w:t>破坏了原始地形地貌景观及植被，现状评估场地对地形地貌景观影响程度为较严重。（见照片3-</w:t>
      </w:r>
      <w:r>
        <w:rPr>
          <w:rFonts w:hint="eastAsia"/>
          <w:sz w:val="28"/>
          <w:szCs w:val="28"/>
        </w:rPr>
        <w:t>7</w:t>
      </w:r>
      <w:r>
        <w:rPr>
          <w:sz w:val="28"/>
          <w:szCs w:val="28"/>
        </w:rPr>
        <w:t>）</w:t>
      </w:r>
    </w:p>
    <w:p w14:paraId="362D6D0D">
      <w:pPr>
        <w:widowControl/>
        <w:ind w:firstLine="480" w:firstLineChars="200"/>
        <w:contextualSpacing/>
        <w:jc w:val="center"/>
        <w:rPr>
          <w:b/>
          <w:bCs/>
          <w:kern w:val="0"/>
          <w:sz w:val="28"/>
          <w:szCs w:val="28"/>
        </w:rPr>
      </w:pPr>
      <w:r>
        <w:rPr>
          <w:rFonts w:eastAsia="黑体"/>
          <w:kern w:val="0"/>
          <w:sz w:val="24"/>
          <w:szCs w:val="24"/>
        </w:rPr>
        <w:t>照片3-</w:t>
      </w:r>
      <w:r>
        <w:rPr>
          <w:rFonts w:hint="eastAsia" w:eastAsia="黑体"/>
          <w:kern w:val="0"/>
          <w:sz w:val="24"/>
          <w:szCs w:val="24"/>
        </w:rPr>
        <w:t>7</w:t>
      </w:r>
      <w:r>
        <w:rPr>
          <w:rFonts w:eastAsia="黑体"/>
          <w:kern w:val="0"/>
          <w:sz w:val="24"/>
          <w:szCs w:val="24"/>
        </w:rPr>
        <w:t xml:space="preserve">  </w:t>
      </w:r>
      <w:r>
        <w:rPr>
          <w:rFonts w:hint="eastAsia" w:eastAsia="黑体"/>
          <w:kern w:val="0"/>
          <w:sz w:val="24"/>
          <w:szCs w:val="24"/>
        </w:rPr>
        <w:t>废石场2现状</w:t>
      </w:r>
    </w:p>
    <w:p w14:paraId="07BD5887">
      <w:pPr>
        <w:widowControl/>
        <w:ind w:firstLine="480" w:firstLineChars="200"/>
        <w:contextualSpacing/>
        <w:jc w:val="center"/>
        <w:rPr>
          <w:rFonts w:eastAsia="黑体"/>
          <w:kern w:val="0"/>
          <w:sz w:val="24"/>
          <w:szCs w:val="24"/>
        </w:rPr>
      </w:pPr>
      <w:r>
        <w:rPr>
          <w:rFonts w:eastAsia="黑体"/>
          <w:kern w:val="0"/>
          <w:sz w:val="24"/>
          <w:szCs w:val="24"/>
        </w:rPr>
        <w:t>照片3-</w:t>
      </w:r>
      <w:r>
        <w:rPr>
          <w:rFonts w:hint="eastAsia" w:eastAsia="黑体"/>
          <w:kern w:val="0"/>
          <w:sz w:val="24"/>
          <w:szCs w:val="24"/>
        </w:rPr>
        <w:t>8</w:t>
      </w:r>
      <w:r>
        <w:rPr>
          <w:rFonts w:eastAsia="黑体"/>
          <w:kern w:val="0"/>
          <w:sz w:val="24"/>
          <w:szCs w:val="24"/>
        </w:rPr>
        <w:t xml:space="preserve">  </w:t>
      </w:r>
      <w:r>
        <w:rPr>
          <w:rFonts w:hint="eastAsia" w:eastAsia="黑体"/>
          <w:kern w:val="0"/>
          <w:sz w:val="24"/>
          <w:szCs w:val="24"/>
        </w:rPr>
        <w:t>废石场2现状</w:t>
      </w:r>
    </w:p>
    <w:p w14:paraId="05F9ED7E">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6</w:t>
      </w:r>
      <w:r>
        <w:rPr>
          <w:rFonts w:eastAsia="黑体"/>
          <w:bCs/>
          <w:sz w:val="24"/>
          <w:szCs w:val="24"/>
        </w:rPr>
        <w:t xml:space="preserve">   地形地貌景观影响评分表</w:t>
      </w:r>
    </w:p>
    <w:p w14:paraId="6018A1F6">
      <w:pPr>
        <w:tabs>
          <w:tab w:val="left" w:pos="6120"/>
        </w:tabs>
        <w:jc w:val="center"/>
        <w:rPr>
          <w:color w:val="000000"/>
          <w:w w:val="85"/>
          <w:sz w:val="20"/>
        </w:rPr>
      </w:pPr>
    </w:p>
    <w:p w14:paraId="2C0A3422">
      <w:pPr>
        <w:spacing w:line="360" w:lineRule="auto"/>
        <w:ind w:firstLine="562" w:firstLineChars="200"/>
        <w:contextualSpacing/>
        <w:rPr>
          <w:b/>
          <w:bCs/>
          <w:sz w:val="28"/>
          <w:szCs w:val="28"/>
        </w:rPr>
      </w:pPr>
      <w:r>
        <w:rPr>
          <w:rFonts w:hint="eastAsia"/>
          <w:b/>
          <w:bCs/>
          <w:sz w:val="28"/>
          <w:szCs w:val="28"/>
        </w:rPr>
        <w:t>（5）废石场3</w:t>
      </w:r>
    </w:p>
    <w:p w14:paraId="1E7EC70F">
      <w:pPr>
        <w:spacing w:line="360" w:lineRule="auto"/>
        <w:ind w:firstLine="560" w:firstLineChars="200"/>
        <w:contextualSpacing/>
        <w:rPr>
          <w:sz w:val="28"/>
          <w:szCs w:val="28"/>
        </w:rPr>
      </w:pPr>
      <w:r>
        <w:rPr>
          <w:rFonts w:hint="eastAsia"/>
          <w:sz w:val="28"/>
          <w:szCs w:val="28"/>
        </w:rPr>
        <w:t>废石场3位于矿区外西侧约</w:t>
      </w:r>
      <w:r>
        <w:rPr>
          <w:rFonts w:hint="eastAsia" w:ascii="宋体" w:hAnsi="宋体" w:cs="宋体"/>
          <w:spacing w:val="13"/>
          <w:sz w:val="32"/>
          <w:szCs w:val="32"/>
        </w:rPr>
        <w:t>***</w:t>
      </w:r>
      <w:r>
        <w:rPr>
          <w:rFonts w:hint="eastAsia"/>
          <w:sz w:val="28"/>
          <w:szCs w:val="28"/>
        </w:rPr>
        <w:t>m，属于前期堆放废石料所利用，现状场地内废石已被清理，现状场地占地面积</w:t>
      </w:r>
      <w:r>
        <w:rPr>
          <w:rFonts w:hint="eastAsia" w:ascii="宋体" w:hAnsi="宋体" w:cs="宋体"/>
          <w:spacing w:val="13"/>
          <w:sz w:val="32"/>
          <w:szCs w:val="32"/>
        </w:rPr>
        <w:t>***</w:t>
      </w:r>
      <w:r>
        <w:rPr>
          <w:sz w:val="28"/>
          <w:szCs w:val="28"/>
        </w:rPr>
        <w:t>m</w:t>
      </w:r>
      <w:r>
        <w:rPr>
          <w:rFonts w:hint="eastAsia"/>
          <w:sz w:val="28"/>
          <w:szCs w:val="28"/>
          <w:vertAlign w:val="superscript"/>
        </w:rPr>
        <w:t>2</w:t>
      </w:r>
      <w:r>
        <w:rPr>
          <w:sz w:val="28"/>
          <w:szCs w:val="28"/>
        </w:rPr>
        <w:t>，</w:t>
      </w:r>
      <w:r>
        <w:rPr>
          <w:rFonts w:hint="eastAsia"/>
          <w:sz w:val="28"/>
          <w:szCs w:val="28"/>
        </w:rPr>
        <w:t>该场地通过历史遗留矿山治理，但台阶下缘存在散落碎石，场地内存在部分废弃的临建房，建筑面积约</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2</w:t>
      </w:r>
      <w:r>
        <w:rPr>
          <w:rFonts w:hint="eastAsia"/>
          <w:sz w:val="28"/>
          <w:szCs w:val="28"/>
        </w:rPr>
        <w:t>。本方案计划将临建房拆除、将边坡重新规整取直。</w:t>
      </w:r>
      <w:r>
        <w:rPr>
          <w:sz w:val="28"/>
          <w:szCs w:val="28"/>
        </w:rPr>
        <w:t>该场地的</w:t>
      </w:r>
      <w:r>
        <w:rPr>
          <w:rFonts w:hint="eastAsia"/>
          <w:sz w:val="28"/>
          <w:szCs w:val="28"/>
        </w:rPr>
        <w:t>堆放废石</w:t>
      </w:r>
      <w:r>
        <w:rPr>
          <w:sz w:val="28"/>
          <w:szCs w:val="28"/>
        </w:rPr>
        <w:t>破坏了原始地形地貌景观及植被，现状评估场地对地形地貌景观影响程度为较严重。（见照片3-</w:t>
      </w:r>
      <w:r>
        <w:rPr>
          <w:rFonts w:hint="eastAsia"/>
          <w:sz w:val="28"/>
          <w:szCs w:val="28"/>
        </w:rPr>
        <w:t>9</w:t>
      </w:r>
      <w:r>
        <w:rPr>
          <w:sz w:val="28"/>
          <w:szCs w:val="28"/>
        </w:rPr>
        <w:t>）</w:t>
      </w:r>
    </w:p>
    <w:p w14:paraId="00A7419A">
      <w:pPr>
        <w:widowControl/>
        <w:snapToGrid w:val="0"/>
        <w:jc w:val="center"/>
        <w:rPr>
          <w:sz w:val="28"/>
          <w:szCs w:val="28"/>
        </w:rPr>
      </w:pPr>
      <w:r>
        <w:rPr>
          <w:rFonts w:eastAsia="黑体"/>
          <w:bCs/>
          <w:sz w:val="24"/>
          <w:szCs w:val="24"/>
        </w:rPr>
        <w:t>表3-</w:t>
      </w:r>
      <w:r>
        <w:rPr>
          <w:rFonts w:hint="eastAsia" w:eastAsia="黑体"/>
          <w:bCs/>
          <w:sz w:val="24"/>
          <w:szCs w:val="24"/>
        </w:rPr>
        <w:t>7</w:t>
      </w:r>
      <w:r>
        <w:rPr>
          <w:rFonts w:eastAsia="黑体"/>
          <w:bCs/>
          <w:sz w:val="24"/>
          <w:szCs w:val="24"/>
        </w:rPr>
        <w:t xml:space="preserve">   地形地貌景观影响评分表</w:t>
      </w:r>
    </w:p>
    <w:p w14:paraId="2B8C586F">
      <w:pPr>
        <w:widowControl/>
        <w:spacing w:line="360" w:lineRule="auto"/>
        <w:ind w:firstLine="480" w:firstLineChars="200"/>
        <w:contextualSpacing/>
        <w:jc w:val="center"/>
        <w:rPr>
          <w:b/>
          <w:bCs/>
          <w:kern w:val="0"/>
          <w:sz w:val="28"/>
          <w:szCs w:val="28"/>
        </w:rPr>
      </w:pPr>
      <w:r>
        <w:rPr>
          <w:rFonts w:eastAsia="黑体"/>
          <w:kern w:val="0"/>
          <w:sz w:val="24"/>
          <w:szCs w:val="24"/>
        </w:rPr>
        <w:t>照片3-</w:t>
      </w:r>
      <w:r>
        <w:rPr>
          <w:rFonts w:hint="eastAsia" w:eastAsia="黑体"/>
          <w:kern w:val="0"/>
          <w:sz w:val="24"/>
          <w:szCs w:val="24"/>
        </w:rPr>
        <w:t>9</w:t>
      </w:r>
      <w:r>
        <w:rPr>
          <w:rFonts w:eastAsia="黑体"/>
          <w:kern w:val="0"/>
          <w:sz w:val="24"/>
          <w:szCs w:val="24"/>
        </w:rPr>
        <w:t xml:space="preserve">  </w:t>
      </w:r>
      <w:r>
        <w:rPr>
          <w:rFonts w:hint="eastAsia" w:eastAsia="黑体"/>
          <w:kern w:val="0"/>
          <w:sz w:val="24"/>
          <w:szCs w:val="24"/>
        </w:rPr>
        <w:t>废石场3现状</w:t>
      </w:r>
    </w:p>
    <w:p w14:paraId="4229699A">
      <w:pPr>
        <w:spacing w:line="360" w:lineRule="auto"/>
        <w:ind w:firstLine="562" w:firstLineChars="200"/>
        <w:contextualSpacing/>
        <w:rPr>
          <w:b/>
          <w:bCs/>
          <w:sz w:val="28"/>
          <w:szCs w:val="28"/>
        </w:rPr>
      </w:pPr>
      <w:bookmarkStart w:id="93" w:name="OLE_LINK25"/>
      <w:r>
        <w:rPr>
          <w:rFonts w:hint="eastAsia"/>
          <w:b/>
          <w:bCs/>
          <w:sz w:val="28"/>
          <w:szCs w:val="28"/>
        </w:rPr>
        <w:t>（6）办公区</w:t>
      </w:r>
    </w:p>
    <w:bookmarkEnd w:id="93"/>
    <w:p w14:paraId="49C4FEAA">
      <w:pPr>
        <w:spacing w:line="360" w:lineRule="auto"/>
        <w:ind w:firstLine="560" w:firstLineChars="200"/>
        <w:contextualSpacing/>
        <w:rPr>
          <w:sz w:val="28"/>
          <w:szCs w:val="28"/>
        </w:rPr>
      </w:pPr>
      <w:r>
        <w:rPr>
          <w:rFonts w:hint="eastAsia"/>
          <w:sz w:val="28"/>
          <w:szCs w:val="28"/>
        </w:rPr>
        <w:t>办公区位于废石场1北侧，</w:t>
      </w:r>
      <w:r>
        <w:rPr>
          <w:sz w:val="28"/>
          <w:szCs w:val="28"/>
        </w:rPr>
        <w:t>占用土地面积为</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rFonts w:hint="eastAsia"/>
          <w:sz w:val="28"/>
          <w:szCs w:val="28"/>
        </w:rPr>
        <w:t>场地内存在临建房，</w:t>
      </w:r>
      <w:r>
        <w:rPr>
          <w:sz w:val="28"/>
          <w:szCs w:val="28"/>
        </w:rPr>
        <w:t>建筑面积约</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rFonts w:hint="eastAsia"/>
          <w:sz w:val="28"/>
          <w:szCs w:val="28"/>
        </w:rPr>
        <w:t>后续矿山将新建办公生活区，本方案计划近期将该场地治理。</w:t>
      </w:r>
      <w:bookmarkStart w:id="94" w:name="OLE_LINK22"/>
      <w:r>
        <w:rPr>
          <w:sz w:val="28"/>
          <w:szCs w:val="28"/>
        </w:rPr>
        <w:t>该场地的建设破坏了原始地形地貌景观及植被，现状评估场地对地形地貌景观影响程度为较严重。</w:t>
      </w:r>
      <w:bookmarkEnd w:id="94"/>
      <w:r>
        <w:rPr>
          <w:sz w:val="28"/>
          <w:szCs w:val="28"/>
        </w:rPr>
        <w:t>（见照片3-</w:t>
      </w:r>
      <w:r>
        <w:rPr>
          <w:rFonts w:hint="eastAsia"/>
          <w:sz w:val="28"/>
          <w:szCs w:val="28"/>
        </w:rPr>
        <w:t>10</w:t>
      </w:r>
      <w:r>
        <w:rPr>
          <w:sz w:val="28"/>
          <w:szCs w:val="28"/>
        </w:rPr>
        <w:t>）</w:t>
      </w:r>
    </w:p>
    <w:p w14:paraId="256AAD74">
      <w:pPr>
        <w:widowControl/>
        <w:snapToGrid w:val="0"/>
        <w:jc w:val="center"/>
        <w:rPr>
          <w:sz w:val="28"/>
          <w:szCs w:val="28"/>
        </w:rPr>
      </w:pPr>
      <w:r>
        <w:rPr>
          <w:rFonts w:eastAsia="黑体"/>
          <w:bCs/>
          <w:sz w:val="24"/>
          <w:szCs w:val="24"/>
        </w:rPr>
        <w:t>表3-</w:t>
      </w:r>
      <w:r>
        <w:rPr>
          <w:rFonts w:hint="eastAsia" w:eastAsia="黑体"/>
          <w:bCs/>
          <w:sz w:val="24"/>
          <w:szCs w:val="24"/>
        </w:rPr>
        <w:t>8</w:t>
      </w:r>
      <w:r>
        <w:rPr>
          <w:rFonts w:eastAsia="黑体"/>
          <w:bCs/>
          <w:sz w:val="24"/>
          <w:szCs w:val="24"/>
        </w:rPr>
        <w:t xml:space="preserve">   </w:t>
      </w:r>
      <w:r>
        <w:rPr>
          <w:rFonts w:hint="eastAsia" w:eastAsia="黑体"/>
          <w:bCs/>
          <w:sz w:val="24"/>
          <w:szCs w:val="24"/>
        </w:rPr>
        <w:t>生活区</w:t>
      </w:r>
      <w:r>
        <w:rPr>
          <w:rFonts w:eastAsia="黑体"/>
          <w:bCs/>
          <w:sz w:val="24"/>
          <w:szCs w:val="24"/>
        </w:rPr>
        <w:t>地形地貌景观影响评分表</w:t>
      </w:r>
    </w:p>
    <w:p w14:paraId="088D11FC">
      <w:pPr>
        <w:widowControl/>
        <w:spacing w:line="360" w:lineRule="auto"/>
        <w:ind w:firstLine="480" w:firstLineChars="200"/>
        <w:contextualSpacing/>
        <w:jc w:val="center"/>
        <w:rPr>
          <w:b/>
          <w:bCs/>
          <w:kern w:val="0"/>
          <w:sz w:val="28"/>
          <w:szCs w:val="28"/>
        </w:rPr>
      </w:pPr>
      <w:r>
        <w:rPr>
          <w:rFonts w:eastAsia="黑体"/>
          <w:kern w:val="0"/>
          <w:sz w:val="24"/>
          <w:szCs w:val="24"/>
        </w:rPr>
        <w:t>照片3-</w:t>
      </w:r>
      <w:r>
        <w:rPr>
          <w:rFonts w:hint="eastAsia" w:eastAsia="黑体"/>
          <w:kern w:val="0"/>
          <w:sz w:val="24"/>
          <w:szCs w:val="24"/>
        </w:rPr>
        <w:t>10</w:t>
      </w:r>
      <w:r>
        <w:rPr>
          <w:rFonts w:eastAsia="黑体"/>
          <w:kern w:val="0"/>
          <w:sz w:val="24"/>
          <w:szCs w:val="24"/>
        </w:rPr>
        <w:t xml:space="preserve">  </w:t>
      </w:r>
      <w:r>
        <w:rPr>
          <w:rFonts w:hint="eastAsia" w:eastAsia="黑体"/>
          <w:kern w:val="0"/>
          <w:sz w:val="24"/>
          <w:szCs w:val="24"/>
        </w:rPr>
        <w:t>办公区现状</w:t>
      </w:r>
    </w:p>
    <w:p w14:paraId="26F7B808">
      <w:pPr>
        <w:spacing w:line="360" w:lineRule="auto"/>
        <w:ind w:firstLine="562" w:firstLineChars="200"/>
        <w:contextualSpacing/>
        <w:rPr>
          <w:b/>
          <w:bCs/>
          <w:sz w:val="28"/>
          <w:szCs w:val="28"/>
        </w:rPr>
      </w:pPr>
      <w:r>
        <w:rPr>
          <w:rFonts w:hint="eastAsia"/>
          <w:b/>
          <w:bCs/>
          <w:sz w:val="28"/>
          <w:szCs w:val="28"/>
        </w:rPr>
        <w:t>（7）生活区</w:t>
      </w:r>
    </w:p>
    <w:p w14:paraId="085BC953">
      <w:pPr>
        <w:spacing w:line="360" w:lineRule="auto"/>
        <w:ind w:firstLine="560" w:firstLineChars="200"/>
        <w:contextualSpacing/>
        <w:rPr>
          <w:sz w:val="28"/>
          <w:szCs w:val="28"/>
        </w:rPr>
      </w:pPr>
      <w:r>
        <w:rPr>
          <w:rFonts w:hint="eastAsia"/>
          <w:sz w:val="28"/>
          <w:szCs w:val="28"/>
        </w:rPr>
        <w:t>生活</w:t>
      </w:r>
      <w:r>
        <w:rPr>
          <w:sz w:val="28"/>
          <w:szCs w:val="28"/>
        </w:rPr>
        <w:t>区位于</w:t>
      </w:r>
      <w:r>
        <w:rPr>
          <w:rFonts w:hint="eastAsia"/>
          <w:sz w:val="28"/>
          <w:szCs w:val="28"/>
        </w:rPr>
        <w:t>废石场3北西侧约</w:t>
      </w:r>
      <w:r>
        <w:rPr>
          <w:rFonts w:hint="eastAsia" w:ascii="宋体" w:hAnsi="宋体" w:cs="宋体"/>
          <w:spacing w:val="13"/>
          <w:sz w:val="32"/>
          <w:szCs w:val="32"/>
        </w:rPr>
        <w:t>***</w:t>
      </w:r>
      <w:r>
        <w:rPr>
          <w:rFonts w:hint="eastAsia"/>
          <w:sz w:val="28"/>
          <w:szCs w:val="28"/>
        </w:rPr>
        <w:t>m，</w:t>
      </w:r>
      <w:r>
        <w:rPr>
          <w:sz w:val="28"/>
          <w:szCs w:val="28"/>
        </w:rPr>
        <w:t>占用土地面积为</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rFonts w:hint="eastAsia"/>
          <w:sz w:val="28"/>
          <w:szCs w:val="28"/>
        </w:rPr>
        <w:t>生活</w:t>
      </w:r>
      <w:r>
        <w:rPr>
          <w:sz w:val="28"/>
          <w:szCs w:val="28"/>
        </w:rPr>
        <w:t>区房屋建筑为小型砖混结构，房屋高约</w:t>
      </w:r>
      <w:r>
        <w:rPr>
          <w:rFonts w:hint="eastAsia" w:ascii="宋体" w:hAnsi="宋体" w:cs="宋体"/>
          <w:spacing w:val="13"/>
          <w:sz w:val="32"/>
          <w:szCs w:val="32"/>
        </w:rPr>
        <w:t>***</w:t>
      </w:r>
      <w:r>
        <w:rPr>
          <w:sz w:val="28"/>
          <w:szCs w:val="28"/>
        </w:rPr>
        <w:t>m，建筑面积约</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rFonts w:hint="eastAsia"/>
          <w:sz w:val="28"/>
          <w:szCs w:val="28"/>
        </w:rPr>
        <w:t>房屋建筑后缘与山体形成切坡，坡高</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m，坡角</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°，切坡长度约</w:t>
      </w:r>
      <w:r>
        <w:rPr>
          <w:rFonts w:hint="eastAsia" w:ascii="宋体" w:hAnsi="宋体" w:cs="宋体"/>
          <w:spacing w:val="13"/>
          <w:sz w:val="32"/>
          <w:szCs w:val="32"/>
        </w:rPr>
        <w:t>***</w:t>
      </w:r>
      <w:r>
        <w:rPr>
          <w:rFonts w:hint="eastAsia"/>
          <w:sz w:val="28"/>
          <w:szCs w:val="28"/>
        </w:rPr>
        <w:t>m，</w:t>
      </w:r>
      <w:r>
        <w:rPr>
          <w:sz w:val="28"/>
          <w:szCs w:val="28"/>
        </w:rPr>
        <w:t>该场地的建设破坏了原始地形地貌景观及植被，现状评估场地对地形地貌景观影响程度为较严重。（见照片3-</w:t>
      </w:r>
      <w:r>
        <w:rPr>
          <w:rFonts w:hint="eastAsia"/>
          <w:sz w:val="28"/>
          <w:szCs w:val="28"/>
        </w:rPr>
        <w:t>11</w:t>
      </w:r>
      <w:r>
        <w:rPr>
          <w:sz w:val="28"/>
          <w:szCs w:val="28"/>
        </w:rPr>
        <w:t>）</w:t>
      </w:r>
    </w:p>
    <w:p w14:paraId="44473464">
      <w:pPr>
        <w:spacing w:line="360" w:lineRule="auto"/>
        <w:ind w:firstLine="560" w:firstLineChars="200"/>
        <w:contextualSpacing/>
        <w:rPr>
          <w:sz w:val="28"/>
          <w:szCs w:val="28"/>
        </w:rPr>
      </w:pPr>
    </w:p>
    <w:p w14:paraId="7AB1C5DA">
      <w:pPr>
        <w:spacing w:line="360" w:lineRule="auto"/>
        <w:ind w:firstLine="560" w:firstLineChars="200"/>
        <w:contextualSpacing/>
        <w:rPr>
          <w:sz w:val="28"/>
          <w:szCs w:val="28"/>
        </w:rPr>
      </w:pPr>
    </w:p>
    <w:p w14:paraId="1100411F">
      <w:pPr>
        <w:widowControl/>
        <w:snapToGrid w:val="0"/>
        <w:jc w:val="center"/>
        <w:rPr>
          <w:sz w:val="28"/>
          <w:szCs w:val="28"/>
        </w:rPr>
      </w:pPr>
      <w:r>
        <w:rPr>
          <w:rFonts w:eastAsia="黑体"/>
          <w:bCs/>
          <w:sz w:val="24"/>
          <w:szCs w:val="24"/>
        </w:rPr>
        <w:t>表3-</w:t>
      </w:r>
      <w:r>
        <w:rPr>
          <w:rFonts w:hint="eastAsia" w:eastAsia="黑体"/>
          <w:bCs/>
          <w:sz w:val="24"/>
          <w:szCs w:val="24"/>
        </w:rPr>
        <w:t>9</w:t>
      </w:r>
      <w:r>
        <w:rPr>
          <w:rFonts w:eastAsia="黑体"/>
          <w:bCs/>
          <w:sz w:val="24"/>
          <w:szCs w:val="24"/>
        </w:rPr>
        <w:t xml:space="preserve">   </w:t>
      </w:r>
      <w:r>
        <w:rPr>
          <w:rFonts w:hint="eastAsia" w:eastAsia="黑体"/>
          <w:bCs/>
          <w:sz w:val="24"/>
          <w:szCs w:val="24"/>
        </w:rPr>
        <w:t>生活区</w:t>
      </w:r>
      <w:r>
        <w:rPr>
          <w:rFonts w:eastAsia="黑体"/>
          <w:bCs/>
          <w:sz w:val="24"/>
          <w:szCs w:val="24"/>
        </w:rPr>
        <w:t>地形地貌景观影响评分表</w:t>
      </w:r>
    </w:p>
    <w:p w14:paraId="51CEFEBA">
      <w:pPr>
        <w:widowControl/>
        <w:spacing w:line="360" w:lineRule="auto"/>
        <w:ind w:firstLine="480" w:firstLineChars="200"/>
        <w:contextualSpacing/>
        <w:jc w:val="center"/>
        <w:rPr>
          <w:b/>
          <w:bCs/>
          <w:kern w:val="0"/>
          <w:sz w:val="28"/>
          <w:szCs w:val="28"/>
        </w:rPr>
      </w:pPr>
      <w:r>
        <w:rPr>
          <w:rFonts w:eastAsia="黑体"/>
          <w:kern w:val="0"/>
          <w:sz w:val="24"/>
          <w:szCs w:val="24"/>
        </w:rPr>
        <w:t>照片3-</w:t>
      </w:r>
      <w:r>
        <w:rPr>
          <w:rFonts w:hint="eastAsia" w:eastAsia="黑体"/>
          <w:kern w:val="0"/>
          <w:sz w:val="24"/>
          <w:szCs w:val="24"/>
        </w:rPr>
        <w:t>11</w:t>
      </w:r>
      <w:r>
        <w:rPr>
          <w:rFonts w:eastAsia="黑体"/>
          <w:kern w:val="0"/>
          <w:sz w:val="24"/>
          <w:szCs w:val="24"/>
        </w:rPr>
        <w:t xml:space="preserve">  </w:t>
      </w:r>
      <w:r>
        <w:rPr>
          <w:rFonts w:hint="eastAsia" w:eastAsia="黑体"/>
          <w:kern w:val="0"/>
          <w:sz w:val="24"/>
          <w:szCs w:val="24"/>
        </w:rPr>
        <w:t>生活区现状</w:t>
      </w:r>
    </w:p>
    <w:p w14:paraId="0D0F15D1">
      <w:pPr>
        <w:spacing w:line="360" w:lineRule="auto"/>
        <w:ind w:firstLine="562" w:firstLineChars="200"/>
        <w:contextualSpacing/>
        <w:rPr>
          <w:b/>
          <w:bCs/>
          <w:sz w:val="28"/>
          <w:szCs w:val="28"/>
        </w:rPr>
      </w:pPr>
      <w:r>
        <w:rPr>
          <w:rFonts w:hint="eastAsia"/>
          <w:b/>
          <w:bCs/>
          <w:sz w:val="28"/>
          <w:szCs w:val="28"/>
        </w:rPr>
        <w:t>（8）</w:t>
      </w:r>
      <w:r>
        <w:rPr>
          <w:b/>
          <w:bCs/>
          <w:sz w:val="28"/>
          <w:szCs w:val="28"/>
        </w:rPr>
        <w:t>门卫</w:t>
      </w:r>
    </w:p>
    <w:p w14:paraId="16C4AA27">
      <w:pPr>
        <w:spacing w:line="360" w:lineRule="auto"/>
        <w:ind w:firstLine="560" w:firstLineChars="200"/>
        <w:contextualSpacing/>
        <w:rPr>
          <w:sz w:val="28"/>
          <w:szCs w:val="28"/>
        </w:rPr>
      </w:pPr>
      <w:r>
        <w:rPr>
          <w:rFonts w:hint="eastAsia"/>
          <w:sz w:val="28"/>
          <w:szCs w:val="28"/>
        </w:rPr>
        <w:t>门卫</w:t>
      </w:r>
      <w:r>
        <w:rPr>
          <w:sz w:val="28"/>
          <w:szCs w:val="28"/>
        </w:rPr>
        <w:t>位于</w:t>
      </w:r>
      <w:r>
        <w:rPr>
          <w:rFonts w:hint="eastAsia"/>
          <w:sz w:val="28"/>
          <w:szCs w:val="28"/>
        </w:rPr>
        <w:t>生活区处南侧约</w:t>
      </w:r>
      <w:r>
        <w:rPr>
          <w:rFonts w:hint="eastAsia" w:ascii="宋体" w:hAnsi="宋体" w:cs="宋体"/>
          <w:spacing w:val="13"/>
          <w:sz w:val="32"/>
          <w:szCs w:val="32"/>
        </w:rPr>
        <w:t>***</w:t>
      </w:r>
      <w:r>
        <w:rPr>
          <w:rFonts w:hint="eastAsia"/>
          <w:sz w:val="28"/>
          <w:szCs w:val="28"/>
        </w:rPr>
        <w:t>m，</w:t>
      </w:r>
      <w:r>
        <w:rPr>
          <w:sz w:val="28"/>
          <w:szCs w:val="28"/>
        </w:rPr>
        <w:t>占用土地面积为</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。房屋建筑为小型砖混结构，房屋高约</w:t>
      </w:r>
      <w:r>
        <w:rPr>
          <w:rFonts w:hint="eastAsia" w:ascii="宋体" w:hAnsi="宋体" w:cs="宋体"/>
          <w:spacing w:val="13"/>
          <w:sz w:val="32"/>
          <w:szCs w:val="32"/>
        </w:rPr>
        <w:t>***</w:t>
      </w:r>
      <w:r>
        <w:rPr>
          <w:sz w:val="28"/>
          <w:szCs w:val="28"/>
        </w:rPr>
        <w:t>m，建筑面积约</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rFonts w:hint="eastAsia"/>
          <w:sz w:val="28"/>
          <w:szCs w:val="28"/>
        </w:rPr>
        <w:t>房屋建筑后缘与山体形成切坡，坡高</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m，坡角</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°，切坡长度约</w:t>
      </w:r>
      <w:r>
        <w:rPr>
          <w:rFonts w:hint="eastAsia" w:ascii="宋体" w:hAnsi="宋体" w:cs="宋体"/>
          <w:spacing w:val="13"/>
          <w:sz w:val="32"/>
          <w:szCs w:val="32"/>
        </w:rPr>
        <w:t>***</w:t>
      </w:r>
      <w:r>
        <w:rPr>
          <w:rFonts w:hint="eastAsia"/>
          <w:sz w:val="28"/>
          <w:szCs w:val="28"/>
        </w:rPr>
        <w:t>m，</w:t>
      </w:r>
      <w:r>
        <w:rPr>
          <w:sz w:val="28"/>
          <w:szCs w:val="28"/>
        </w:rPr>
        <w:t>该场地的建设破坏了原始地形地貌景观及植被，现状评估场地对地形地貌景观影响程度为较严重。（见照片3-</w:t>
      </w:r>
      <w:r>
        <w:rPr>
          <w:rFonts w:hint="eastAsia"/>
          <w:sz w:val="28"/>
          <w:szCs w:val="28"/>
        </w:rPr>
        <w:t>12</w:t>
      </w:r>
      <w:r>
        <w:rPr>
          <w:sz w:val="28"/>
          <w:szCs w:val="28"/>
        </w:rPr>
        <w:t>）</w:t>
      </w:r>
    </w:p>
    <w:p w14:paraId="11C048A0">
      <w:pPr>
        <w:widowControl/>
        <w:snapToGrid w:val="0"/>
        <w:jc w:val="center"/>
        <w:rPr>
          <w:sz w:val="28"/>
          <w:szCs w:val="28"/>
        </w:rPr>
      </w:pPr>
      <w:r>
        <w:rPr>
          <w:rFonts w:eastAsia="黑体"/>
          <w:bCs/>
          <w:sz w:val="24"/>
          <w:szCs w:val="24"/>
        </w:rPr>
        <w:t>表3-</w:t>
      </w:r>
      <w:r>
        <w:rPr>
          <w:rFonts w:hint="eastAsia" w:eastAsia="黑体"/>
          <w:bCs/>
          <w:sz w:val="24"/>
          <w:szCs w:val="24"/>
        </w:rPr>
        <w:t>10</w:t>
      </w:r>
      <w:r>
        <w:rPr>
          <w:rFonts w:eastAsia="黑体"/>
          <w:bCs/>
          <w:sz w:val="24"/>
          <w:szCs w:val="24"/>
        </w:rPr>
        <w:t xml:space="preserve">   </w:t>
      </w:r>
      <w:r>
        <w:rPr>
          <w:rFonts w:hint="eastAsia" w:eastAsia="黑体"/>
          <w:bCs/>
          <w:sz w:val="24"/>
          <w:szCs w:val="24"/>
        </w:rPr>
        <w:t>门卫</w:t>
      </w:r>
      <w:r>
        <w:rPr>
          <w:rFonts w:eastAsia="黑体"/>
          <w:bCs/>
          <w:sz w:val="24"/>
          <w:szCs w:val="24"/>
        </w:rPr>
        <w:t>地形地貌景观影响评分表</w:t>
      </w:r>
    </w:p>
    <w:p w14:paraId="18AEED48">
      <w:pPr>
        <w:widowControl/>
        <w:spacing w:line="360" w:lineRule="auto"/>
        <w:ind w:firstLine="480" w:firstLineChars="200"/>
        <w:contextualSpacing/>
        <w:jc w:val="center"/>
        <w:rPr>
          <w:b/>
          <w:bCs/>
          <w:kern w:val="0"/>
          <w:sz w:val="28"/>
          <w:szCs w:val="28"/>
        </w:rPr>
      </w:pPr>
      <w:r>
        <w:rPr>
          <w:rFonts w:eastAsia="黑体"/>
          <w:kern w:val="0"/>
          <w:sz w:val="24"/>
          <w:szCs w:val="24"/>
        </w:rPr>
        <w:t>照片3-</w:t>
      </w:r>
      <w:r>
        <w:rPr>
          <w:rFonts w:hint="eastAsia" w:eastAsia="黑体"/>
          <w:kern w:val="0"/>
          <w:sz w:val="24"/>
          <w:szCs w:val="24"/>
        </w:rPr>
        <w:t>12</w:t>
      </w:r>
      <w:r>
        <w:rPr>
          <w:rFonts w:eastAsia="黑体"/>
          <w:kern w:val="0"/>
          <w:sz w:val="24"/>
          <w:szCs w:val="24"/>
        </w:rPr>
        <w:t xml:space="preserve">  </w:t>
      </w:r>
      <w:r>
        <w:rPr>
          <w:rFonts w:hint="eastAsia" w:eastAsia="黑体"/>
          <w:kern w:val="0"/>
          <w:sz w:val="24"/>
          <w:szCs w:val="24"/>
        </w:rPr>
        <w:t>门卫现状</w:t>
      </w:r>
    </w:p>
    <w:p w14:paraId="09D19DC1">
      <w:pPr>
        <w:spacing w:line="360" w:lineRule="auto"/>
        <w:ind w:firstLine="562" w:firstLineChars="200"/>
        <w:contextualSpacing/>
        <w:rPr>
          <w:sz w:val="28"/>
          <w:szCs w:val="28"/>
        </w:rPr>
      </w:pPr>
      <w:bookmarkStart w:id="95" w:name="OLE_LINK27"/>
      <w:r>
        <w:rPr>
          <w:rFonts w:hint="eastAsia"/>
          <w:b/>
          <w:bCs/>
          <w:sz w:val="28"/>
          <w:szCs w:val="28"/>
        </w:rPr>
        <w:t>（9）</w:t>
      </w:r>
      <w:r>
        <w:rPr>
          <w:b/>
          <w:bCs/>
          <w:sz w:val="28"/>
          <w:szCs w:val="28"/>
        </w:rPr>
        <w:t>钻机平台</w:t>
      </w:r>
    </w:p>
    <w:bookmarkEnd w:id="95"/>
    <w:p w14:paraId="499DAA3D">
      <w:pPr>
        <w:spacing w:line="360" w:lineRule="auto"/>
        <w:ind w:firstLine="560" w:firstLineChars="200"/>
        <w:contextualSpacing/>
        <w:rPr>
          <w:sz w:val="28"/>
          <w:szCs w:val="28"/>
        </w:rPr>
      </w:pPr>
      <w:r>
        <w:rPr>
          <w:rFonts w:hint="eastAsia"/>
          <w:sz w:val="28"/>
          <w:szCs w:val="28"/>
        </w:rPr>
        <w:t>钻机平台位于矿区东南侧，位于采场山体后面，占地面积</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rFonts w:hint="eastAsia"/>
          <w:sz w:val="28"/>
          <w:szCs w:val="28"/>
        </w:rPr>
        <w:t>属于矿山近期实施增储工作遗留，场地将切坡出一处平台，边坡切坡后下部进行了垫坡，经估算，开挖方量</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，下部垫坡方量为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w:t>
      </w:r>
      <w:r>
        <w:rPr>
          <w:sz w:val="28"/>
          <w:szCs w:val="28"/>
        </w:rPr>
        <w:t>该场地的</w:t>
      </w:r>
      <w:r>
        <w:rPr>
          <w:rFonts w:hint="eastAsia"/>
          <w:sz w:val="28"/>
          <w:szCs w:val="28"/>
        </w:rPr>
        <w:t>开挖</w:t>
      </w:r>
      <w:r>
        <w:rPr>
          <w:sz w:val="28"/>
          <w:szCs w:val="28"/>
        </w:rPr>
        <w:t>破坏了原始地形地貌景观及植被，现状评估场地对地形地貌景观影响程度为较严重。（见照片3-</w:t>
      </w:r>
      <w:r>
        <w:rPr>
          <w:rFonts w:hint="eastAsia"/>
          <w:sz w:val="28"/>
          <w:szCs w:val="28"/>
        </w:rPr>
        <w:t>13</w:t>
      </w:r>
      <w:r>
        <w:rPr>
          <w:sz w:val="28"/>
          <w:szCs w:val="28"/>
        </w:rPr>
        <w:t>）</w:t>
      </w:r>
    </w:p>
    <w:p w14:paraId="4098B7AF">
      <w:pPr>
        <w:widowControl/>
        <w:spacing w:line="360" w:lineRule="auto"/>
        <w:ind w:firstLine="480" w:firstLineChars="200"/>
        <w:contextualSpacing/>
        <w:jc w:val="center"/>
        <w:rPr>
          <w:b/>
          <w:bCs/>
          <w:kern w:val="0"/>
          <w:sz w:val="28"/>
          <w:szCs w:val="28"/>
        </w:rPr>
      </w:pPr>
      <w:bookmarkStart w:id="96" w:name="OLE_LINK2"/>
      <w:r>
        <w:rPr>
          <w:rFonts w:eastAsia="黑体"/>
          <w:kern w:val="0"/>
          <w:sz w:val="24"/>
          <w:szCs w:val="24"/>
        </w:rPr>
        <w:t>照片3-</w:t>
      </w:r>
      <w:r>
        <w:rPr>
          <w:rFonts w:hint="eastAsia" w:eastAsia="黑体"/>
          <w:kern w:val="0"/>
          <w:sz w:val="24"/>
          <w:szCs w:val="24"/>
        </w:rPr>
        <w:t>13</w:t>
      </w:r>
      <w:r>
        <w:rPr>
          <w:rFonts w:eastAsia="黑体"/>
          <w:kern w:val="0"/>
          <w:sz w:val="24"/>
          <w:szCs w:val="24"/>
        </w:rPr>
        <w:t xml:space="preserve">  </w:t>
      </w:r>
      <w:r>
        <w:rPr>
          <w:rFonts w:hint="eastAsia" w:eastAsia="黑体"/>
          <w:kern w:val="0"/>
          <w:sz w:val="24"/>
          <w:szCs w:val="24"/>
        </w:rPr>
        <w:t>钻机平台现状</w:t>
      </w:r>
    </w:p>
    <w:bookmarkEnd w:id="96"/>
    <w:p w14:paraId="3DCB8007">
      <w:pPr>
        <w:widowControl/>
        <w:contextualSpacing/>
        <w:jc w:val="center"/>
        <w:rPr>
          <w:rFonts w:eastAsia="黑体"/>
          <w:kern w:val="0"/>
          <w:sz w:val="24"/>
          <w:szCs w:val="24"/>
        </w:rPr>
      </w:pPr>
      <w:bookmarkStart w:id="97" w:name="OLE_LINK8"/>
      <w:r>
        <w:rPr>
          <w:rFonts w:eastAsia="黑体"/>
          <w:kern w:val="0"/>
          <w:sz w:val="24"/>
          <w:szCs w:val="24"/>
        </w:rPr>
        <w:t>表3-</w:t>
      </w:r>
      <w:r>
        <w:rPr>
          <w:rFonts w:hint="eastAsia" w:eastAsia="黑体"/>
          <w:kern w:val="0"/>
          <w:sz w:val="24"/>
          <w:szCs w:val="24"/>
        </w:rPr>
        <w:t>11</w:t>
      </w:r>
      <w:r>
        <w:rPr>
          <w:rFonts w:eastAsia="黑体"/>
          <w:kern w:val="0"/>
          <w:sz w:val="24"/>
          <w:szCs w:val="24"/>
        </w:rPr>
        <w:t xml:space="preserve">  地形地貌景观破坏程度评价表</w:t>
      </w:r>
    </w:p>
    <w:p w14:paraId="42FB6303">
      <w:pPr>
        <w:widowControl/>
        <w:spacing w:line="360" w:lineRule="auto"/>
        <w:ind w:firstLine="260"/>
        <w:jc w:val="left"/>
        <w:rPr>
          <w:kern w:val="0"/>
          <w:sz w:val="13"/>
          <w:szCs w:val="8"/>
        </w:rPr>
      </w:pPr>
    </w:p>
    <w:bookmarkEnd w:id="97"/>
    <w:p w14:paraId="41123518">
      <w:pPr>
        <w:spacing w:line="360" w:lineRule="auto"/>
        <w:ind w:firstLine="562" w:firstLineChars="200"/>
        <w:contextualSpacing/>
        <w:rPr>
          <w:b/>
          <w:bCs/>
          <w:sz w:val="28"/>
          <w:szCs w:val="28"/>
        </w:rPr>
      </w:pPr>
      <w:r>
        <w:rPr>
          <w:rFonts w:hint="eastAsia"/>
          <w:b/>
          <w:bCs/>
          <w:sz w:val="28"/>
          <w:szCs w:val="28"/>
        </w:rPr>
        <w:t>（10）矿区道路</w:t>
      </w:r>
    </w:p>
    <w:p w14:paraId="728BACBD">
      <w:pPr>
        <w:spacing w:line="360" w:lineRule="auto"/>
        <w:ind w:firstLine="560" w:firstLineChars="200"/>
        <w:contextualSpacing/>
        <w:rPr>
          <w:sz w:val="28"/>
          <w:szCs w:val="28"/>
        </w:rPr>
      </w:pPr>
      <w:r>
        <w:rPr>
          <w:sz w:val="28"/>
          <w:szCs w:val="28"/>
        </w:rPr>
        <w:t>矿区道路连接项目区各工程单元包括通往历史遗留场地及周边民营企业场地（不包括各场地内路段），总长</w:t>
      </w:r>
      <w:r>
        <w:rPr>
          <w:rFonts w:hint="eastAsia" w:ascii="宋体" w:hAnsi="宋体" w:cs="宋体"/>
          <w:spacing w:val="13"/>
          <w:sz w:val="32"/>
          <w:szCs w:val="32"/>
        </w:rPr>
        <w:t>***</w:t>
      </w:r>
      <w:r>
        <w:rPr>
          <w:sz w:val="28"/>
          <w:szCs w:val="28"/>
        </w:rPr>
        <w:t>m，道路宽约</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m，损毁、压占土地面积为</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。该场地的建设破坏了原始地形地貌景观及植被，现状评估场地对地形地貌景观影响程度为较严重。（见照片3-</w:t>
      </w:r>
      <w:r>
        <w:rPr>
          <w:rFonts w:hint="eastAsia"/>
          <w:sz w:val="28"/>
          <w:szCs w:val="28"/>
        </w:rPr>
        <w:t>14</w:t>
      </w:r>
      <w:r>
        <w:rPr>
          <w:sz w:val="28"/>
          <w:szCs w:val="28"/>
        </w:rPr>
        <w:t>）</w:t>
      </w:r>
    </w:p>
    <w:p w14:paraId="736EB263">
      <w:pPr>
        <w:widowControl/>
        <w:contextualSpacing/>
        <w:jc w:val="center"/>
        <w:rPr>
          <w:sz w:val="28"/>
          <w:szCs w:val="28"/>
        </w:rPr>
      </w:pPr>
      <w:r>
        <w:rPr>
          <w:rFonts w:eastAsia="黑体"/>
          <w:kern w:val="0"/>
          <w:sz w:val="24"/>
          <w:szCs w:val="24"/>
        </w:rPr>
        <w:t>表3-</w:t>
      </w:r>
      <w:r>
        <w:rPr>
          <w:rFonts w:hint="eastAsia" w:eastAsia="黑体"/>
          <w:kern w:val="0"/>
          <w:sz w:val="24"/>
          <w:szCs w:val="24"/>
        </w:rPr>
        <w:t>12</w:t>
      </w:r>
      <w:r>
        <w:rPr>
          <w:rFonts w:eastAsia="黑体"/>
          <w:kern w:val="0"/>
          <w:sz w:val="24"/>
          <w:szCs w:val="24"/>
        </w:rPr>
        <w:t xml:space="preserve">  地形地貌景观破坏程度评价表</w:t>
      </w:r>
    </w:p>
    <w:p w14:paraId="78BE772C">
      <w:pPr>
        <w:widowControl/>
        <w:spacing w:line="360" w:lineRule="auto"/>
        <w:ind w:firstLine="480" w:firstLineChars="200"/>
        <w:contextualSpacing/>
        <w:jc w:val="center"/>
        <w:rPr>
          <w:b/>
          <w:bCs/>
          <w:kern w:val="0"/>
          <w:sz w:val="28"/>
          <w:szCs w:val="28"/>
        </w:rPr>
      </w:pPr>
      <w:r>
        <w:rPr>
          <w:rFonts w:eastAsia="黑体"/>
          <w:kern w:val="0"/>
          <w:sz w:val="24"/>
          <w:szCs w:val="24"/>
        </w:rPr>
        <w:t>照片3-</w:t>
      </w:r>
      <w:r>
        <w:rPr>
          <w:rFonts w:hint="eastAsia" w:eastAsia="黑体"/>
          <w:kern w:val="0"/>
          <w:sz w:val="24"/>
          <w:szCs w:val="24"/>
        </w:rPr>
        <w:t>14</w:t>
      </w:r>
      <w:r>
        <w:rPr>
          <w:rFonts w:eastAsia="黑体"/>
          <w:kern w:val="0"/>
          <w:sz w:val="24"/>
          <w:szCs w:val="24"/>
        </w:rPr>
        <w:t xml:space="preserve">  </w:t>
      </w:r>
      <w:r>
        <w:rPr>
          <w:rFonts w:hint="eastAsia" w:eastAsia="黑体"/>
          <w:kern w:val="0"/>
          <w:sz w:val="24"/>
          <w:szCs w:val="24"/>
        </w:rPr>
        <w:t>矿区道路现状</w:t>
      </w:r>
    </w:p>
    <w:p w14:paraId="3DEED2E3">
      <w:pPr>
        <w:spacing w:after="200" w:line="360" w:lineRule="auto"/>
        <w:ind w:firstLine="562" w:firstLineChars="200"/>
        <w:contextualSpacing/>
        <w:rPr>
          <w:kern w:val="0"/>
          <w:sz w:val="28"/>
          <w:szCs w:val="24"/>
        </w:rPr>
      </w:pPr>
      <w:r>
        <w:rPr>
          <w:b/>
          <w:bCs/>
          <w:sz w:val="28"/>
          <w:szCs w:val="28"/>
        </w:rPr>
        <w:t>（</w:t>
      </w:r>
      <w:r>
        <w:rPr>
          <w:rFonts w:hint="eastAsia"/>
          <w:b/>
          <w:bCs/>
          <w:sz w:val="28"/>
          <w:szCs w:val="28"/>
        </w:rPr>
        <w:t>11</w:t>
      </w:r>
      <w:r>
        <w:rPr>
          <w:b/>
          <w:bCs/>
          <w:sz w:val="28"/>
          <w:szCs w:val="28"/>
        </w:rPr>
        <w:t>）评估区其他区域</w:t>
      </w:r>
    </w:p>
    <w:p w14:paraId="0E1D2AB4">
      <w:pPr>
        <w:spacing w:after="200" w:line="360" w:lineRule="auto"/>
        <w:ind w:firstLine="560" w:firstLineChars="200"/>
        <w:contextualSpacing/>
        <w:rPr>
          <w:kern w:val="0"/>
          <w:sz w:val="28"/>
          <w:szCs w:val="24"/>
        </w:rPr>
      </w:pPr>
      <w:r>
        <w:rPr>
          <w:kern w:val="0"/>
          <w:sz w:val="28"/>
          <w:szCs w:val="24"/>
        </w:rPr>
        <w:t>评估区的其他区域保持着原生地形地貌景观状态。现状矿山地质环境影响较轻。</w:t>
      </w:r>
    </w:p>
    <w:p w14:paraId="0FFC05DF">
      <w:pPr>
        <w:spacing w:after="200" w:line="360" w:lineRule="auto"/>
        <w:ind w:firstLine="560" w:firstLineChars="200"/>
        <w:contextualSpacing/>
        <w:rPr>
          <w:kern w:val="0"/>
          <w:sz w:val="28"/>
          <w:szCs w:val="24"/>
        </w:rPr>
      </w:pPr>
      <w:r>
        <w:rPr>
          <w:kern w:val="0"/>
          <w:sz w:val="28"/>
          <w:szCs w:val="24"/>
        </w:rPr>
        <w:t>地形地貌景观影响现状评估情况见表3-</w:t>
      </w:r>
      <w:r>
        <w:rPr>
          <w:rFonts w:hint="eastAsia"/>
          <w:kern w:val="0"/>
          <w:sz w:val="28"/>
          <w:szCs w:val="24"/>
        </w:rPr>
        <w:t>13</w:t>
      </w:r>
      <w:r>
        <w:rPr>
          <w:kern w:val="0"/>
          <w:sz w:val="28"/>
          <w:szCs w:val="24"/>
        </w:rPr>
        <w:t>。</w:t>
      </w:r>
    </w:p>
    <w:p w14:paraId="527A049E">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13</w:t>
      </w:r>
      <w:r>
        <w:rPr>
          <w:rFonts w:eastAsia="黑体"/>
          <w:bCs/>
          <w:sz w:val="24"/>
          <w:szCs w:val="24"/>
        </w:rPr>
        <w:t xml:space="preserve">  地形地貌景观影响现状评估表</w:t>
      </w:r>
    </w:p>
    <w:p w14:paraId="2E0FFB9D">
      <w:pPr>
        <w:widowControl/>
        <w:snapToGrid w:val="0"/>
        <w:spacing w:before="120" w:beforeLines="50"/>
        <w:ind w:firstLine="1920" w:firstLineChars="800"/>
        <w:rPr>
          <w:rFonts w:eastAsia="黑体"/>
          <w:bCs/>
          <w:sz w:val="24"/>
          <w:szCs w:val="24"/>
        </w:rPr>
      </w:pPr>
      <w:r>
        <w:rPr>
          <w:rFonts w:eastAsia="黑体"/>
          <w:bCs/>
          <w:sz w:val="24"/>
          <w:szCs w:val="24"/>
        </w:rPr>
        <w:t>表3-</w:t>
      </w:r>
      <w:r>
        <w:rPr>
          <w:rFonts w:hint="eastAsia" w:eastAsia="黑体"/>
          <w:bCs/>
          <w:sz w:val="24"/>
          <w:szCs w:val="24"/>
        </w:rPr>
        <w:t>14</w:t>
      </w:r>
      <w:r>
        <w:rPr>
          <w:rFonts w:eastAsia="黑体"/>
          <w:bCs/>
          <w:sz w:val="24"/>
          <w:szCs w:val="24"/>
        </w:rPr>
        <w:t xml:space="preserve">  现状矿山地质环境问题说明表</w:t>
      </w:r>
    </w:p>
    <w:p w14:paraId="36348430">
      <w:pPr>
        <w:widowControl/>
        <w:contextualSpacing/>
        <w:jc w:val="center"/>
        <w:rPr>
          <w:b/>
          <w:bCs/>
          <w:kern w:val="0"/>
          <w:szCs w:val="21"/>
        </w:rPr>
      </w:pPr>
    </w:p>
    <w:p w14:paraId="17BFEA39">
      <w:pPr>
        <w:spacing w:line="360" w:lineRule="auto"/>
        <w:ind w:firstLine="562" w:firstLineChars="200"/>
        <w:outlineLvl w:val="3"/>
        <w:rPr>
          <w:b/>
          <w:bCs/>
          <w:snapToGrid w:val="0"/>
          <w:sz w:val="28"/>
          <w:szCs w:val="28"/>
        </w:rPr>
      </w:pPr>
      <w:r>
        <w:rPr>
          <w:b/>
          <w:bCs/>
          <w:snapToGrid w:val="0"/>
          <w:sz w:val="28"/>
          <w:szCs w:val="28"/>
        </w:rPr>
        <w:t>（二）土地资源损毁现状</w:t>
      </w:r>
    </w:p>
    <w:p w14:paraId="38895CCE">
      <w:pPr>
        <w:widowControl/>
        <w:spacing w:line="360" w:lineRule="auto"/>
        <w:ind w:firstLine="560" w:firstLineChars="200"/>
        <w:rPr>
          <w:sz w:val="28"/>
          <w:szCs w:val="28"/>
        </w:rPr>
      </w:pPr>
      <w:r>
        <w:rPr>
          <w:kern w:val="0"/>
          <w:sz w:val="28"/>
          <w:szCs w:val="28"/>
        </w:rPr>
        <w:t>1、土地损毁程度评价指标</w:t>
      </w:r>
    </w:p>
    <w:p w14:paraId="08BA2B59">
      <w:pPr>
        <w:widowControl/>
        <w:spacing w:line="360" w:lineRule="auto"/>
        <w:ind w:firstLine="560" w:firstLineChars="200"/>
        <w:rPr>
          <w:kern w:val="0"/>
          <w:sz w:val="28"/>
          <w:szCs w:val="28"/>
        </w:rPr>
      </w:pPr>
      <w:r>
        <w:rPr>
          <w:kern w:val="0"/>
          <w:sz w:val="28"/>
          <w:szCs w:val="28"/>
        </w:rPr>
        <w:t>根据现场调查，</w:t>
      </w:r>
      <w:r>
        <w:rPr>
          <w:rFonts w:hint="eastAsia"/>
          <w:kern w:val="0"/>
          <w:sz w:val="28"/>
          <w:szCs w:val="28"/>
        </w:rPr>
        <w:t>现状矿区土地</w:t>
      </w:r>
      <w:r>
        <w:rPr>
          <w:kern w:val="0"/>
          <w:sz w:val="28"/>
          <w:szCs w:val="28"/>
        </w:rPr>
        <w:t>损毁方式主要有压占和挖损两种。根据国家和地方相关部门规定的划分标准，将土地损毁程度等级数确定为一级（轻度损毁）、二级（中度损毁）、三级（重度损毁）等3级标准。评估标准如下：</w:t>
      </w:r>
    </w:p>
    <w:p w14:paraId="691DA702">
      <w:pPr>
        <w:widowControl/>
        <w:spacing w:line="360" w:lineRule="auto"/>
        <w:ind w:firstLine="560" w:firstLineChars="200"/>
        <w:rPr>
          <w:kern w:val="0"/>
          <w:sz w:val="28"/>
          <w:szCs w:val="28"/>
        </w:rPr>
      </w:pPr>
      <w:r>
        <w:rPr>
          <w:kern w:val="0"/>
          <w:sz w:val="28"/>
          <w:szCs w:val="28"/>
        </w:rPr>
        <w:t>①轻度损毁：土地破坏轻微，基本不影响土地利用功能；</w:t>
      </w:r>
    </w:p>
    <w:p w14:paraId="319CE1FA">
      <w:pPr>
        <w:widowControl/>
        <w:spacing w:line="360" w:lineRule="auto"/>
        <w:ind w:firstLine="560" w:firstLineChars="200"/>
        <w:rPr>
          <w:kern w:val="0"/>
          <w:sz w:val="28"/>
          <w:szCs w:val="28"/>
        </w:rPr>
      </w:pPr>
      <w:r>
        <w:rPr>
          <w:kern w:val="0"/>
          <w:sz w:val="28"/>
          <w:szCs w:val="28"/>
        </w:rPr>
        <w:t>②中度损毁：</w:t>
      </w:r>
      <w:bookmarkStart w:id="98" w:name="OLE_LINK295"/>
      <w:bookmarkStart w:id="99" w:name="OLE_LINK296"/>
      <w:r>
        <w:rPr>
          <w:kern w:val="0"/>
          <w:sz w:val="28"/>
          <w:szCs w:val="28"/>
        </w:rPr>
        <w:t>土地破坏较严重，影响土地利用功能</w:t>
      </w:r>
      <w:bookmarkEnd w:id="98"/>
      <w:bookmarkEnd w:id="99"/>
      <w:r>
        <w:rPr>
          <w:kern w:val="0"/>
          <w:sz w:val="28"/>
          <w:szCs w:val="28"/>
        </w:rPr>
        <w:t>；</w:t>
      </w:r>
    </w:p>
    <w:p w14:paraId="6A95FD06">
      <w:pPr>
        <w:widowControl/>
        <w:spacing w:line="360" w:lineRule="auto"/>
        <w:ind w:firstLine="560" w:firstLineChars="200"/>
        <w:rPr>
          <w:kern w:val="0"/>
          <w:sz w:val="28"/>
          <w:szCs w:val="28"/>
        </w:rPr>
      </w:pPr>
      <w:r>
        <w:rPr>
          <w:kern w:val="0"/>
          <w:sz w:val="28"/>
          <w:szCs w:val="28"/>
        </w:rPr>
        <w:t>③重度损毁：土地严重破坏，丧失原有土地利用功能。</w:t>
      </w:r>
    </w:p>
    <w:p w14:paraId="1718BAC8">
      <w:pPr>
        <w:widowControl/>
        <w:spacing w:line="360" w:lineRule="auto"/>
        <w:ind w:firstLine="560" w:firstLineChars="200"/>
        <w:rPr>
          <w:kern w:val="0"/>
          <w:sz w:val="28"/>
          <w:szCs w:val="28"/>
        </w:rPr>
      </w:pPr>
      <w:r>
        <w:rPr>
          <w:kern w:val="0"/>
          <w:sz w:val="28"/>
          <w:szCs w:val="28"/>
        </w:rPr>
        <w:t>方案在矿区土地损毁程度评价中按矿山损毁土地类型来选择参评因素，并结合前人经验和各学科的具体指标，选择损毁类型土地的主要参评因素。矿业活动已损毁土地资源影响主要表现为矿山地面建设区对土地的压占、挖损，依据《土地复垦编制规程》对该矿山土地损毁情况进行现状评价，影响因素的等级标准划分见表3-</w:t>
      </w:r>
      <w:r>
        <w:rPr>
          <w:rFonts w:hint="eastAsia"/>
          <w:kern w:val="0"/>
          <w:sz w:val="28"/>
          <w:szCs w:val="28"/>
        </w:rPr>
        <w:t>15</w:t>
      </w:r>
      <w:r>
        <w:rPr>
          <w:kern w:val="0"/>
          <w:sz w:val="28"/>
          <w:szCs w:val="28"/>
        </w:rPr>
        <w:t>。</w:t>
      </w:r>
    </w:p>
    <w:p w14:paraId="2AC237D7">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15</w:t>
      </w:r>
      <w:r>
        <w:rPr>
          <w:rFonts w:eastAsia="黑体"/>
          <w:bCs/>
          <w:sz w:val="24"/>
          <w:szCs w:val="24"/>
        </w:rPr>
        <w:t xml:space="preserve">  土地损毁分级参考标准表</w:t>
      </w:r>
    </w:p>
    <w:p w14:paraId="77E4FAE2">
      <w:pPr>
        <w:widowControl/>
        <w:adjustRightInd w:val="0"/>
        <w:snapToGrid w:val="0"/>
        <w:spacing w:before="120" w:beforeLines="50"/>
        <w:jc w:val="center"/>
        <w:rPr>
          <w:b/>
          <w:kern w:val="0"/>
          <w:szCs w:val="21"/>
        </w:rPr>
      </w:pPr>
      <w:r>
        <w:rPr>
          <w:rFonts w:eastAsia="黑体"/>
          <w:bCs/>
          <w:kern w:val="0"/>
          <w:sz w:val="24"/>
          <w:szCs w:val="24"/>
        </w:rPr>
        <w:t>表3-</w:t>
      </w:r>
      <w:r>
        <w:rPr>
          <w:rFonts w:hint="eastAsia" w:eastAsia="黑体"/>
          <w:bCs/>
          <w:kern w:val="0"/>
          <w:sz w:val="24"/>
          <w:szCs w:val="24"/>
        </w:rPr>
        <w:t>16</w:t>
      </w:r>
      <w:r>
        <w:rPr>
          <w:rFonts w:eastAsia="黑体"/>
          <w:bCs/>
          <w:kern w:val="0"/>
          <w:sz w:val="24"/>
          <w:szCs w:val="24"/>
        </w:rPr>
        <w:t xml:space="preserve">  </w:t>
      </w:r>
      <w:bookmarkStart w:id="100" w:name="_Hlk221288406"/>
      <w:r>
        <w:rPr>
          <w:rFonts w:eastAsia="黑体"/>
          <w:bCs/>
          <w:kern w:val="0"/>
          <w:sz w:val="24"/>
          <w:szCs w:val="24"/>
        </w:rPr>
        <w:t>土地损毁程度评分界线表</w:t>
      </w:r>
      <w:bookmarkEnd w:id="100"/>
    </w:p>
    <w:p w14:paraId="2679B0C1">
      <w:pPr>
        <w:widowControl/>
        <w:ind w:firstLine="440" w:firstLineChars="200"/>
        <w:rPr>
          <w:kern w:val="0"/>
          <w:sz w:val="22"/>
          <w:szCs w:val="22"/>
        </w:rPr>
      </w:pPr>
    </w:p>
    <w:p w14:paraId="257EB14F">
      <w:pPr>
        <w:widowControl/>
        <w:spacing w:line="360" w:lineRule="auto"/>
        <w:ind w:firstLine="560" w:firstLineChars="200"/>
        <w:rPr>
          <w:kern w:val="0"/>
          <w:sz w:val="28"/>
          <w:szCs w:val="28"/>
        </w:rPr>
      </w:pPr>
      <w:r>
        <w:rPr>
          <w:kern w:val="0"/>
          <w:sz w:val="28"/>
          <w:szCs w:val="28"/>
        </w:rPr>
        <w:t>2、土地损毁程度评价</w:t>
      </w:r>
    </w:p>
    <w:p w14:paraId="0864EB56">
      <w:pPr>
        <w:widowControl/>
        <w:spacing w:line="360" w:lineRule="auto"/>
        <w:ind w:firstLine="560" w:firstLineChars="200"/>
        <w:rPr>
          <w:kern w:val="0"/>
          <w:sz w:val="28"/>
          <w:szCs w:val="28"/>
        </w:rPr>
      </w:pPr>
      <w:r>
        <w:rPr>
          <w:kern w:val="0"/>
          <w:sz w:val="28"/>
          <w:szCs w:val="28"/>
        </w:rPr>
        <w:t>现状损毁单元：</w:t>
      </w:r>
      <w:r>
        <w:rPr>
          <w:rFonts w:hint="eastAsia"/>
          <w:snapToGrid w:val="0"/>
          <w:sz w:val="28"/>
          <w:szCs w:val="28"/>
        </w:rPr>
        <w:t>露天采场、工业场地、废石场1、废石场2、废石场3、钻机平台、生活区、办公区、门卫、矿区道路</w:t>
      </w:r>
      <w:r>
        <w:rPr>
          <w:rFonts w:hint="eastAsia"/>
          <w:sz w:val="28"/>
          <w:szCs w:val="28"/>
        </w:rPr>
        <w:t>等</w:t>
      </w:r>
      <w:r>
        <w:rPr>
          <w:kern w:val="0"/>
          <w:sz w:val="28"/>
          <w:szCs w:val="28"/>
        </w:rPr>
        <w:t>分述如下：</w:t>
      </w:r>
    </w:p>
    <w:p w14:paraId="22A4E83C">
      <w:pPr>
        <w:widowControl/>
        <w:spacing w:line="360" w:lineRule="auto"/>
        <w:ind w:firstLine="562" w:firstLineChars="200"/>
        <w:rPr>
          <w:b/>
          <w:bCs/>
          <w:kern w:val="0"/>
          <w:sz w:val="28"/>
          <w:szCs w:val="28"/>
        </w:rPr>
      </w:pPr>
      <w:r>
        <w:rPr>
          <w:b/>
          <w:bCs/>
          <w:kern w:val="0"/>
          <w:sz w:val="28"/>
          <w:szCs w:val="28"/>
        </w:rPr>
        <w:t>（1）露天采场</w:t>
      </w:r>
    </w:p>
    <w:p w14:paraId="2B6DFCCC">
      <w:pPr>
        <w:widowControl/>
        <w:spacing w:line="360" w:lineRule="auto"/>
        <w:ind w:firstLine="560" w:firstLineChars="200"/>
        <w:rPr>
          <w:kern w:val="0"/>
          <w:sz w:val="28"/>
          <w:szCs w:val="28"/>
        </w:rPr>
      </w:pPr>
      <w:r>
        <w:rPr>
          <w:rFonts w:hint="eastAsia"/>
          <w:kern w:val="0"/>
          <w:sz w:val="28"/>
          <w:szCs w:val="28"/>
        </w:rPr>
        <w:t>露天采场</w:t>
      </w:r>
      <w:r>
        <w:rPr>
          <w:kern w:val="0"/>
          <w:sz w:val="28"/>
          <w:szCs w:val="28"/>
        </w:rPr>
        <w:t>占地面积为</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，最大挖损深度</w:t>
      </w:r>
      <w:r>
        <w:rPr>
          <w:rFonts w:hint="eastAsia" w:ascii="宋体" w:hAnsi="宋体" w:cs="宋体"/>
          <w:spacing w:val="13"/>
          <w:sz w:val="32"/>
          <w:szCs w:val="32"/>
        </w:rPr>
        <w:t>***</w:t>
      </w:r>
      <w:r>
        <w:rPr>
          <w:kern w:val="0"/>
          <w:sz w:val="28"/>
          <w:szCs w:val="28"/>
        </w:rPr>
        <w:t>m，挖损土层厚度</w:t>
      </w:r>
      <w:r>
        <w:rPr>
          <w:rFonts w:hint="eastAsia"/>
          <w:kern w:val="0"/>
          <w:sz w:val="28"/>
          <w:szCs w:val="28"/>
        </w:rPr>
        <w:t>小于</w:t>
      </w:r>
      <w:r>
        <w:rPr>
          <w:rFonts w:hint="eastAsia" w:ascii="宋体" w:hAnsi="宋体" w:cs="宋体"/>
          <w:spacing w:val="13"/>
          <w:sz w:val="32"/>
          <w:szCs w:val="32"/>
        </w:rPr>
        <w:t>***</w:t>
      </w:r>
      <w:r>
        <w:rPr>
          <w:kern w:val="0"/>
          <w:sz w:val="28"/>
          <w:szCs w:val="28"/>
        </w:rPr>
        <w:t>cm，无积水，开挖边坡角度</w:t>
      </w:r>
      <w:r>
        <w:rPr>
          <w:rFonts w:hint="eastAsia" w:ascii="宋体" w:hAnsi="宋体" w:cs="宋体"/>
          <w:spacing w:val="13"/>
          <w:sz w:val="32"/>
          <w:szCs w:val="32"/>
        </w:rPr>
        <w:t>***</w:t>
      </w:r>
      <w:r>
        <w:rPr>
          <w:kern w:val="0"/>
          <w:sz w:val="28"/>
          <w:szCs w:val="28"/>
        </w:rPr>
        <w:t>-</w:t>
      </w:r>
      <w:r>
        <w:rPr>
          <w:rFonts w:hint="eastAsia" w:ascii="宋体" w:hAnsi="宋体" w:cs="宋体"/>
          <w:spacing w:val="13"/>
          <w:sz w:val="32"/>
          <w:szCs w:val="32"/>
        </w:rPr>
        <w:t>***</w:t>
      </w:r>
      <w:r>
        <w:rPr>
          <w:kern w:val="0"/>
          <w:sz w:val="28"/>
          <w:szCs w:val="28"/>
        </w:rPr>
        <w:t>°，边坡不规整。破坏土地利用类型为灌木林地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，其他草地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，采矿用地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。现状损毁土地方式主要为挖损。场地的挖损导致原有土地改变，地表植被直接被破坏，地表原有功能丧失，对土地资源影响和破坏程度为</w:t>
      </w:r>
      <w:r>
        <w:rPr>
          <w:rFonts w:hint="eastAsia"/>
          <w:kern w:val="0"/>
          <w:sz w:val="28"/>
          <w:szCs w:val="28"/>
        </w:rPr>
        <w:t>重</w:t>
      </w:r>
      <w:r>
        <w:rPr>
          <w:kern w:val="0"/>
          <w:sz w:val="28"/>
          <w:szCs w:val="28"/>
        </w:rPr>
        <w:t>度损毁。</w:t>
      </w:r>
    </w:p>
    <w:p w14:paraId="3587DE06">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17</w:t>
      </w:r>
      <w:r>
        <w:rPr>
          <w:rFonts w:eastAsia="黑体"/>
          <w:bCs/>
          <w:sz w:val="24"/>
          <w:szCs w:val="24"/>
        </w:rPr>
        <w:t xml:space="preserve">    土地损毁程度评价表</w:t>
      </w:r>
    </w:p>
    <w:p w14:paraId="385D63B2">
      <w:pPr>
        <w:widowControl/>
        <w:spacing w:line="360" w:lineRule="auto"/>
        <w:ind w:firstLine="562" w:firstLineChars="200"/>
        <w:rPr>
          <w:b/>
          <w:bCs/>
          <w:kern w:val="0"/>
          <w:sz w:val="28"/>
          <w:szCs w:val="28"/>
        </w:rPr>
      </w:pPr>
      <w:r>
        <w:rPr>
          <w:b/>
          <w:bCs/>
          <w:kern w:val="0"/>
          <w:sz w:val="28"/>
          <w:szCs w:val="28"/>
        </w:rPr>
        <w:t>（</w:t>
      </w:r>
      <w:r>
        <w:rPr>
          <w:rFonts w:hint="eastAsia"/>
          <w:b/>
          <w:bCs/>
          <w:kern w:val="0"/>
          <w:sz w:val="28"/>
          <w:szCs w:val="28"/>
        </w:rPr>
        <w:t>2</w:t>
      </w:r>
      <w:r>
        <w:rPr>
          <w:b/>
          <w:bCs/>
          <w:kern w:val="0"/>
          <w:sz w:val="28"/>
          <w:szCs w:val="28"/>
        </w:rPr>
        <w:t>）</w:t>
      </w:r>
      <w:r>
        <w:rPr>
          <w:rFonts w:hint="eastAsia"/>
          <w:b/>
          <w:bCs/>
          <w:kern w:val="0"/>
          <w:sz w:val="28"/>
          <w:szCs w:val="28"/>
        </w:rPr>
        <w:t>工业场地</w:t>
      </w:r>
    </w:p>
    <w:p w14:paraId="71C6837F">
      <w:pPr>
        <w:widowControl/>
        <w:spacing w:line="360" w:lineRule="auto"/>
        <w:ind w:firstLine="560" w:firstLineChars="200"/>
        <w:rPr>
          <w:kern w:val="0"/>
          <w:sz w:val="28"/>
          <w:szCs w:val="28"/>
        </w:rPr>
      </w:pPr>
      <w:r>
        <w:rPr>
          <w:rFonts w:hint="eastAsia"/>
          <w:kern w:val="0"/>
          <w:sz w:val="28"/>
          <w:szCs w:val="28"/>
        </w:rPr>
        <w:t>工业场地</w:t>
      </w:r>
      <w:r>
        <w:rPr>
          <w:kern w:val="0"/>
          <w:sz w:val="28"/>
          <w:szCs w:val="28"/>
        </w:rPr>
        <w:t>压占土地面积为</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，坡度</w:t>
      </w:r>
      <w:r>
        <w:rPr>
          <w:rFonts w:hint="eastAsia" w:ascii="宋体" w:hAnsi="宋体" w:cs="宋体"/>
          <w:spacing w:val="13"/>
          <w:sz w:val="32"/>
          <w:szCs w:val="32"/>
        </w:rPr>
        <w:t>***</w:t>
      </w:r>
      <w:r>
        <w:rPr>
          <w:kern w:val="0"/>
          <w:sz w:val="28"/>
          <w:szCs w:val="28"/>
        </w:rPr>
        <w:t>°-</w:t>
      </w:r>
      <w:r>
        <w:rPr>
          <w:rFonts w:hint="eastAsia" w:ascii="宋体" w:hAnsi="宋体" w:cs="宋体"/>
          <w:spacing w:val="13"/>
          <w:sz w:val="32"/>
          <w:szCs w:val="32"/>
        </w:rPr>
        <w:t>***</w:t>
      </w:r>
      <w:r>
        <w:rPr>
          <w:kern w:val="0"/>
          <w:sz w:val="28"/>
          <w:szCs w:val="28"/>
        </w:rPr>
        <w:t>°，高度</w:t>
      </w:r>
      <w:r>
        <w:rPr>
          <w:rFonts w:hint="eastAsia" w:ascii="宋体" w:hAnsi="宋体" w:cs="宋体"/>
          <w:spacing w:val="13"/>
          <w:sz w:val="32"/>
          <w:szCs w:val="32"/>
        </w:rPr>
        <w:t>***</w:t>
      </w:r>
      <w:r>
        <w:rPr>
          <w:kern w:val="0"/>
          <w:sz w:val="28"/>
          <w:szCs w:val="28"/>
        </w:rPr>
        <w:t>-</w:t>
      </w:r>
      <w:r>
        <w:rPr>
          <w:rFonts w:hint="eastAsia" w:ascii="宋体" w:hAnsi="宋体" w:cs="宋体"/>
          <w:spacing w:val="13"/>
          <w:sz w:val="32"/>
          <w:szCs w:val="32"/>
        </w:rPr>
        <w:t>***</w:t>
      </w:r>
      <w:r>
        <w:rPr>
          <w:kern w:val="0"/>
          <w:sz w:val="28"/>
          <w:szCs w:val="28"/>
        </w:rPr>
        <w:t>m，砾石含量&gt;</w:t>
      </w:r>
      <w:r>
        <w:rPr>
          <w:rFonts w:hint="eastAsia" w:ascii="宋体" w:hAnsi="宋体" w:cs="宋体"/>
          <w:spacing w:val="13"/>
          <w:sz w:val="32"/>
          <w:szCs w:val="32"/>
        </w:rPr>
        <w:t>***</w:t>
      </w:r>
      <w:r>
        <w:rPr>
          <w:kern w:val="0"/>
          <w:sz w:val="28"/>
          <w:szCs w:val="28"/>
        </w:rPr>
        <w:t>%，复垦难度中等，破坏土地利用类型为采矿用地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。现状损毁土地方式主要为占用。场地的堆积导致原有土地改变，地表植被直接被破坏，地表原有功能丧失，对土地资源影响和破坏程度为中度损毁。</w:t>
      </w:r>
    </w:p>
    <w:p w14:paraId="67AF8530">
      <w:pPr>
        <w:widowControl/>
        <w:snapToGrid w:val="0"/>
        <w:jc w:val="center"/>
        <w:rPr>
          <w:rFonts w:eastAsia="黑体"/>
          <w:bCs/>
          <w:sz w:val="24"/>
          <w:szCs w:val="24"/>
        </w:rPr>
      </w:pPr>
      <w:bookmarkStart w:id="101" w:name="OLE_LINK44"/>
      <w:r>
        <w:rPr>
          <w:rFonts w:eastAsia="黑体"/>
          <w:bCs/>
          <w:sz w:val="24"/>
          <w:szCs w:val="24"/>
        </w:rPr>
        <w:t>表3-</w:t>
      </w:r>
      <w:r>
        <w:rPr>
          <w:rFonts w:hint="eastAsia" w:eastAsia="黑体"/>
          <w:bCs/>
          <w:sz w:val="24"/>
          <w:szCs w:val="24"/>
        </w:rPr>
        <w:t>18</w:t>
      </w:r>
      <w:r>
        <w:rPr>
          <w:rFonts w:eastAsia="黑体"/>
          <w:bCs/>
          <w:sz w:val="24"/>
          <w:szCs w:val="24"/>
        </w:rPr>
        <w:t xml:space="preserve">   土地损毁程度评价表</w:t>
      </w:r>
    </w:p>
    <w:p w14:paraId="53956B90">
      <w:pPr>
        <w:widowControl/>
        <w:snapToGrid w:val="0"/>
        <w:rPr>
          <w:rFonts w:eastAsia="黑体"/>
          <w:bCs/>
          <w:szCs w:val="21"/>
        </w:rPr>
      </w:pPr>
    </w:p>
    <w:bookmarkEnd w:id="101"/>
    <w:p w14:paraId="264C4716">
      <w:pPr>
        <w:spacing w:line="360" w:lineRule="auto"/>
        <w:ind w:firstLine="562" w:firstLineChars="200"/>
        <w:contextualSpacing/>
        <w:rPr>
          <w:b/>
          <w:bCs/>
          <w:sz w:val="28"/>
          <w:szCs w:val="28"/>
        </w:rPr>
      </w:pPr>
      <w:r>
        <w:rPr>
          <w:b/>
          <w:bCs/>
          <w:sz w:val="28"/>
          <w:szCs w:val="28"/>
        </w:rPr>
        <w:t>（3）</w:t>
      </w:r>
      <w:r>
        <w:rPr>
          <w:rFonts w:hint="eastAsia"/>
          <w:b/>
          <w:bCs/>
          <w:sz w:val="28"/>
          <w:szCs w:val="28"/>
        </w:rPr>
        <w:t>废石场1</w:t>
      </w:r>
    </w:p>
    <w:p w14:paraId="574FCD50">
      <w:pPr>
        <w:spacing w:line="360" w:lineRule="auto"/>
        <w:ind w:firstLine="560" w:firstLineChars="200"/>
        <w:rPr>
          <w:sz w:val="28"/>
          <w:szCs w:val="28"/>
        </w:rPr>
      </w:pPr>
      <w:r>
        <w:rPr>
          <w:rFonts w:hint="eastAsia"/>
          <w:sz w:val="28"/>
          <w:szCs w:val="28"/>
        </w:rPr>
        <w:t>废石场1</w:t>
      </w:r>
      <w:r>
        <w:rPr>
          <w:sz w:val="28"/>
          <w:szCs w:val="28"/>
        </w:rPr>
        <w:t>占地面积约</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kern w:val="0"/>
          <w:sz w:val="28"/>
          <w:szCs w:val="28"/>
        </w:rPr>
        <w:t>坡度</w:t>
      </w:r>
      <w:r>
        <w:rPr>
          <w:rFonts w:hint="eastAsia" w:ascii="宋体" w:hAnsi="宋体" w:cs="宋体"/>
          <w:spacing w:val="13"/>
          <w:sz w:val="32"/>
          <w:szCs w:val="32"/>
        </w:rPr>
        <w:t>***</w:t>
      </w:r>
      <w:r>
        <w:rPr>
          <w:rFonts w:hint="eastAsia"/>
          <w:kern w:val="0"/>
          <w:sz w:val="28"/>
          <w:szCs w:val="28"/>
        </w:rPr>
        <w:t>-</w:t>
      </w:r>
      <w:r>
        <w:rPr>
          <w:rFonts w:hint="eastAsia" w:ascii="宋体" w:hAnsi="宋体" w:cs="宋体"/>
          <w:spacing w:val="13"/>
          <w:sz w:val="32"/>
          <w:szCs w:val="32"/>
        </w:rPr>
        <w:t>***</w:t>
      </w:r>
      <w:r>
        <w:rPr>
          <w:kern w:val="0"/>
          <w:sz w:val="28"/>
          <w:szCs w:val="28"/>
        </w:rPr>
        <w:t>，高度&gt;</w:t>
      </w:r>
      <w:r>
        <w:rPr>
          <w:rFonts w:hint="eastAsia" w:ascii="宋体" w:hAnsi="宋体" w:cs="宋体"/>
          <w:spacing w:val="13"/>
          <w:sz w:val="32"/>
          <w:szCs w:val="32"/>
        </w:rPr>
        <w:t>***</w:t>
      </w:r>
      <w:r>
        <w:rPr>
          <w:kern w:val="0"/>
          <w:sz w:val="28"/>
          <w:szCs w:val="28"/>
        </w:rPr>
        <w:t>m，</w:t>
      </w:r>
      <w:r>
        <w:rPr>
          <w:rFonts w:hint="eastAsia"/>
          <w:kern w:val="0"/>
          <w:sz w:val="28"/>
          <w:szCs w:val="28"/>
        </w:rPr>
        <w:t>堆体稳定，</w:t>
      </w:r>
      <w:r>
        <w:rPr>
          <w:kern w:val="0"/>
          <w:sz w:val="28"/>
          <w:szCs w:val="28"/>
        </w:rPr>
        <w:t>砾石含量&gt;</w:t>
      </w:r>
      <w:r>
        <w:rPr>
          <w:rFonts w:hint="eastAsia" w:ascii="宋体" w:hAnsi="宋体" w:cs="宋体"/>
          <w:spacing w:val="13"/>
          <w:sz w:val="32"/>
          <w:szCs w:val="32"/>
        </w:rPr>
        <w:t>***</w:t>
      </w:r>
      <w:r>
        <w:rPr>
          <w:kern w:val="0"/>
          <w:sz w:val="28"/>
          <w:szCs w:val="28"/>
        </w:rPr>
        <w:t>%，复垦难度中等，破坏土地利用类型为</w:t>
      </w:r>
      <w:r>
        <w:rPr>
          <w:rFonts w:hint="eastAsia"/>
          <w:kern w:val="0"/>
          <w:sz w:val="28"/>
          <w:szCs w:val="28"/>
        </w:rPr>
        <w:t>乔木林地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rFonts w:hint="eastAsia"/>
          <w:kern w:val="0"/>
          <w:sz w:val="28"/>
          <w:szCs w:val="28"/>
        </w:rPr>
        <w:t>、其他草地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rFonts w:hint="eastAsia"/>
          <w:kern w:val="0"/>
          <w:sz w:val="28"/>
          <w:szCs w:val="28"/>
        </w:rPr>
        <w:t>、采矿用地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rFonts w:hint="eastAsia"/>
          <w:kern w:val="0"/>
          <w:sz w:val="28"/>
          <w:szCs w:val="28"/>
        </w:rPr>
        <w:t>、农村道路</w:t>
      </w:r>
      <w:r>
        <w:rPr>
          <w:rFonts w:hint="eastAsia" w:ascii="宋体" w:hAnsi="宋体" w:cs="宋体"/>
          <w:spacing w:val="13"/>
          <w:sz w:val="32"/>
          <w:szCs w:val="32"/>
        </w:rPr>
        <w:t>***</w:t>
      </w:r>
      <w:r>
        <w:rPr>
          <w:kern w:val="0"/>
          <w:sz w:val="28"/>
          <w:szCs w:val="28"/>
        </w:rPr>
        <w:t>m</w:t>
      </w:r>
      <w:r>
        <w:rPr>
          <w:kern w:val="0"/>
          <w:sz w:val="28"/>
          <w:szCs w:val="28"/>
          <w:vertAlign w:val="superscript"/>
        </w:rPr>
        <w:t>2</w:t>
      </w:r>
      <w:r>
        <w:rPr>
          <w:rFonts w:hint="eastAsia"/>
          <w:kern w:val="0"/>
          <w:sz w:val="28"/>
          <w:szCs w:val="28"/>
        </w:rPr>
        <w:t>。</w:t>
      </w:r>
      <w:r>
        <w:rPr>
          <w:kern w:val="0"/>
          <w:sz w:val="28"/>
          <w:szCs w:val="28"/>
        </w:rPr>
        <w:t>现状损毁土地方式主要为占用。场地的堆积导致原有土地改变，地表植被直接被破坏，地表原有功能丧失，对土地资源影响和破坏程度为</w:t>
      </w:r>
      <w:r>
        <w:rPr>
          <w:rFonts w:hint="eastAsia"/>
          <w:kern w:val="0"/>
          <w:sz w:val="28"/>
          <w:szCs w:val="28"/>
        </w:rPr>
        <w:t>重</w:t>
      </w:r>
      <w:r>
        <w:rPr>
          <w:kern w:val="0"/>
          <w:sz w:val="28"/>
          <w:szCs w:val="28"/>
        </w:rPr>
        <w:t>度损毁。</w:t>
      </w:r>
    </w:p>
    <w:p w14:paraId="2B846A5A">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19</w:t>
      </w:r>
      <w:r>
        <w:rPr>
          <w:rFonts w:eastAsia="黑体"/>
          <w:bCs/>
          <w:sz w:val="24"/>
          <w:szCs w:val="24"/>
        </w:rPr>
        <w:t xml:space="preserve">   土地损毁程度评价表</w:t>
      </w:r>
    </w:p>
    <w:p w14:paraId="11F0D4F1">
      <w:pPr>
        <w:widowControl/>
        <w:snapToGrid w:val="0"/>
        <w:ind w:firstLine="480"/>
        <w:rPr>
          <w:rFonts w:eastAsia="黑体"/>
          <w:bCs/>
          <w:szCs w:val="21"/>
        </w:rPr>
      </w:pPr>
    </w:p>
    <w:p w14:paraId="5F25D7A6">
      <w:pPr>
        <w:spacing w:line="360" w:lineRule="auto"/>
        <w:ind w:firstLine="562" w:firstLineChars="200"/>
        <w:contextualSpacing/>
        <w:rPr>
          <w:b/>
          <w:bCs/>
          <w:sz w:val="28"/>
          <w:szCs w:val="28"/>
        </w:rPr>
      </w:pPr>
      <w:r>
        <w:rPr>
          <w:b/>
          <w:bCs/>
          <w:sz w:val="28"/>
          <w:szCs w:val="28"/>
        </w:rPr>
        <w:t>（4）</w:t>
      </w:r>
      <w:r>
        <w:rPr>
          <w:rFonts w:hint="eastAsia"/>
          <w:b/>
          <w:bCs/>
          <w:sz w:val="28"/>
          <w:szCs w:val="28"/>
        </w:rPr>
        <w:t>废石场2</w:t>
      </w:r>
    </w:p>
    <w:p w14:paraId="49CEDAB0">
      <w:pPr>
        <w:spacing w:line="360" w:lineRule="auto"/>
        <w:ind w:firstLine="560" w:firstLineChars="200"/>
        <w:rPr>
          <w:sz w:val="28"/>
          <w:szCs w:val="28"/>
        </w:rPr>
      </w:pPr>
      <w:r>
        <w:rPr>
          <w:rFonts w:hint="eastAsia"/>
          <w:sz w:val="28"/>
          <w:szCs w:val="28"/>
        </w:rPr>
        <w:t>废石场2</w:t>
      </w:r>
      <w:r>
        <w:rPr>
          <w:sz w:val="28"/>
          <w:szCs w:val="28"/>
        </w:rPr>
        <w:t>占地面积约</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kern w:val="0"/>
          <w:sz w:val="28"/>
          <w:szCs w:val="28"/>
        </w:rPr>
        <w:t>坡度</w:t>
      </w:r>
      <w:r>
        <w:rPr>
          <w:rFonts w:hint="eastAsia" w:ascii="宋体" w:hAnsi="宋体" w:cs="宋体"/>
          <w:spacing w:val="13"/>
          <w:sz w:val="32"/>
          <w:szCs w:val="32"/>
        </w:rPr>
        <w:t>***</w:t>
      </w:r>
      <w:r>
        <w:rPr>
          <w:kern w:val="0"/>
          <w:sz w:val="28"/>
          <w:szCs w:val="28"/>
        </w:rPr>
        <w:t>-</w:t>
      </w:r>
      <w:r>
        <w:rPr>
          <w:rFonts w:hint="eastAsia" w:ascii="宋体" w:hAnsi="宋体" w:cs="宋体"/>
          <w:spacing w:val="13"/>
          <w:sz w:val="32"/>
          <w:szCs w:val="32"/>
        </w:rPr>
        <w:t>***</w:t>
      </w:r>
      <w:r>
        <w:rPr>
          <w:kern w:val="0"/>
          <w:sz w:val="28"/>
          <w:szCs w:val="28"/>
        </w:rPr>
        <w:t>°，高度&gt;</w:t>
      </w:r>
      <w:r>
        <w:rPr>
          <w:rFonts w:hint="eastAsia" w:ascii="宋体" w:hAnsi="宋体" w:cs="宋体"/>
          <w:spacing w:val="13"/>
          <w:sz w:val="32"/>
          <w:szCs w:val="32"/>
        </w:rPr>
        <w:t>***</w:t>
      </w:r>
      <w:r>
        <w:rPr>
          <w:kern w:val="0"/>
          <w:sz w:val="28"/>
          <w:szCs w:val="28"/>
        </w:rPr>
        <w:t>m，</w:t>
      </w:r>
      <w:r>
        <w:rPr>
          <w:rFonts w:hint="eastAsia"/>
          <w:kern w:val="0"/>
          <w:sz w:val="28"/>
          <w:szCs w:val="28"/>
        </w:rPr>
        <w:t>堆体稳定，</w:t>
      </w:r>
      <w:r>
        <w:rPr>
          <w:kern w:val="0"/>
          <w:sz w:val="28"/>
          <w:szCs w:val="28"/>
        </w:rPr>
        <w:t>砾石含量&gt;</w:t>
      </w:r>
      <w:r>
        <w:rPr>
          <w:rFonts w:hint="eastAsia" w:ascii="宋体" w:hAnsi="宋体" w:cs="宋体"/>
          <w:spacing w:val="13"/>
          <w:sz w:val="32"/>
          <w:szCs w:val="32"/>
        </w:rPr>
        <w:t>***</w:t>
      </w:r>
      <w:r>
        <w:rPr>
          <w:kern w:val="0"/>
          <w:sz w:val="28"/>
          <w:szCs w:val="28"/>
        </w:rPr>
        <w:t>%，复垦难度中等，破坏土地利用类型为</w:t>
      </w:r>
      <w:r>
        <w:rPr>
          <w:rFonts w:hint="eastAsia"/>
          <w:kern w:val="0"/>
          <w:sz w:val="28"/>
          <w:szCs w:val="28"/>
        </w:rPr>
        <w:t>其他草地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rFonts w:hint="eastAsia"/>
          <w:kern w:val="0"/>
          <w:sz w:val="28"/>
          <w:szCs w:val="28"/>
        </w:rPr>
        <w:t>、采矿用地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rFonts w:hint="eastAsia"/>
          <w:kern w:val="0"/>
          <w:sz w:val="28"/>
          <w:szCs w:val="28"/>
        </w:rPr>
        <w:t>。</w:t>
      </w:r>
      <w:r>
        <w:rPr>
          <w:kern w:val="0"/>
          <w:sz w:val="28"/>
          <w:szCs w:val="28"/>
        </w:rPr>
        <w:t>现状损毁土地方式主要为占用。场地的堆积导致原有土地改变，地表植被直接被破坏，地表原有功能丧失，对土地资源影响和破坏程度为</w:t>
      </w:r>
      <w:r>
        <w:rPr>
          <w:rFonts w:hint="eastAsia"/>
          <w:kern w:val="0"/>
          <w:sz w:val="28"/>
          <w:szCs w:val="28"/>
        </w:rPr>
        <w:t>重</w:t>
      </w:r>
      <w:r>
        <w:rPr>
          <w:kern w:val="0"/>
          <w:sz w:val="28"/>
          <w:szCs w:val="28"/>
        </w:rPr>
        <w:t>度损毁。</w:t>
      </w:r>
    </w:p>
    <w:p w14:paraId="1FA8748C">
      <w:pPr>
        <w:widowControl/>
        <w:snapToGrid w:val="0"/>
        <w:jc w:val="center"/>
        <w:rPr>
          <w:rFonts w:eastAsia="黑体"/>
          <w:bCs/>
          <w:szCs w:val="21"/>
        </w:rPr>
      </w:pPr>
      <w:r>
        <w:rPr>
          <w:rFonts w:eastAsia="黑体"/>
          <w:bCs/>
          <w:sz w:val="24"/>
          <w:szCs w:val="24"/>
        </w:rPr>
        <w:t>表3-</w:t>
      </w:r>
      <w:r>
        <w:rPr>
          <w:rFonts w:hint="eastAsia" w:eastAsia="黑体"/>
          <w:bCs/>
          <w:sz w:val="24"/>
          <w:szCs w:val="24"/>
        </w:rPr>
        <w:t>20</w:t>
      </w:r>
      <w:r>
        <w:rPr>
          <w:rFonts w:eastAsia="黑体"/>
          <w:bCs/>
          <w:sz w:val="24"/>
          <w:szCs w:val="24"/>
        </w:rPr>
        <w:t xml:space="preserve">   土地损毁程度评价表</w:t>
      </w:r>
    </w:p>
    <w:p w14:paraId="1C8BD3D6">
      <w:pPr>
        <w:spacing w:line="360" w:lineRule="auto"/>
        <w:ind w:firstLine="562" w:firstLineChars="200"/>
        <w:contextualSpacing/>
        <w:rPr>
          <w:b/>
          <w:bCs/>
          <w:sz w:val="28"/>
          <w:szCs w:val="28"/>
        </w:rPr>
      </w:pPr>
      <w:r>
        <w:rPr>
          <w:b/>
          <w:bCs/>
          <w:sz w:val="28"/>
          <w:szCs w:val="28"/>
        </w:rPr>
        <w:t>（</w:t>
      </w:r>
      <w:r>
        <w:rPr>
          <w:rFonts w:hint="eastAsia"/>
          <w:b/>
          <w:bCs/>
          <w:sz w:val="28"/>
          <w:szCs w:val="28"/>
        </w:rPr>
        <w:t>5</w:t>
      </w:r>
      <w:r>
        <w:rPr>
          <w:b/>
          <w:bCs/>
          <w:sz w:val="28"/>
          <w:szCs w:val="28"/>
        </w:rPr>
        <w:t>）</w:t>
      </w:r>
      <w:r>
        <w:rPr>
          <w:rFonts w:hint="eastAsia"/>
          <w:b/>
          <w:bCs/>
          <w:sz w:val="28"/>
          <w:szCs w:val="28"/>
        </w:rPr>
        <w:t>废石场3</w:t>
      </w:r>
    </w:p>
    <w:p w14:paraId="3B4A7C54">
      <w:pPr>
        <w:spacing w:line="360" w:lineRule="auto"/>
        <w:ind w:firstLine="560" w:firstLineChars="200"/>
        <w:rPr>
          <w:sz w:val="28"/>
          <w:szCs w:val="28"/>
        </w:rPr>
      </w:pPr>
      <w:r>
        <w:rPr>
          <w:rFonts w:hint="eastAsia"/>
          <w:sz w:val="28"/>
          <w:szCs w:val="28"/>
        </w:rPr>
        <w:t>废石场3</w:t>
      </w:r>
      <w:r>
        <w:rPr>
          <w:sz w:val="28"/>
          <w:szCs w:val="28"/>
        </w:rPr>
        <w:t>占地面积约</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kern w:val="0"/>
          <w:sz w:val="28"/>
          <w:szCs w:val="28"/>
        </w:rPr>
        <w:t>坡度</w:t>
      </w:r>
      <w:r>
        <w:rPr>
          <w:rFonts w:hint="eastAsia" w:ascii="宋体" w:hAnsi="宋体" w:cs="宋体"/>
          <w:spacing w:val="13"/>
          <w:sz w:val="32"/>
          <w:szCs w:val="32"/>
        </w:rPr>
        <w:t>***</w:t>
      </w:r>
      <w:r>
        <w:rPr>
          <w:rFonts w:hint="eastAsia"/>
          <w:kern w:val="0"/>
          <w:sz w:val="28"/>
          <w:szCs w:val="28"/>
        </w:rPr>
        <w:t>-</w:t>
      </w:r>
      <w:r>
        <w:rPr>
          <w:rFonts w:hint="eastAsia" w:ascii="宋体" w:hAnsi="宋体" w:cs="宋体"/>
          <w:spacing w:val="13"/>
          <w:sz w:val="32"/>
          <w:szCs w:val="32"/>
        </w:rPr>
        <w:t>***</w:t>
      </w:r>
      <w:r>
        <w:rPr>
          <w:kern w:val="0"/>
          <w:sz w:val="28"/>
          <w:szCs w:val="28"/>
        </w:rPr>
        <w:t>°，高度</w:t>
      </w:r>
      <w:r>
        <w:rPr>
          <w:rFonts w:hint="eastAsia"/>
          <w:kern w:val="0"/>
          <w:sz w:val="28"/>
          <w:szCs w:val="28"/>
        </w:rPr>
        <w:t>＜</w:t>
      </w:r>
      <w:r>
        <w:rPr>
          <w:rFonts w:hint="eastAsia" w:ascii="宋体" w:hAnsi="宋体" w:cs="宋体"/>
          <w:spacing w:val="13"/>
          <w:sz w:val="32"/>
          <w:szCs w:val="32"/>
        </w:rPr>
        <w:t>***</w:t>
      </w:r>
      <w:r>
        <w:rPr>
          <w:kern w:val="0"/>
          <w:sz w:val="28"/>
          <w:szCs w:val="28"/>
        </w:rPr>
        <w:t>m，</w:t>
      </w:r>
      <w:r>
        <w:rPr>
          <w:rFonts w:hint="eastAsia"/>
          <w:kern w:val="0"/>
          <w:sz w:val="28"/>
          <w:szCs w:val="28"/>
        </w:rPr>
        <w:t>堆体稳定，</w:t>
      </w:r>
      <w:r>
        <w:rPr>
          <w:kern w:val="0"/>
          <w:sz w:val="28"/>
          <w:szCs w:val="28"/>
        </w:rPr>
        <w:t>砾石含量&gt;</w:t>
      </w:r>
      <w:r>
        <w:rPr>
          <w:rFonts w:hint="eastAsia" w:ascii="宋体" w:hAnsi="宋体" w:cs="宋体"/>
          <w:spacing w:val="13"/>
          <w:sz w:val="32"/>
          <w:szCs w:val="32"/>
        </w:rPr>
        <w:t>***</w:t>
      </w:r>
      <w:r>
        <w:rPr>
          <w:kern w:val="0"/>
          <w:sz w:val="28"/>
          <w:szCs w:val="28"/>
        </w:rPr>
        <w:t>%，复垦难度中等，破坏土地利用类型为</w:t>
      </w:r>
      <w:r>
        <w:rPr>
          <w:rFonts w:hint="eastAsia"/>
          <w:kern w:val="0"/>
          <w:sz w:val="28"/>
          <w:szCs w:val="28"/>
        </w:rPr>
        <w:t>采矿用地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rFonts w:hint="eastAsia"/>
          <w:kern w:val="0"/>
          <w:sz w:val="28"/>
          <w:szCs w:val="28"/>
        </w:rPr>
        <w:t>。</w:t>
      </w:r>
      <w:r>
        <w:rPr>
          <w:kern w:val="0"/>
          <w:sz w:val="28"/>
          <w:szCs w:val="28"/>
        </w:rPr>
        <w:t>现状损毁土地方式主要为占用。场地的堆积导致原有土地改变，地表植被直接被破坏，地表原有功能丧失，对土地资源影响和破坏程度为</w:t>
      </w:r>
      <w:r>
        <w:rPr>
          <w:rFonts w:hint="eastAsia"/>
          <w:kern w:val="0"/>
          <w:sz w:val="28"/>
          <w:szCs w:val="28"/>
        </w:rPr>
        <w:t>中</w:t>
      </w:r>
      <w:r>
        <w:rPr>
          <w:kern w:val="0"/>
          <w:sz w:val="28"/>
          <w:szCs w:val="28"/>
        </w:rPr>
        <w:t>度损毁。</w:t>
      </w:r>
    </w:p>
    <w:p w14:paraId="33907636">
      <w:pPr>
        <w:widowControl/>
        <w:snapToGrid w:val="0"/>
        <w:jc w:val="center"/>
        <w:rPr>
          <w:rFonts w:eastAsia="黑体"/>
          <w:bCs/>
          <w:szCs w:val="21"/>
        </w:rPr>
      </w:pPr>
      <w:r>
        <w:rPr>
          <w:rFonts w:eastAsia="黑体"/>
          <w:bCs/>
          <w:sz w:val="24"/>
          <w:szCs w:val="24"/>
        </w:rPr>
        <w:t>表3-</w:t>
      </w:r>
      <w:r>
        <w:rPr>
          <w:rFonts w:hint="eastAsia" w:eastAsia="黑体"/>
          <w:bCs/>
          <w:sz w:val="24"/>
          <w:szCs w:val="24"/>
        </w:rPr>
        <w:t>21</w:t>
      </w:r>
      <w:r>
        <w:rPr>
          <w:rFonts w:eastAsia="黑体"/>
          <w:bCs/>
          <w:sz w:val="24"/>
          <w:szCs w:val="24"/>
        </w:rPr>
        <w:t xml:space="preserve">   土地损毁程度评价表</w:t>
      </w:r>
    </w:p>
    <w:p w14:paraId="4813CB56">
      <w:pPr>
        <w:spacing w:line="360" w:lineRule="auto"/>
        <w:ind w:firstLine="562" w:firstLineChars="200"/>
        <w:contextualSpacing/>
        <w:rPr>
          <w:b/>
          <w:bCs/>
          <w:sz w:val="28"/>
          <w:szCs w:val="28"/>
        </w:rPr>
      </w:pPr>
      <w:r>
        <w:rPr>
          <w:b/>
          <w:bCs/>
          <w:sz w:val="28"/>
          <w:szCs w:val="28"/>
        </w:rPr>
        <w:t>（6）</w:t>
      </w:r>
      <w:r>
        <w:rPr>
          <w:rFonts w:hint="eastAsia"/>
          <w:b/>
          <w:bCs/>
          <w:sz w:val="28"/>
          <w:szCs w:val="28"/>
        </w:rPr>
        <w:t>办公区</w:t>
      </w:r>
    </w:p>
    <w:p w14:paraId="3A6C744A">
      <w:pPr>
        <w:spacing w:line="360" w:lineRule="auto"/>
        <w:ind w:firstLine="560" w:firstLineChars="200"/>
        <w:rPr>
          <w:kern w:val="0"/>
          <w:sz w:val="28"/>
          <w:szCs w:val="28"/>
        </w:rPr>
      </w:pPr>
      <w:r>
        <w:rPr>
          <w:rFonts w:hint="eastAsia"/>
          <w:sz w:val="28"/>
          <w:szCs w:val="28"/>
        </w:rPr>
        <w:t>办公区</w:t>
      </w:r>
      <w:r>
        <w:rPr>
          <w:sz w:val="28"/>
          <w:szCs w:val="28"/>
        </w:rPr>
        <w:t>占用土地面积为</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。场地内存在临建房，建筑面积约</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rFonts w:hint="eastAsia"/>
          <w:kern w:val="0"/>
          <w:sz w:val="28"/>
          <w:szCs w:val="28"/>
        </w:rPr>
        <w:t>建筑物稳定，</w:t>
      </w:r>
      <w:r>
        <w:rPr>
          <w:kern w:val="0"/>
          <w:sz w:val="28"/>
          <w:szCs w:val="28"/>
        </w:rPr>
        <w:t>砾石含量&gt;</w:t>
      </w:r>
      <w:r>
        <w:rPr>
          <w:rFonts w:hint="eastAsia" w:ascii="宋体" w:hAnsi="宋体" w:cs="宋体"/>
          <w:spacing w:val="13"/>
          <w:sz w:val="32"/>
          <w:szCs w:val="32"/>
        </w:rPr>
        <w:t>***</w:t>
      </w:r>
      <w:r>
        <w:rPr>
          <w:kern w:val="0"/>
          <w:sz w:val="28"/>
          <w:szCs w:val="28"/>
        </w:rPr>
        <w:t>%，复垦难度中等，破坏土地利用类型为采矿用地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rFonts w:hint="eastAsia"/>
          <w:kern w:val="0"/>
          <w:sz w:val="28"/>
          <w:szCs w:val="28"/>
        </w:rPr>
        <w:t>。</w:t>
      </w:r>
      <w:r>
        <w:rPr>
          <w:kern w:val="0"/>
          <w:sz w:val="28"/>
          <w:szCs w:val="28"/>
        </w:rPr>
        <w:t>现状损毁土地方式主要为占用。场地的堆积导致原有土地改变，地表植被直接被破坏，地表原有功能丧失，对土地资源影响和破坏程度为中度损毁。</w:t>
      </w:r>
    </w:p>
    <w:p w14:paraId="6DB610C0">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22</w:t>
      </w:r>
      <w:r>
        <w:rPr>
          <w:rFonts w:eastAsia="黑体"/>
          <w:bCs/>
          <w:sz w:val="24"/>
          <w:szCs w:val="24"/>
        </w:rPr>
        <w:t xml:space="preserve">   土地损毁程度评价表</w:t>
      </w:r>
    </w:p>
    <w:p w14:paraId="7CAD75BB">
      <w:pPr>
        <w:widowControl/>
        <w:snapToGrid w:val="0"/>
        <w:ind w:firstLine="480"/>
        <w:rPr>
          <w:rFonts w:eastAsia="黑体"/>
          <w:bCs/>
          <w:szCs w:val="21"/>
        </w:rPr>
      </w:pPr>
    </w:p>
    <w:p w14:paraId="258A7B00">
      <w:pPr>
        <w:spacing w:line="360" w:lineRule="auto"/>
        <w:ind w:firstLine="562" w:firstLineChars="200"/>
        <w:contextualSpacing/>
        <w:rPr>
          <w:b/>
          <w:bCs/>
          <w:sz w:val="28"/>
          <w:szCs w:val="28"/>
        </w:rPr>
      </w:pPr>
      <w:r>
        <w:rPr>
          <w:b/>
          <w:bCs/>
          <w:sz w:val="28"/>
          <w:szCs w:val="28"/>
        </w:rPr>
        <w:t>（</w:t>
      </w:r>
      <w:r>
        <w:rPr>
          <w:rFonts w:hint="eastAsia"/>
          <w:b/>
          <w:bCs/>
          <w:sz w:val="28"/>
          <w:szCs w:val="28"/>
        </w:rPr>
        <w:t>7</w:t>
      </w:r>
      <w:r>
        <w:rPr>
          <w:b/>
          <w:bCs/>
          <w:sz w:val="28"/>
          <w:szCs w:val="28"/>
        </w:rPr>
        <w:t>）</w:t>
      </w:r>
      <w:r>
        <w:rPr>
          <w:rFonts w:hint="eastAsia"/>
          <w:b/>
          <w:bCs/>
          <w:sz w:val="28"/>
          <w:szCs w:val="28"/>
        </w:rPr>
        <w:t>生活</w:t>
      </w:r>
      <w:r>
        <w:rPr>
          <w:b/>
          <w:bCs/>
          <w:sz w:val="28"/>
          <w:szCs w:val="28"/>
        </w:rPr>
        <w:t>区</w:t>
      </w:r>
    </w:p>
    <w:p w14:paraId="4C9D7069">
      <w:pPr>
        <w:widowControl/>
        <w:spacing w:line="360" w:lineRule="auto"/>
        <w:ind w:firstLine="560" w:firstLineChars="200"/>
        <w:rPr>
          <w:sz w:val="28"/>
          <w:szCs w:val="28"/>
        </w:rPr>
      </w:pPr>
      <w:r>
        <w:rPr>
          <w:rFonts w:hint="eastAsia"/>
          <w:sz w:val="28"/>
          <w:szCs w:val="28"/>
        </w:rPr>
        <w:t>生活</w:t>
      </w:r>
      <w:r>
        <w:rPr>
          <w:sz w:val="28"/>
          <w:szCs w:val="28"/>
        </w:rPr>
        <w:t>区用土地面积为</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。房屋高约</w:t>
      </w:r>
      <w:r>
        <w:rPr>
          <w:rFonts w:hint="eastAsia" w:ascii="宋体" w:hAnsi="宋体" w:cs="宋体"/>
          <w:spacing w:val="13"/>
          <w:sz w:val="32"/>
          <w:szCs w:val="32"/>
        </w:rPr>
        <w:t>***</w:t>
      </w:r>
      <w:r>
        <w:rPr>
          <w:sz w:val="28"/>
          <w:szCs w:val="28"/>
        </w:rPr>
        <w:t>m，房屋建筑后缘与山体形成切坡，坡高</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m，坡角</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°，切坡长度约</w:t>
      </w:r>
      <w:r>
        <w:rPr>
          <w:rFonts w:hint="eastAsia" w:ascii="宋体" w:hAnsi="宋体" w:cs="宋体"/>
          <w:spacing w:val="13"/>
          <w:sz w:val="32"/>
          <w:szCs w:val="32"/>
        </w:rPr>
        <w:t>***</w:t>
      </w:r>
      <w:r>
        <w:rPr>
          <w:sz w:val="28"/>
          <w:szCs w:val="28"/>
        </w:rPr>
        <w:t>m，</w:t>
      </w:r>
      <w:r>
        <w:rPr>
          <w:rFonts w:hint="eastAsia"/>
          <w:kern w:val="0"/>
          <w:sz w:val="28"/>
          <w:szCs w:val="28"/>
        </w:rPr>
        <w:t>建筑物稳定，</w:t>
      </w:r>
      <w:r>
        <w:rPr>
          <w:kern w:val="0"/>
          <w:sz w:val="28"/>
          <w:szCs w:val="28"/>
        </w:rPr>
        <w:t>砾石含量&gt;</w:t>
      </w:r>
      <w:r>
        <w:rPr>
          <w:rFonts w:hint="eastAsia" w:ascii="宋体" w:hAnsi="宋体" w:cs="宋体"/>
          <w:spacing w:val="13"/>
          <w:sz w:val="32"/>
          <w:szCs w:val="32"/>
        </w:rPr>
        <w:t>***</w:t>
      </w:r>
      <w:r>
        <w:rPr>
          <w:kern w:val="0"/>
          <w:sz w:val="28"/>
          <w:szCs w:val="28"/>
        </w:rPr>
        <w:t>%，复垦难度中等，破坏土地利用类型为</w:t>
      </w:r>
      <w:r>
        <w:rPr>
          <w:rFonts w:hint="eastAsia"/>
          <w:kern w:val="0"/>
          <w:sz w:val="28"/>
          <w:szCs w:val="28"/>
        </w:rPr>
        <w:t>采矿用地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。现状损毁土地方式主要为占用。场地的堆积导致原有土地改变，地表植被直接被破坏，地表原有功能丧失，对土地资源影响和破坏程度为中度损毁。</w:t>
      </w:r>
    </w:p>
    <w:p w14:paraId="4EEE5BF0">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23</w:t>
      </w:r>
      <w:r>
        <w:rPr>
          <w:rFonts w:eastAsia="黑体"/>
          <w:bCs/>
          <w:sz w:val="24"/>
          <w:szCs w:val="24"/>
        </w:rPr>
        <w:t xml:space="preserve">   土地损毁程度评价表</w:t>
      </w:r>
    </w:p>
    <w:p w14:paraId="2949E054">
      <w:pPr>
        <w:widowControl/>
        <w:snapToGrid w:val="0"/>
        <w:ind w:firstLine="480"/>
        <w:rPr>
          <w:rFonts w:eastAsia="黑体"/>
          <w:bCs/>
          <w:szCs w:val="21"/>
        </w:rPr>
      </w:pPr>
    </w:p>
    <w:p w14:paraId="122FBDB3">
      <w:pPr>
        <w:spacing w:line="360" w:lineRule="auto"/>
        <w:ind w:firstLine="562" w:firstLineChars="200"/>
        <w:contextualSpacing/>
        <w:rPr>
          <w:b/>
          <w:bCs/>
          <w:sz w:val="28"/>
          <w:szCs w:val="28"/>
        </w:rPr>
      </w:pPr>
      <w:r>
        <w:rPr>
          <w:b/>
          <w:bCs/>
          <w:sz w:val="28"/>
          <w:szCs w:val="28"/>
        </w:rPr>
        <w:t>（</w:t>
      </w:r>
      <w:r>
        <w:rPr>
          <w:rFonts w:hint="eastAsia"/>
          <w:b/>
          <w:bCs/>
          <w:sz w:val="28"/>
          <w:szCs w:val="28"/>
        </w:rPr>
        <w:t>8</w:t>
      </w:r>
      <w:r>
        <w:rPr>
          <w:b/>
          <w:bCs/>
          <w:sz w:val="28"/>
          <w:szCs w:val="28"/>
        </w:rPr>
        <w:t>）门卫</w:t>
      </w:r>
    </w:p>
    <w:p w14:paraId="4C8D44EF">
      <w:pPr>
        <w:widowControl/>
        <w:spacing w:line="360" w:lineRule="auto"/>
        <w:ind w:firstLine="560" w:firstLineChars="200"/>
        <w:rPr>
          <w:sz w:val="28"/>
          <w:szCs w:val="28"/>
        </w:rPr>
      </w:pPr>
      <w:r>
        <w:rPr>
          <w:sz w:val="28"/>
          <w:szCs w:val="28"/>
        </w:rPr>
        <w:t>门卫占用土地面积为</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。房屋高约</w:t>
      </w:r>
      <w:r>
        <w:rPr>
          <w:rFonts w:hint="eastAsia" w:ascii="宋体" w:hAnsi="宋体" w:cs="宋体"/>
          <w:spacing w:val="13"/>
          <w:sz w:val="32"/>
          <w:szCs w:val="32"/>
        </w:rPr>
        <w:t>***</w:t>
      </w:r>
      <w:r>
        <w:rPr>
          <w:sz w:val="28"/>
          <w:szCs w:val="28"/>
        </w:rPr>
        <w:t>m，房屋建筑后缘与山体形成切坡，坡高</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m，坡角</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w:t>
      </w:r>
      <w:r>
        <w:rPr>
          <w:rFonts w:hint="eastAsia"/>
          <w:sz w:val="28"/>
          <w:szCs w:val="28"/>
        </w:rPr>
        <w:t>，</w:t>
      </w:r>
      <w:r>
        <w:rPr>
          <w:rFonts w:hint="eastAsia"/>
          <w:kern w:val="0"/>
          <w:sz w:val="28"/>
          <w:szCs w:val="28"/>
        </w:rPr>
        <w:t>建筑物稳定，</w:t>
      </w:r>
      <w:r>
        <w:rPr>
          <w:kern w:val="0"/>
          <w:sz w:val="28"/>
          <w:szCs w:val="28"/>
        </w:rPr>
        <w:t>砾石含量&gt;30%，复垦难度中等，破坏土地利用类型为采矿用地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。现状损毁土地方式主要为占用。场地的堆积导致原有土地改变，地表植被直接被破坏，地表原有功能丧失，对土地资源影响和破坏程度为中度损毁。</w:t>
      </w:r>
    </w:p>
    <w:p w14:paraId="629A548C">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24</w:t>
      </w:r>
      <w:r>
        <w:rPr>
          <w:rFonts w:eastAsia="黑体"/>
          <w:bCs/>
          <w:sz w:val="24"/>
          <w:szCs w:val="24"/>
        </w:rPr>
        <w:t xml:space="preserve">   土地损毁程度评价表</w:t>
      </w:r>
    </w:p>
    <w:p w14:paraId="55AA62E3">
      <w:pPr>
        <w:widowControl/>
        <w:snapToGrid w:val="0"/>
        <w:ind w:firstLine="480"/>
        <w:jc w:val="center"/>
        <w:rPr>
          <w:rFonts w:eastAsia="黑体"/>
          <w:bCs/>
          <w:szCs w:val="21"/>
        </w:rPr>
      </w:pPr>
    </w:p>
    <w:p w14:paraId="04A08B1D">
      <w:pPr>
        <w:spacing w:line="360" w:lineRule="auto"/>
        <w:ind w:firstLine="562" w:firstLineChars="200"/>
        <w:contextualSpacing/>
        <w:rPr>
          <w:sz w:val="28"/>
          <w:szCs w:val="28"/>
        </w:rPr>
      </w:pPr>
      <w:r>
        <w:rPr>
          <w:b/>
          <w:bCs/>
          <w:sz w:val="28"/>
          <w:szCs w:val="28"/>
        </w:rPr>
        <w:t>（</w:t>
      </w:r>
      <w:r>
        <w:rPr>
          <w:rFonts w:hint="eastAsia"/>
          <w:b/>
          <w:bCs/>
          <w:sz w:val="28"/>
          <w:szCs w:val="28"/>
        </w:rPr>
        <w:t>9</w:t>
      </w:r>
      <w:r>
        <w:rPr>
          <w:b/>
          <w:bCs/>
          <w:sz w:val="28"/>
          <w:szCs w:val="28"/>
        </w:rPr>
        <w:t>）钻机平台</w:t>
      </w:r>
    </w:p>
    <w:p w14:paraId="1E05998D">
      <w:pPr>
        <w:widowControl/>
        <w:spacing w:line="360" w:lineRule="auto"/>
        <w:ind w:firstLine="560" w:firstLineChars="200"/>
        <w:rPr>
          <w:kern w:val="0"/>
          <w:sz w:val="28"/>
          <w:szCs w:val="28"/>
        </w:rPr>
      </w:pPr>
      <w:r>
        <w:rPr>
          <w:sz w:val="28"/>
          <w:szCs w:val="28"/>
        </w:rPr>
        <w:t>钻机平台占地面积</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kern w:val="0"/>
          <w:sz w:val="28"/>
          <w:szCs w:val="28"/>
        </w:rPr>
        <w:t>最大挖损深度</w:t>
      </w:r>
      <w:r>
        <w:rPr>
          <w:rFonts w:hint="eastAsia" w:ascii="宋体" w:hAnsi="宋体" w:cs="宋体"/>
          <w:spacing w:val="13"/>
          <w:sz w:val="32"/>
          <w:szCs w:val="32"/>
        </w:rPr>
        <w:t>***</w:t>
      </w:r>
      <w:r>
        <w:rPr>
          <w:kern w:val="0"/>
          <w:sz w:val="28"/>
          <w:szCs w:val="28"/>
        </w:rPr>
        <w:t>m，挖损土层厚度</w:t>
      </w:r>
      <w:r>
        <w:rPr>
          <w:rFonts w:hint="eastAsia"/>
          <w:kern w:val="0"/>
          <w:sz w:val="28"/>
          <w:szCs w:val="28"/>
        </w:rPr>
        <w:t>小于</w:t>
      </w:r>
      <w:r>
        <w:rPr>
          <w:rFonts w:hint="eastAsia" w:ascii="宋体" w:hAnsi="宋体" w:cs="宋体"/>
          <w:spacing w:val="13"/>
          <w:sz w:val="32"/>
          <w:szCs w:val="32"/>
        </w:rPr>
        <w:t>***</w:t>
      </w:r>
      <w:r>
        <w:rPr>
          <w:kern w:val="0"/>
          <w:sz w:val="28"/>
          <w:szCs w:val="28"/>
        </w:rPr>
        <w:t>cm，无积水，开挖边坡角度</w:t>
      </w:r>
      <w:r>
        <w:rPr>
          <w:rFonts w:hint="eastAsia" w:ascii="宋体" w:hAnsi="宋体" w:cs="宋体"/>
          <w:spacing w:val="13"/>
          <w:sz w:val="32"/>
          <w:szCs w:val="32"/>
        </w:rPr>
        <w:t>***</w:t>
      </w:r>
      <w:r>
        <w:rPr>
          <w:kern w:val="0"/>
          <w:sz w:val="28"/>
          <w:szCs w:val="28"/>
        </w:rPr>
        <w:t>-</w:t>
      </w:r>
      <w:r>
        <w:rPr>
          <w:rFonts w:hint="eastAsia" w:ascii="宋体" w:hAnsi="宋体" w:cs="宋体"/>
          <w:spacing w:val="13"/>
          <w:sz w:val="32"/>
          <w:szCs w:val="32"/>
        </w:rPr>
        <w:t>***</w:t>
      </w:r>
      <w:r>
        <w:rPr>
          <w:kern w:val="0"/>
          <w:sz w:val="28"/>
          <w:szCs w:val="28"/>
        </w:rPr>
        <w:t>°，边坡不规整。复垦难度中等，破坏土地利用类型为其他草地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rFonts w:hint="eastAsia"/>
          <w:kern w:val="0"/>
          <w:sz w:val="28"/>
          <w:szCs w:val="28"/>
        </w:rPr>
        <w:t>。</w:t>
      </w:r>
      <w:r>
        <w:rPr>
          <w:kern w:val="0"/>
          <w:sz w:val="28"/>
          <w:szCs w:val="28"/>
        </w:rPr>
        <w:t>现状损毁土地方式主要为</w:t>
      </w:r>
      <w:r>
        <w:rPr>
          <w:rFonts w:hint="eastAsia"/>
          <w:kern w:val="0"/>
          <w:sz w:val="28"/>
          <w:szCs w:val="28"/>
        </w:rPr>
        <w:t>挖损</w:t>
      </w:r>
      <w:r>
        <w:rPr>
          <w:kern w:val="0"/>
          <w:sz w:val="28"/>
          <w:szCs w:val="28"/>
        </w:rPr>
        <w:t>。场地的堆积导致原有土地改变，地表植被直接被破坏，地表原有功能丧失，对土地资源影响和破坏程度为中度损毁。</w:t>
      </w:r>
    </w:p>
    <w:p w14:paraId="57E06AAC">
      <w:pPr>
        <w:widowControl/>
        <w:snapToGrid w:val="0"/>
        <w:jc w:val="center"/>
        <w:rPr>
          <w:rFonts w:eastAsia="黑体"/>
          <w:bCs/>
          <w:sz w:val="24"/>
          <w:szCs w:val="24"/>
        </w:rPr>
      </w:pPr>
      <w:r>
        <w:rPr>
          <w:rFonts w:eastAsia="黑体"/>
          <w:bCs/>
          <w:sz w:val="24"/>
          <w:szCs w:val="24"/>
        </w:rPr>
        <w:t>表3-2</w:t>
      </w:r>
      <w:r>
        <w:rPr>
          <w:rFonts w:hint="eastAsia" w:eastAsia="黑体"/>
          <w:bCs/>
          <w:sz w:val="24"/>
          <w:szCs w:val="24"/>
        </w:rPr>
        <w:t>6</w:t>
      </w:r>
      <w:r>
        <w:rPr>
          <w:rFonts w:eastAsia="黑体"/>
          <w:bCs/>
          <w:sz w:val="24"/>
          <w:szCs w:val="24"/>
        </w:rPr>
        <w:t xml:space="preserve">    土地损毁程度评价表</w:t>
      </w:r>
    </w:p>
    <w:p w14:paraId="57692804">
      <w:pPr>
        <w:widowControl/>
        <w:snapToGrid w:val="0"/>
        <w:jc w:val="center"/>
        <w:rPr>
          <w:rFonts w:eastAsia="黑体"/>
          <w:bCs/>
          <w:sz w:val="24"/>
          <w:szCs w:val="24"/>
        </w:rPr>
      </w:pPr>
    </w:p>
    <w:p w14:paraId="783111FE">
      <w:pPr>
        <w:spacing w:line="360" w:lineRule="auto"/>
        <w:ind w:firstLine="562" w:firstLineChars="200"/>
        <w:contextualSpacing/>
        <w:rPr>
          <w:b/>
          <w:bCs/>
          <w:sz w:val="28"/>
          <w:szCs w:val="28"/>
        </w:rPr>
      </w:pPr>
      <w:r>
        <w:rPr>
          <w:b/>
          <w:bCs/>
          <w:sz w:val="28"/>
          <w:szCs w:val="28"/>
        </w:rPr>
        <w:t>（1</w:t>
      </w:r>
      <w:r>
        <w:rPr>
          <w:rFonts w:hint="eastAsia"/>
          <w:b/>
          <w:bCs/>
          <w:sz w:val="28"/>
          <w:szCs w:val="28"/>
        </w:rPr>
        <w:t>0</w:t>
      </w:r>
      <w:r>
        <w:rPr>
          <w:b/>
          <w:bCs/>
          <w:sz w:val="28"/>
          <w:szCs w:val="28"/>
        </w:rPr>
        <w:t>）矿区道路</w:t>
      </w:r>
    </w:p>
    <w:p w14:paraId="0D8C36BC">
      <w:pPr>
        <w:widowControl/>
        <w:spacing w:line="360" w:lineRule="auto"/>
        <w:ind w:firstLine="560" w:firstLineChars="200"/>
        <w:rPr>
          <w:kern w:val="0"/>
          <w:sz w:val="28"/>
          <w:szCs w:val="28"/>
        </w:rPr>
      </w:pPr>
      <w:r>
        <w:rPr>
          <w:sz w:val="28"/>
          <w:szCs w:val="28"/>
        </w:rPr>
        <w:t>矿区道路总长</w:t>
      </w:r>
      <w:r>
        <w:rPr>
          <w:rFonts w:hint="eastAsia" w:ascii="宋体" w:hAnsi="宋体" w:cs="宋体"/>
          <w:spacing w:val="13"/>
          <w:sz w:val="32"/>
          <w:szCs w:val="32"/>
        </w:rPr>
        <w:t>***</w:t>
      </w:r>
      <w:r>
        <w:rPr>
          <w:sz w:val="28"/>
          <w:szCs w:val="28"/>
        </w:rPr>
        <w:t>m，道路宽约</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m，损毁、压占土地面积为</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r>
        <w:rPr>
          <w:rFonts w:hint="eastAsia"/>
          <w:kern w:val="0"/>
          <w:sz w:val="28"/>
          <w:szCs w:val="28"/>
        </w:rPr>
        <w:t>建筑物稳定，</w:t>
      </w:r>
      <w:r>
        <w:rPr>
          <w:kern w:val="0"/>
          <w:sz w:val="28"/>
          <w:szCs w:val="28"/>
        </w:rPr>
        <w:t>砾石含量&gt;</w:t>
      </w:r>
      <w:r>
        <w:rPr>
          <w:rFonts w:hint="eastAsia" w:ascii="宋体" w:hAnsi="宋体" w:cs="宋体"/>
          <w:spacing w:val="13"/>
          <w:sz w:val="32"/>
          <w:szCs w:val="32"/>
        </w:rPr>
        <w:t>***</w:t>
      </w:r>
      <w:r>
        <w:rPr>
          <w:kern w:val="0"/>
          <w:sz w:val="28"/>
          <w:szCs w:val="28"/>
        </w:rPr>
        <w:t>%，复垦难度中等，破坏土地利用类型为灌木林地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rFonts w:hint="eastAsia"/>
          <w:kern w:val="0"/>
          <w:sz w:val="28"/>
          <w:szCs w:val="28"/>
        </w:rPr>
        <w:t>，</w:t>
      </w:r>
      <w:r>
        <w:rPr>
          <w:kern w:val="0"/>
          <w:sz w:val="28"/>
          <w:szCs w:val="28"/>
        </w:rPr>
        <w:t>采矿用地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rFonts w:hint="eastAsia"/>
          <w:kern w:val="0"/>
          <w:sz w:val="28"/>
          <w:szCs w:val="28"/>
        </w:rPr>
        <w:t>，</w:t>
      </w:r>
      <w:r>
        <w:rPr>
          <w:kern w:val="0"/>
          <w:sz w:val="28"/>
          <w:szCs w:val="28"/>
        </w:rPr>
        <w:t>农村道路</w:t>
      </w:r>
      <w:r>
        <w:rPr>
          <w:rFonts w:hint="eastAsia" w:ascii="宋体" w:hAnsi="宋体" w:cs="宋体"/>
          <w:spacing w:val="13"/>
          <w:sz w:val="32"/>
          <w:szCs w:val="32"/>
        </w:rPr>
        <w:t>***</w:t>
      </w:r>
      <w:r>
        <w:rPr>
          <w:kern w:val="0"/>
          <w:sz w:val="28"/>
          <w:szCs w:val="28"/>
        </w:rPr>
        <w:t>m</w:t>
      </w:r>
      <w:r>
        <w:rPr>
          <w:kern w:val="0"/>
          <w:sz w:val="28"/>
          <w:szCs w:val="28"/>
          <w:vertAlign w:val="superscript"/>
        </w:rPr>
        <w:t>2</w:t>
      </w:r>
      <w:r>
        <w:rPr>
          <w:rFonts w:hint="eastAsia"/>
          <w:kern w:val="0"/>
          <w:sz w:val="28"/>
          <w:szCs w:val="28"/>
        </w:rPr>
        <w:t>。</w:t>
      </w:r>
      <w:r>
        <w:rPr>
          <w:kern w:val="0"/>
          <w:sz w:val="28"/>
          <w:szCs w:val="28"/>
        </w:rPr>
        <w:t>现状损毁土地方式主要为占用。场地的堆积导致原有土地改变，地表植被直接被破坏，地表原有功能丧失，对土地资源影响和破坏程度为中度损毁。</w:t>
      </w:r>
    </w:p>
    <w:p w14:paraId="571C8EB5">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27</w:t>
      </w:r>
      <w:r>
        <w:rPr>
          <w:rFonts w:eastAsia="黑体"/>
          <w:bCs/>
          <w:sz w:val="24"/>
          <w:szCs w:val="24"/>
        </w:rPr>
        <w:t xml:space="preserve">   土地损毁程度评价表</w:t>
      </w:r>
    </w:p>
    <w:p w14:paraId="7D9B895F">
      <w:pPr>
        <w:widowControl/>
        <w:snapToGrid w:val="0"/>
        <w:ind w:firstLine="480"/>
        <w:jc w:val="center"/>
        <w:rPr>
          <w:rFonts w:eastAsia="黑体"/>
          <w:bCs/>
          <w:szCs w:val="21"/>
        </w:rPr>
      </w:pPr>
    </w:p>
    <w:p w14:paraId="52F1F6A0">
      <w:pPr>
        <w:widowControl/>
        <w:spacing w:line="360" w:lineRule="auto"/>
        <w:ind w:firstLine="562" w:firstLineChars="200"/>
        <w:rPr>
          <w:b/>
          <w:bCs/>
          <w:kern w:val="0"/>
          <w:sz w:val="28"/>
          <w:szCs w:val="28"/>
        </w:rPr>
      </w:pPr>
      <w:r>
        <w:rPr>
          <w:b/>
          <w:bCs/>
          <w:kern w:val="0"/>
          <w:sz w:val="28"/>
          <w:szCs w:val="28"/>
        </w:rPr>
        <w:t>（</w:t>
      </w:r>
      <w:r>
        <w:rPr>
          <w:rFonts w:hint="eastAsia"/>
          <w:b/>
          <w:bCs/>
          <w:kern w:val="0"/>
          <w:sz w:val="28"/>
          <w:szCs w:val="28"/>
        </w:rPr>
        <w:t>11</w:t>
      </w:r>
      <w:r>
        <w:rPr>
          <w:b/>
          <w:bCs/>
          <w:kern w:val="0"/>
          <w:sz w:val="28"/>
          <w:szCs w:val="28"/>
        </w:rPr>
        <w:t>）其他区域</w:t>
      </w:r>
    </w:p>
    <w:p w14:paraId="278F2E5F">
      <w:pPr>
        <w:widowControl/>
        <w:spacing w:line="360" w:lineRule="auto"/>
        <w:ind w:firstLine="560" w:firstLineChars="200"/>
        <w:rPr>
          <w:bCs/>
          <w:kern w:val="0"/>
          <w:sz w:val="28"/>
          <w:szCs w:val="28"/>
        </w:rPr>
      </w:pPr>
      <w:r>
        <w:rPr>
          <w:kern w:val="0"/>
          <w:sz w:val="28"/>
          <w:szCs w:val="28"/>
        </w:rPr>
        <w:t>其他</w:t>
      </w:r>
      <w:r>
        <w:rPr>
          <w:bCs/>
          <w:kern w:val="0"/>
          <w:sz w:val="28"/>
          <w:szCs w:val="28"/>
        </w:rPr>
        <w:t>扰动区</w:t>
      </w:r>
      <w:r>
        <w:rPr>
          <w:kern w:val="0"/>
          <w:sz w:val="28"/>
          <w:szCs w:val="28"/>
        </w:rPr>
        <w:t>未改变原有土地或破坏地表植被，地表原有功能完整，</w:t>
      </w:r>
      <w:r>
        <w:rPr>
          <w:bCs/>
          <w:kern w:val="0"/>
          <w:sz w:val="28"/>
          <w:szCs w:val="28"/>
        </w:rPr>
        <w:t>未对土地造成损毁。</w:t>
      </w:r>
    </w:p>
    <w:p w14:paraId="3AF2A89C">
      <w:pPr>
        <w:widowControl/>
        <w:spacing w:line="360" w:lineRule="auto"/>
        <w:ind w:firstLine="560" w:firstLineChars="200"/>
        <w:rPr>
          <w:kern w:val="0"/>
          <w:sz w:val="28"/>
          <w:szCs w:val="28"/>
        </w:rPr>
      </w:pPr>
      <w:r>
        <w:rPr>
          <w:kern w:val="0"/>
          <w:sz w:val="28"/>
          <w:szCs w:val="28"/>
        </w:rPr>
        <w:t>综上所述，根据</w:t>
      </w:r>
      <w:r>
        <w:rPr>
          <w:rFonts w:hint="eastAsia"/>
          <w:kern w:val="0"/>
          <w:sz w:val="28"/>
          <w:szCs w:val="28"/>
        </w:rPr>
        <w:t>松山区2024年国土变更调查数据</w:t>
      </w:r>
      <w:r>
        <w:rPr>
          <w:kern w:val="0"/>
          <w:sz w:val="28"/>
          <w:szCs w:val="28"/>
        </w:rPr>
        <w:t>，现状已损毁的土地资源利用类型二级地类主要包括乔木林地</w:t>
      </w:r>
      <w:r>
        <w:rPr>
          <w:rFonts w:hint="eastAsia"/>
          <w:kern w:val="0"/>
          <w:sz w:val="28"/>
          <w:szCs w:val="28"/>
        </w:rPr>
        <w:t>、</w:t>
      </w:r>
      <w:r>
        <w:rPr>
          <w:kern w:val="0"/>
          <w:sz w:val="28"/>
          <w:szCs w:val="28"/>
        </w:rPr>
        <w:t>灌木林地</w:t>
      </w:r>
      <w:r>
        <w:rPr>
          <w:rFonts w:hint="eastAsia"/>
          <w:kern w:val="0"/>
          <w:sz w:val="28"/>
          <w:szCs w:val="28"/>
        </w:rPr>
        <w:t>、</w:t>
      </w:r>
      <w:r>
        <w:rPr>
          <w:kern w:val="0"/>
          <w:sz w:val="28"/>
          <w:szCs w:val="28"/>
        </w:rPr>
        <w:t>其他草地、采矿用地、农村道路等，损毁土地总面积</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。对各单元损毁土地情况统计见表3-</w:t>
      </w:r>
      <w:r>
        <w:rPr>
          <w:rFonts w:hint="eastAsia"/>
          <w:kern w:val="0"/>
          <w:sz w:val="28"/>
          <w:szCs w:val="28"/>
        </w:rPr>
        <w:t>28</w:t>
      </w:r>
      <w:r>
        <w:rPr>
          <w:kern w:val="0"/>
          <w:sz w:val="28"/>
          <w:szCs w:val="28"/>
        </w:rPr>
        <w:t>。</w:t>
      </w:r>
    </w:p>
    <w:p w14:paraId="0A3B480F">
      <w:pPr>
        <w:widowControl/>
        <w:ind w:firstLine="480" w:firstLineChars="200"/>
        <w:jc w:val="center"/>
        <w:rPr>
          <w:rFonts w:eastAsia="黑体"/>
          <w:kern w:val="0"/>
          <w:sz w:val="24"/>
          <w:szCs w:val="24"/>
        </w:rPr>
      </w:pPr>
      <w:r>
        <w:rPr>
          <w:rFonts w:eastAsia="黑体"/>
          <w:kern w:val="0"/>
          <w:sz w:val="24"/>
          <w:szCs w:val="24"/>
        </w:rPr>
        <w:t>表3-</w:t>
      </w:r>
      <w:r>
        <w:rPr>
          <w:rFonts w:hint="eastAsia" w:eastAsia="黑体"/>
          <w:kern w:val="0"/>
          <w:sz w:val="24"/>
          <w:szCs w:val="24"/>
        </w:rPr>
        <w:t>28</w:t>
      </w:r>
      <w:r>
        <w:rPr>
          <w:rFonts w:eastAsia="黑体"/>
          <w:kern w:val="0"/>
          <w:sz w:val="24"/>
          <w:szCs w:val="24"/>
        </w:rPr>
        <w:t xml:space="preserve">  矿区现状损毁单元损毁面积、损毁形式及损毁程度一览表</w:t>
      </w:r>
    </w:p>
    <w:p w14:paraId="1F4823B2">
      <w:pPr>
        <w:widowControl/>
        <w:rPr>
          <w:kern w:val="0"/>
          <w:sz w:val="22"/>
          <w:szCs w:val="22"/>
        </w:rPr>
      </w:pPr>
    </w:p>
    <w:p w14:paraId="2D8E18A4">
      <w:pPr>
        <w:widowControl/>
        <w:spacing w:line="360" w:lineRule="auto"/>
        <w:ind w:firstLine="562" w:firstLineChars="200"/>
        <w:outlineLvl w:val="3"/>
        <w:rPr>
          <w:b/>
          <w:bCs/>
          <w:snapToGrid w:val="0"/>
          <w:sz w:val="28"/>
          <w:szCs w:val="28"/>
        </w:rPr>
      </w:pPr>
      <w:r>
        <w:rPr>
          <w:b/>
          <w:bCs/>
          <w:snapToGrid w:val="0"/>
          <w:sz w:val="28"/>
          <w:szCs w:val="28"/>
        </w:rPr>
        <w:t>（三）生态</w:t>
      </w:r>
      <w:r>
        <w:rPr>
          <w:rFonts w:hint="eastAsia"/>
          <w:b/>
          <w:bCs/>
          <w:snapToGrid w:val="0"/>
          <w:sz w:val="28"/>
          <w:szCs w:val="28"/>
        </w:rPr>
        <w:t>损毁</w:t>
      </w:r>
    </w:p>
    <w:p w14:paraId="3F540F2A">
      <w:pPr>
        <w:widowControl/>
        <w:spacing w:line="360" w:lineRule="auto"/>
        <w:ind w:firstLine="562" w:firstLineChars="200"/>
        <w:rPr>
          <w:b/>
          <w:bCs/>
          <w:sz w:val="28"/>
          <w:szCs w:val="28"/>
        </w:rPr>
      </w:pPr>
      <w:bookmarkStart w:id="102" w:name="_Hlk221299823"/>
      <w:r>
        <w:rPr>
          <w:b/>
          <w:bCs/>
          <w:kern w:val="0"/>
          <w:sz w:val="28"/>
          <w:szCs w:val="28"/>
        </w:rPr>
        <w:t>1、生态受损程度评价指标</w:t>
      </w:r>
    </w:p>
    <w:p w14:paraId="16D691F5">
      <w:pPr>
        <w:widowControl/>
        <w:spacing w:line="360" w:lineRule="auto"/>
        <w:ind w:firstLine="560" w:firstLineChars="200"/>
        <w:rPr>
          <w:kern w:val="0"/>
          <w:sz w:val="28"/>
          <w:szCs w:val="28"/>
        </w:rPr>
      </w:pPr>
      <w:r>
        <w:rPr>
          <w:kern w:val="0"/>
          <w:sz w:val="28"/>
          <w:szCs w:val="28"/>
        </w:rPr>
        <w:t>根据现场调查，结合矿方提供资料，生态受损方式主要有植被损毁、土壤污染、生物多样性丧失、水土流失以及水环境污染五个方面。</w:t>
      </w:r>
    </w:p>
    <w:p w14:paraId="40AA135C">
      <w:pPr>
        <w:widowControl/>
        <w:adjustRightInd w:val="0"/>
        <w:snapToGrid w:val="0"/>
        <w:spacing w:line="360" w:lineRule="auto"/>
        <w:ind w:firstLine="560" w:firstLineChars="200"/>
        <w:rPr>
          <w:kern w:val="0"/>
          <w:sz w:val="28"/>
          <w:szCs w:val="28"/>
        </w:rPr>
      </w:pPr>
      <w:r>
        <w:rPr>
          <w:kern w:val="0"/>
          <w:sz w:val="28"/>
          <w:szCs w:val="28"/>
        </w:rPr>
        <w:t>根据相关部门规定的划分标准，将生态系统受损程度等级划分为一级（严重）、二级（较严重）、三级（较轻）等3级标准。评估标准如下：</w:t>
      </w:r>
    </w:p>
    <w:p w14:paraId="57B58278">
      <w:pPr>
        <w:adjustRightInd w:val="0"/>
        <w:snapToGrid w:val="0"/>
        <w:spacing w:line="360" w:lineRule="auto"/>
        <w:ind w:firstLine="560" w:firstLineChars="200"/>
        <w:rPr>
          <w:kern w:val="0"/>
          <w:sz w:val="28"/>
          <w:szCs w:val="28"/>
        </w:rPr>
      </w:pPr>
      <w:r>
        <w:rPr>
          <w:kern w:val="0"/>
          <w:sz w:val="28"/>
          <w:szCs w:val="28"/>
        </w:rPr>
        <w:t>①较轻：植被覆盖度＞</w:t>
      </w:r>
      <w:r>
        <w:rPr>
          <w:rFonts w:hint="eastAsia" w:ascii="宋体" w:hAnsi="宋体" w:cs="宋体"/>
          <w:spacing w:val="13"/>
          <w:sz w:val="32"/>
          <w:szCs w:val="32"/>
        </w:rPr>
        <w:t>***</w:t>
      </w:r>
      <w:r>
        <w:rPr>
          <w:kern w:val="0"/>
          <w:sz w:val="28"/>
          <w:szCs w:val="28"/>
        </w:rPr>
        <w:t>%，原生植被轻度破坏、生物栖息地基本完整，物种影响较小、土壤侵蚀模数＜</w:t>
      </w:r>
      <w:r>
        <w:rPr>
          <w:rFonts w:hint="eastAsia" w:ascii="宋体" w:hAnsi="宋体" w:cs="宋体"/>
          <w:spacing w:val="13"/>
          <w:sz w:val="32"/>
          <w:szCs w:val="32"/>
        </w:rPr>
        <w:t>***</w:t>
      </w:r>
      <w:r>
        <w:rPr>
          <w:kern w:val="0"/>
          <w:sz w:val="28"/>
          <w:szCs w:val="28"/>
        </w:rPr>
        <w:t>t/km²</w:t>
      </w:r>
      <w:r>
        <w:rPr>
          <w:rFonts w:eastAsia="微软雅黑"/>
          <w:kern w:val="0"/>
          <w:sz w:val="28"/>
          <w:szCs w:val="28"/>
        </w:rPr>
        <w:t>・</w:t>
      </w:r>
      <w:r>
        <w:rPr>
          <w:kern w:val="0"/>
          <w:sz w:val="28"/>
          <w:szCs w:val="28"/>
        </w:rPr>
        <w:t>a、水土未检测到污染；</w:t>
      </w:r>
    </w:p>
    <w:p w14:paraId="695B0B76">
      <w:pPr>
        <w:widowControl/>
        <w:adjustRightInd w:val="0"/>
        <w:snapToGrid w:val="0"/>
        <w:spacing w:line="360" w:lineRule="auto"/>
        <w:ind w:firstLine="560" w:firstLineChars="200"/>
        <w:rPr>
          <w:kern w:val="0"/>
          <w:sz w:val="28"/>
          <w:szCs w:val="28"/>
        </w:rPr>
      </w:pPr>
      <w:r>
        <w:rPr>
          <w:kern w:val="0"/>
          <w:sz w:val="28"/>
          <w:szCs w:val="28"/>
        </w:rPr>
        <w:t>②较严重：植被覆盖度</w:t>
      </w:r>
      <w:r>
        <w:rPr>
          <w:rFonts w:hint="eastAsia" w:ascii="宋体" w:hAnsi="宋体" w:cs="宋体"/>
          <w:spacing w:val="13"/>
          <w:sz w:val="32"/>
          <w:szCs w:val="32"/>
        </w:rPr>
        <w:t>***</w:t>
      </w:r>
      <w:r>
        <w:rPr>
          <w:kern w:val="0"/>
          <w:sz w:val="28"/>
          <w:szCs w:val="28"/>
        </w:rPr>
        <w:t>%-</w:t>
      </w:r>
      <w:r>
        <w:rPr>
          <w:rFonts w:hint="eastAsia" w:ascii="宋体" w:hAnsi="宋体" w:cs="宋体"/>
          <w:spacing w:val="13"/>
          <w:sz w:val="32"/>
          <w:szCs w:val="32"/>
        </w:rPr>
        <w:t>***</w:t>
      </w:r>
      <w:r>
        <w:rPr>
          <w:kern w:val="0"/>
          <w:sz w:val="28"/>
          <w:szCs w:val="28"/>
        </w:rPr>
        <w:t>%，原生植被破坏严重、生物栖息地破碎化，物种数量下降、土壤侵蚀模数</w:t>
      </w:r>
      <w:r>
        <w:rPr>
          <w:rFonts w:hint="eastAsia" w:ascii="宋体" w:hAnsi="宋体" w:cs="宋体"/>
          <w:spacing w:val="13"/>
          <w:sz w:val="32"/>
          <w:szCs w:val="32"/>
        </w:rPr>
        <w:t>***</w:t>
      </w:r>
      <w:r>
        <w:rPr>
          <w:kern w:val="0"/>
          <w:sz w:val="28"/>
          <w:szCs w:val="28"/>
        </w:rPr>
        <w:t>-</w:t>
      </w:r>
      <w:r>
        <w:rPr>
          <w:rFonts w:hint="eastAsia" w:ascii="宋体" w:hAnsi="宋体" w:cs="宋体"/>
          <w:spacing w:val="13"/>
          <w:sz w:val="32"/>
          <w:szCs w:val="32"/>
        </w:rPr>
        <w:t>***</w:t>
      </w:r>
      <w:r>
        <w:rPr>
          <w:kern w:val="0"/>
          <w:sz w:val="28"/>
          <w:szCs w:val="28"/>
        </w:rPr>
        <w:t>t/km²</w:t>
      </w:r>
      <w:r>
        <w:rPr>
          <w:rFonts w:eastAsia="微软雅黑"/>
          <w:kern w:val="0"/>
          <w:sz w:val="28"/>
          <w:szCs w:val="28"/>
        </w:rPr>
        <w:t>・</w:t>
      </w:r>
      <w:r>
        <w:rPr>
          <w:kern w:val="0"/>
          <w:sz w:val="28"/>
          <w:szCs w:val="28"/>
        </w:rPr>
        <w:t>a、水土环境局部轻微污染，无显著危害；</w:t>
      </w:r>
    </w:p>
    <w:p w14:paraId="64D38DD9">
      <w:pPr>
        <w:widowControl/>
        <w:adjustRightInd w:val="0"/>
        <w:snapToGrid w:val="0"/>
        <w:spacing w:line="360" w:lineRule="auto"/>
        <w:ind w:firstLine="560" w:firstLineChars="200"/>
        <w:rPr>
          <w:kern w:val="0"/>
          <w:sz w:val="28"/>
          <w:szCs w:val="28"/>
        </w:rPr>
      </w:pPr>
      <w:r>
        <w:rPr>
          <w:kern w:val="0"/>
          <w:sz w:val="28"/>
          <w:szCs w:val="28"/>
        </w:rPr>
        <w:t>③严重：植被覆盖度＜</w:t>
      </w:r>
      <w:r>
        <w:rPr>
          <w:rFonts w:hint="eastAsia" w:ascii="宋体" w:hAnsi="宋体" w:cs="宋体"/>
          <w:spacing w:val="13"/>
          <w:sz w:val="32"/>
          <w:szCs w:val="32"/>
        </w:rPr>
        <w:t>***</w:t>
      </w:r>
      <w:r>
        <w:rPr>
          <w:kern w:val="0"/>
          <w:sz w:val="28"/>
          <w:szCs w:val="28"/>
        </w:rPr>
        <w:t>%，原生植被消失、生物栖息地完全破坏，物种大幅减少、土壤侵蚀模数＞</w:t>
      </w:r>
      <w:r>
        <w:rPr>
          <w:rFonts w:hint="eastAsia" w:ascii="宋体" w:hAnsi="宋体" w:cs="宋体"/>
          <w:spacing w:val="13"/>
          <w:sz w:val="32"/>
          <w:szCs w:val="32"/>
        </w:rPr>
        <w:t>***</w:t>
      </w:r>
      <w:r>
        <w:rPr>
          <w:kern w:val="0"/>
          <w:sz w:val="28"/>
          <w:szCs w:val="28"/>
        </w:rPr>
        <w:t>t/km²</w:t>
      </w:r>
      <w:r>
        <w:rPr>
          <w:rFonts w:eastAsia="微软雅黑"/>
          <w:kern w:val="0"/>
          <w:sz w:val="28"/>
          <w:szCs w:val="28"/>
        </w:rPr>
        <w:t>・</w:t>
      </w:r>
      <w:r>
        <w:rPr>
          <w:kern w:val="0"/>
          <w:sz w:val="28"/>
          <w:szCs w:val="28"/>
        </w:rPr>
        <w:t>a、水土环境污染物超标，影响生态安全。</w:t>
      </w:r>
    </w:p>
    <w:p w14:paraId="22F5B1D3">
      <w:pPr>
        <w:widowControl/>
        <w:spacing w:line="360" w:lineRule="auto"/>
        <w:ind w:firstLine="560" w:firstLineChars="200"/>
        <w:rPr>
          <w:kern w:val="0"/>
          <w:sz w:val="28"/>
          <w:szCs w:val="28"/>
        </w:rPr>
      </w:pPr>
      <w:r>
        <w:rPr>
          <w:kern w:val="0"/>
          <w:sz w:val="28"/>
          <w:szCs w:val="28"/>
        </w:rPr>
        <w:t>生态受损程度评价指标划分表见表3-</w:t>
      </w:r>
      <w:r>
        <w:rPr>
          <w:rFonts w:hint="eastAsia"/>
          <w:kern w:val="0"/>
          <w:sz w:val="28"/>
          <w:szCs w:val="28"/>
        </w:rPr>
        <w:t>29</w:t>
      </w:r>
      <w:r>
        <w:rPr>
          <w:kern w:val="0"/>
          <w:sz w:val="28"/>
          <w:szCs w:val="28"/>
        </w:rPr>
        <w:t>。</w:t>
      </w:r>
    </w:p>
    <w:p w14:paraId="46B3A605">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29</w:t>
      </w:r>
      <w:r>
        <w:rPr>
          <w:rFonts w:eastAsia="黑体"/>
          <w:bCs/>
          <w:sz w:val="24"/>
          <w:szCs w:val="24"/>
        </w:rPr>
        <w:t xml:space="preserve">  </w:t>
      </w:r>
      <w:bookmarkStart w:id="103" w:name="_Hlk229391185"/>
      <w:r>
        <w:rPr>
          <w:rFonts w:eastAsia="黑体"/>
          <w:bCs/>
          <w:sz w:val="24"/>
          <w:szCs w:val="24"/>
        </w:rPr>
        <w:t>生态受损分级参考标准表</w:t>
      </w:r>
      <w:bookmarkEnd w:id="103"/>
    </w:p>
    <w:p w14:paraId="74F4FAC2">
      <w:pPr>
        <w:widowControl/>
        <w:rPr>
          <w:kern w:val="0"/>
          <w:sz w:val="22"/>
          <w:szCs w:val="22"/>
        </w:rPr>
      </w:pPr>
    </w:p>
    <w:p w14:paraId="7544E8B9">
      <w:pPr>
        <w:widowControl/>
        <w:spacing w:line="360" w:lineRule="auto"/>
        <w:ind w:firstLine="560" w:firstLineChars="200"/>
        <w:rPr>
          <w:kern w:val="0"/>
          <w:sz w:val="28"/>
          <w:szCs w:val="28"/>
        </w:rPr>
      </w:pPr>
      <w:r>
        <w:rPr>
          <w:kern w:val="0"/>
          <w:sz w:val="28"/>
          <w:szCs w:val="28"/>
        </w:rPr>
        <w:t>受损程度分级采取上一级别优先原则，只要有一条符合即受损程度定为该级别。</w:t>
      </w:r>
    </w:p>
    <w:p w14:paraId="6FA0F1F9">
      <w:pPr>
        <w:widowControl/>
        <w:spacing w:line="360" w:lineRule="auto"/>
        <w:ind w:firstLine="562" w:firstLineChars="200"/>
        <w:rPr>
          <w:b/>
          <w:bCs/>
          <w:kern w:val="0"/>
          <w:sz w:val="28"/>
          <w:szCs w:val="28"/>
        </w:rPr>
      </w:pPr>
      <w:r>
        <w:rPr>
          <w:b/>
          <w:bCs/>
          <w:kern w:val="0"/>
          <w:sz w:val="28"/>
          <w:szCs w:val="28"/>
        </w:rPr>
        <w:t>2、生态受损程度评价</w:t>
      </w:r>
    </w:p>
    <w:p w14:paraId="0C6FC589">
      <w:pPr>
        <w:widowControl/>
        <w:spacing w:line="360" w:lineRule="auto"/>
        <w:ind w:firstLine="560" w:firstLineChars="200"/>
        <w:rPr>
          <w:kern w:val="0"/>
          <w:sz w:val="28"/>
          <w:szCs w:val="28"/>
        </w:rPr>
      </w:pPr>
      <w:r>
        <w:rPr>
          <w:kern w:val="0"/>
          <w:sz w:val="28"/>
          <w:szCs w:val="28"/>
        </w:rPr>
        <w:t>（1）植被损毁情况</w:t>
      </w:r>
    </w:p>
    <w:p w14:paraId="36F9D7C9">
      <w:pPr>
        <w:adjustRightInd w:val="0"/>
        <w:snapToGrid w:val="0"/>
        <w:spacing w:line="360" w:lineRule="auto"/>
        <w:ind w:firstLine="560" w:firstLineChars="200"/>
        <w:rPr>
          <w:sz w:val="28"/>
          <w:szCs w:val="28"/>
        </w:rPr>
      </w:pPr>
      <w:r>
        <w:rPr>
          <w:sz w:val="28"/>
          <w:szCs w:val="28"/>
        </w:rPr>
        <w:t>调查区植被类型属于半干旱草原灌草植被。根据遥感估算植被覆盖度，将调查区植被覆盖度划分为高覆盖度（</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%）、中高覆盖度（（</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%）、中覆盖度（（</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%）、低覆盖度（（</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%）、极低覆盖度（&lt;</w:t>
      </w:r>
      <w:r>
        <w:rPr>
          <w:rFonts w:hint="eastAsia" w:ascii="宋体" w:hAnsi="宋体" w:cs="宋体"/>
          <w:spacing w:val="13"/>
          <w:sz w:val="32"/>
          <w:szCs w:val="32"/>
        </w:rPr>
        <w:t>***</w:t>
      </w:r>
      <w:r>
        <w:rPr>
          <w:sz w:val="28"/>
          <w:szCs w:val="28"/>
        </w:rPr>
        <w:t>%）五个级别。</w:t>
      </w:r>
    </w:p>
    <w:p w14:paraId="29D80AA5">
      <w:pPr>
        <w:adjustRightInd w:val="0"/>
        <w:snapToGrid w:val="0"/>
        <w:spacing w:line="360" w:lineRule="auto"/>
        <w:ind w:firstLine="560" w:firstLineChars="200"/>
        <w:rPr>
          <w:sz w:val="28"/>
          <w:szCs w:val="28"/>
        </w:rPr>
      </w:pPr>
      <w:r>
        <w:rPr>
          <w:sz w:val="28"/>
          <w:szCs w:val="28"/>
        </w:rPr>
        <w:t>调查区已损毁区植被覆盖度较低，损毁类型</w:t>
      </w:r>
      <w:r>
        <w:rPr>
          <w:rFonts w:hint="eastAsia"/>
          <w:sz w:val="28"/>
          <w:szCs w:val="28"/>
        </w:rPr>
        <w:t>主要</w:t>
      </w:r>
      <w:r>
        <w:rPr>
          <w:sz w:val="28"/>
          <w:szCs w:val="28"/>
        </w:rPr>
        <w:t>为</w:t>
      </w:r>
      <w:r>
        <w:rPr>
          <w:rFonts w:hint="eastAsia"/>
          <w:sz w:val="28"/>
          <w:szCs w:val="28"/>
        </w:rPr>
        <w:t>挖损</w:t>
      </w:r>
      <w:r>
        <w:rPr>
          <w:sz w:val="28"/>
          <w:szCs w:val="28"/>
        </w:rPr>
        <w:t>，该区域主要由极低覆盖度、低覆盖度组成，集中在矿区内</w:t>
      </w:r>
      <w:r>
        <w:rPr>
          <w:rFonts w:hint="eastAsia"/>
          <w:sz w:val="28"/>
          <w:szCs w:val="28"/>
        </w:rPr>
        <w:t>露天采场、建筑物、道路等；历史遗留矿山治理区域整体植被覆盖度较中等；</w:t>
      </w:r>
      <w:r>
        <w:rPr>
          <w:sz w:val="28"/>
          <w:szCs w:val="28"/>
        </w:rPr>
        <w:t>损毁植物种类为</w:t>
      </w:r>
      <w:r>
        <w:rPr>
          <w:rFonts w:hint="eastAsia"/>
          <w:sz w:val="28"/>
          <w:szCs w:val="28"/>
        </w:rPr>
        <w:t>羊草、糙隐子草、紫花苜蓿、蒙古栎等；其他区域</w:t>
      </w:r>
      <w:r>
        <w:rPr>
          <w:sz w:val="28"/>
          <w:szCs w:val="28"/>
        </w:rPr>
        <w:t>植被覆盖度最高，该区域主要由中覆盖度、中高覆盖度、高覆盖度组成，植物种类多为农作物、人工林，</w:t>
      </w:r>
      <w:r>
        <w:rPr>
          <w:rFonts w:hint="eastAsia"/>
          <w:sz w:val="28"/>
          <w:szCs w:val="28"/>
        </w:rPr>
        <w:t>露天采场范围损毁植被类型为羊草、糙隐子草</w:t>
      </w:r>
      <w:r>
        <w:rPr>
          <w:sz w:val="28"/>
          <w:szCs w:val="28"/>
        </w:rPr>
        <w:t>。</w:t>
      </w:r>
    </w:p>
    <w:p w14:paraId="601D2080">
      <w:pPr>
        <w:widowControl/>
        <w:spacing w:line="360" w:lineRule="auto"/>
        <w:ind w:firstLine="560" w:firstLineChars="200"/>
        <w:rPr>
          <w:sz w:val="28"/>
          <w:szCs w:val="28"/>
        </w:rPr>
      </w:pPr>
      <w:r>
        <w:rPr>
          <w:sz w:val="28"/>
          <w:szCs w:val="28"/>
        </w:rPr>
        <w:t>根据影像的植被覆盖度</w:t>
      </w:r>
      <w:r>
        <w:rPr>
          <w:rFonts w:hint="eastAsia"/>
          <w:sz w:val="28"/>
          <w:szCs w:val="28"/>
        </w:rPr>
        <w:t>统计</w:t>
      </w:r>
      <w:r>
        <w:rPr>
          <w:sz w:val="28"/>
          <w:szCs w:val="28"/>
        </w:rPr>
        <w:t>可知，现状各场地单元中，整体植被覆盖度低于10%的场地为：露天采场</w:t>
      </w:r>
      <w:r>
        <w:rPr>
          <w:rFonts w:hint="eastAsia"/>
          <w:sz w:val="28"/>
          <w:szCs w:val="28"/>
        </w:rPr>
        <w:t>、工业场地、废石场2、办公区、生活</w:t>
      </w:r>
      <w:r>
        <w:rPr>
          <w:sz w:val="28"/>
          <w:szCs w:val="28"/>
        </w:rPr>
        <w:t>区</w:t>
      </w:r>
      <w:r>
        <w:rPr>
          <w:rFonts w:hint="eastAsia"/>
          <w:sz w:val="28"/>
          <w:szCs w:val="28"/>
        </w:rPr>
        <w:t>、</w:t>
      </w:r>
      <w:r>
        <w:rPr>
          <w:sz w:val="28"/>
          <w:szCs w:val="28"/>
        </w:rPr>
        <w:t>门卫</w:t>
      </w:r>
      <w:r>
        <w:rPr>
          <w:rFonts w:hint="eastAsia"/>
          <w:sz w:val="28"/>
          <w:szCs w:val="28"/>
        </w:rPr>
        <w:t>、</w:t>
      </w:r>
      <w:r>
        <w:rPr>
          <w:sz w:val="28"/>
          <w:szCs w:val="28"/>
        </w:rPr>
        <w:t>钻机平台</w:t>
      </w:r>
      <w:r>
        <w:rPr>
          <w:rFonts w:hint="eastAsia"/>
          <w:sz w:val="28"/>
          <w:szCs w:val="28"/>
        </w:rPr>
        <w:t>、</w:t>
      </w:r>
      <w:r>
        <w:rPr>
          <w:sz w:val="28"/>
          <w:szCs w:val="28"/>
        </w:rPr>
        <w:t>矿区道路</w:t>
      </w:r>
      <w:r>
        <w:rPr>
          <w:rFonts w:hint="eastAsia"/>
          <w:sz w:val="28"/>
          <w:szCs w:val="28"/>
        </w:rPr>
        <w:t>；</w:t>
      </w:r>
      <w:r>
        <w:rPr>
          <w:sz w:val="28"/>
          <w:szCs w:val="28"/>
        </w:rPr>
        <w:t>根据生态受损分级参考标准表（表3-</w:t>
      </w:r>
      <w:r>
        <w:rPr>
          <w:rFonts w:hint="eastAsia"/>
          <w:sz w:val="28"/>
          <w:szCs w:val="28"/>
        </w:rPr>
        <w:t>29</w:t>
      </w:r>
      <w:r>
        <w:rPr>
          <w:sz w:val="28"/>
          <w:szCs w:val="28"/>
        </w:rPr>
        <w:t>），植被覆盖度＜10%，原生植被消失，</w:t>
      </w:r>
      <w:r>
        <w:rPr>
          <w:kern w:val="0"/>
          <w:sz w:val="28"/>
          <w:szCs w:val="28"/>
          <w:lang w:bidi="en-US"/>
        </w:rPr>
        <w:t>故认为上述场地</w:t>
      </w:r>
      <w:r>
        <w:rPr>
          <w:kern w:val="0"/>
          <w:sz w:val="28"/>
          <w:szCs w:val="28"/>
        </w:rPr>
        <w:t>植被损毁程度为“严重”。</w:t>
      </w:r>
    </w:p>
    <w:p w14:paraId="5874B00E">
      <w:pPr>
        <w:widowControl/>
        <w:spacing w:line="360" w:lineRule="auto"/>
        <w:ind w:firstLine="560" w:firstLineChars="200"/>
        <w:rPr>
          <w:sz w:val="28"/>
          <w:szCs w:val="28"/>
        </w:rPr>
      </w:pPr>
      <w:r>
        <w:rPr>
          <w:sz w:val="28"/>
          <w:szCs w:val="28"/>
        </w:rPr>
        <w:t>整体植被覆盖度介于</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%的场地为：</w:t>
      </w:r>
      <w:bookmarkStart w:id="104" w:name="_Hlk229390983"/>
      <w:r>
        <w:rPr>
          <w:rFonts w:hint="eastAsia"/>
          <w:sz w:val="28"/>
          <w:szCs w:val="28"/>
        </w:rPr>
        <w:t>废石场1、废石场3，</w:t>
      </w:r>
      <w:r>
        <w:rPr>
          <w:sz w:val="28"/>
          <w:szCs w:val="28"/>
        </w:rPr>
        <w:t>根据生态受损分级参考标准表（表3-</w:t>
      </w:r>
      <w:r>
        <w:rPr>
          <w:rFonts w:hint="eastAsia"/>
          <w:sz w:val="28"/>
          <w:szCs w:val="28"/>
        </w:rPr>
        <w:t>29</w:t>
      </w:r>
      <w:r>
        <w:rPr>
          <w:sz w:val="28"/>
          <w:szCs w:val="28"/>
        </w:rPr>
        <w:t>），“植被覆盖度</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***s</w:t>
      </w:r>
      <w:r>
        <w:rPr>
          <w:sz w:val="28"/>
          <w:szCs w:val="28"/>
        </w:rPr>
        <w:t>%，原生植被破坏较严重”，</w:t>
      </w:r>
      <w:r>
        <w:rPr>
          <w:kern w:val="0"/>
          <w:sz w:val="28"/>
          <w:szCs w:val="28"/>
          <w:lang w:bidi="en-US"/>
        </w:rPr>
        <w:t>故认为上述场地</w:t>
      </w:r>
      <w:r>
        <w:rPr>
          <w:kern w:val="0"/>
          <w:sz w:val="28"/>
          <w:szCs w:val="28"/>
        </w:rPr>
        <w:t>植被损毁程度为“较严重”。</w:t>
      </w:r>
    </w:p>
    <w:bookmarkEnd w:id="104"/>
    <w:p w14:paraId="0F92F5F6">
      <w:pPr>
        <w:widowControl/>
        <w:spacing w:line="360" w:lineRule="auto"/>
        <w:ind w:firstLine="560" w:firstLineChars="200"/>
        <w:rPr>
          <w:kern w:val="0"/>
          <w:sz w:val="28"/>
          <w:szCs w:val="28"/>
        </w:rPr>
      </w:pPr>
      <w:r>
        <w:rPr>
          <w:kern w:val="0"/>
          <w:sz w:val="28"/>
          <w:szCs w:val="28"/>
        </w:rPr>
        <w:t>（2）土壤污染情况</w:t>
      </w:r>
    </w:p>
    <w:p w14:paraId="13F28EEC">
      <w:pPr>
        <w:widowControl/>
        <w:spacing w:line="360" w:lineRule="auto"/>
        <w:ind w:firstLine="560" w:firstLineChars="200"/>
        <w:rPr>
          <w:sz w:val="28"/>
          <w:szCs w:val="28"/>
        </w:rPr>
      </w:pPr>
      <w:r>
        <w:rPr>
          <w:sz w:val="28"/>
          <w:szCs w:val="28"/>
        </w:rPr>
        <w:t>矿区土壤类型主要为栗钙土，土壤质地为轻壤，</w:t>
      </w:r>
      <w:r>
        <w:rPr>
          <w:rFonts w:hint="eastAsia"/>
          <w:sz w:val="28"/>
          <w:szCs w:val="28"/>
        </w:rPr>
        <w:t>土壤类型</w:t>
      </w:r>
      <w:r>
        <w:rPr>
          <w:sz w:val="28"/>
          <w:szCs w:val="28"/>
        </w:rPr>
        <w:t>为</w:t>
      </w:r>
      <w:r>
        <w:rPr>
          <w:rFonts w:hint="eastAsia"/>
          <w:sz w:val="28"/>
          <w:szCs w:val="28"/>
        </w:rPr>
        <w:t>黄土、砂质粘土，</w:t>
      </w:r>
      <w:r>
        <w:rPr>
          <w:sz w:val="28"/>
          <w:szCs w:val="28"/>
        </w:rPr>
        <w:t>结构较紧密，干时坚硬，粘塑性较强，手捻有滑感。</w:t>
      </w:r>
    </w:p>
    <w:p w14:paraId="5B61C22F">
      <w:pPr>
        <w:widowControl/>
        <w:spacing w:line="360" w:lineRule="auto"/>
        <w:ind w:firstLine="560" w:firstLineChars="200"/>
        <w:rPr>
          <w:kern w:val="0"/>
          <w:sz w:val="28"/>
          <w:szCs w:val="28"/>
        </w:rPr>
      </w:pPr>
      <w:r>
        <w:rPr>
          <w:sz w:val="28"/>
          <w:szCs w:val="28"/>
        </w:rPr>
        <w:t>矿山于202</w:t>
      </w:r>
      <w:r>
        <w:rPr>
          <w:rFonts w:hint="eastAsia"/>
          <w:sz w:val="28"/>
          <w:szCs w:val="28"/>
        </w:rPr>
        <w:t>6</w:t>
      </w:r>
      <w:r>
        <w:rPr>
          <w:sz w:val="28"/>
          <w:szCs w:val="28"/>
        </w:rPr>
        <w:t>年</w:t>
      </w:r>
      <w:r>
        <w:rPr>
          <w:rFonts w:hint="eastAsia"/>
          <w:sz w:val="28"/>
          <w:szCs w:val="28"/>
        </w:rPr>
        <w:t>7</w:t>
      </w:r>
      <w:r>
        <w:rPr>
          <w:sz w:val="28"/>
          <w:szCs w:val="28"/>
        </w:rPr>
        <w:t>月</w:t>
      </w:r>
      <w:r>
        <w:rPr>
          <w:rFonts w:hint="eastAsia"/>
          <w:sz w:val="28"/>
          <w:szCs w:val="28"/>
        </w:rPr>
        <w:t>4</w:t>
      </w:r>
      <w:r>
        <w:rPr>
          <w:sz w:val="28"/>
          <w:szCs w:val="28"/>
        </w:rPr>
        <w:t>日矿山委托内蒙古</w:t>
      </w:r>
      <w:r>
        <w:rPr>
          <w:rFonts w:hint="eastAsia"/>
          <w:sz w:val="28"/>
          <w:szCs w:val="28"/>
        </w:rPr>
        <w:t>铭科环境检测有限公司</w:t>
      </w:r>
      <w:r>
        <w:rPr>
          <w:sz w:val="28"/>
          <w:szCs w:val="28"/>
        </w:rPr>
        <w:t>对矿区土壤监测点进行取样检测，土壤取样位置见图2-</w:t>
      </w:r>
      <w:r>
        <w:rPr>
          <w:rFonts w:hint="eastAsia"/>
          <w:sz w:val="28"/>
          <w:szCs w:val="28"/>
        </w:rPr>
        <w:t>3</w:t>
      </w:r>
      <w:r>
        <w:rPr>
          <w:sz w:val="28"/>
          <w:szCs w:val="28"/>
        </w:rPr>
        <w:t>，取样信息见表2-</w:t>
      </w:r>
      <w:r>
        <w:rPr>
          <w:rFonts w:hint="eastAsia"/>
          <w:sz w:val="28"/>
          <w:szCs w:val="28"/>
        </w:rPr>
        <w:t>18</w:t>
      </w:r>
      <w:r>
        <w:rPr>
          <w:sz w:val="28"/>
          <w:szCs w:val="28"/>
        </w:rPr>
        <w:t>，土壤检测结果见表2-</w:t>
      </w:r>
      <w:r>
        <w:rPr>
          <w:rFonts w:hint="eastAsia"/>
          <w:sz w:val="28"/>
          <w:szCs w:val="28"/>
        </w:rPr>
        <w:t>19</w:t>
      </w:r>
      <w:r>
        <w:rPr>
          <w:sz w:val="28"/>
          <w:szCs w:val="28"/>
        </w:rPr>
        <w:t>。各项检测结果符合</w:t>
      </w:r>
      <w:r>
        <w:rPr>
          <w:kern w:val="0"/>
          <w:sz w:val="28"/>
          <w:szCs w:val="28"/>
        </w:rPr>
        <w:t>《土壤环境质量 建设用地土壤污染风险管控污染风险标准》（GB 36600-2018）中第二类用地筛选值，土壤环境影响评价项目类别为Ⅲ类。采矿活动对土壤环境污染影响程度“较轻”。</w:t>
      </w:r>
    </w:p>
    <w:p w14:paraId="506365BB">
      <w:pPr>
        <w:widowControl/>
        <w:spacing w:line="360" w:lineRule="auto"/>
        <w:ind w:firstLine="560" w:firstLineChars="200"/>
        <w:rPr>
          <w:kern w:val="0"/>
          <w:sz w:val="28"/>
          <w:szCs w:val="28"/>
        </w:rPr>
      </w:pPr>
      <w:r>
        <w:rPr>
          <w:kern w:val="0"/>
          <w:sz w:val="28"/>
          <w:szCs w:val="28"/>
        </w:rPr>
        <w:t>（3）生物多样性丧失</w:t>
      </w:r>
    </w:p>
    <w:p w14:paraId="10429CEA">
      <w:pPr>
        <w:adjustRightInd w:val="0"/>
        <w:snapToGrid w:val="0"/>
        <w:spacing w:line="360" w:lineRule="auto"/>
        <w:ind w:firstLine="560" w:firstLineChars="200"/>
        <w:rPr>
          <w:kern w:val="0"/>
          <w:sz w:val="28"/>
          <w:szCs w:val="28"/>
          <w:lang w:bidi="en-US"/>
        </w:rPr>
      </w:pPr>
      <w:r>
        <w:rPr>
          <w:rFonts w:hint="eastAsia"/>
          <w:sz w:val="28"/>
          <w:szCs w:val="28"/>
        </w:rPr>
        <w:t>通过本次调查，矿区仅见的达乌里寒鸦、树麻雀、毛腿沙鸡及树麻雀等均为常见物种，野生动物种类较少，属温带草原动物群。</w:t>
      </w:r>
    </w:p>
    <w:p w14:paraId="668A78A6">
      <w:pPr>
        <w:widowControl/>
        <w:spacing w:line="360" w:lineRule="auto"/>
        <w:ind w:firstLine="560" w:firstLineChars="200"/>
        <w:rPr>
          <w:kern w:val="0"/>
          <w:sz w:val="28"/>
          <w:szCs w:val="28"/>
          <w:lang w:bidi="en-US"/>
        </w:rPr>
      </w:pPr>
      <w:r>
        <w:rPr>
          <w:kern w:val="0"/>
          <w:sz w:val="28"/>
          <w:szCs w:val="28"/>
          <w:lang w:bidi="en-US"/>
        </w:rPr>
        <w:t>现状场地中</w:t>
      </w:r>
      <w:r>
        <w:rPr>
          <w:sz w:val="28"/>
          <w:szCs w:val="28"/>
        </w:rPr>
        <w:t>露天采场</w:t>
      </w:r>
      <w:r>
        <w:rPr>
          <w:rFonts w:hint="eastAsia"/>
          <w:sz w:val="28"/>
          <w:szCs w:val="28"/>
        </w:rPr>
        <w:t>、工业场地、废石场2、办公区、生活</w:t>
      </w:r>
      <w:r>
        <w:rPr>
          <w:sz w:val="28"/>
          <w:szCs w:val="28"/>
        </w:rPr>
        <w:t>区</w:t>
      </w:r>
      <w:r>
        <w:rPr>
          <w:rFonts w:hint="eastAsia"/>
          <w:sz w:val="28"/>
          <w:szCs w:val="28"/>
        </w:rPr>
        <w:t>、</w:t>
      </w:r>
      <w:r>
        <w:rPr>
          <w:sz w:val="28"/>
          <w:szCs w:val="28"/>
        </w:rPr>
        <w:t>门卫</w:t>
      </w:r>
      <w:r>
        <w:rPr>
          <w:rFonts w:hint="eastAsia"/>
          <w:sz w:val="28"/>
          <w:szCs w:val="28"/>
        </w:rPr>
        <w:t>、</w:t>
      </w:r>
      <w:r>
        <w:rPr>
          <w:sz w:val="28"/>
          <w:szCs w:val="28"/>
        </w:rPr>
        <w:t>钻机平台</w:t>
      </w:r>
      <w:r>
        <w:rPr>
          <w:rFonts w:hint="eastAsia"/>
          <w:sz w:val="28"/>
          <w:szCs w:val="28"/>
        </w:rPr>
        <w:t>、</w:t>
      </w:r>
      <w:r>
        <w:rPr>
          <w:sz w:val="28"/>
          <w:szCs w:val="28"/>
        </w:rPr>
        <w:t>矿区道路</w:t>
      </w:r>
      <w:r>
        <w:rPr>
          <w:rFonts w:hint="eastAsia"/>
          <w:sz w:val="28"/>
          <w:szCs w:val="28"/>
        </w:rPr>
        <w:t>，</w:t>
      </w:r>
      <w:r>
        <w:rPr>
          <w:sz w:val="28"/>
          <w:szCs w:val="28"/>
        </w:rPr>
        <w:t>整体覆盖度低于10%，</w:t>
      </w:r>
      <w:r>
        <w:rPr>
          <w:kern w:val="0"/>
          <w:sz w:val="28"/>
          <w:szCs w:val="28"/>
        </w:rPr>
        <w:t>导致大部分生物无栖息地，</w:t>
      </w:r>
      <w:r>
        <w:rPr>
          <w:sz w:val="28"/>
          <w:szCs w:val="28"/>
        </w:rPr>
        <w:t>根据生态受损分级参考标准表（表3-</w:t>
      </w:r>
      <w:r>
        <w:rPr>
          <w:rFonts w:hint="eastAsia"/>
          <w:sz w:val="28"/>
          <w:szCs w:val="28"/>
        </w:rPr>
        <w:t>29</w:t>
      </w:r>
      <w:r>
        <w:rPr>
          <w:sz w:val="28"/>
          <w:szCs w:val="28"/>
        </w:rPr>
        <w:t>）“栖息地完全破坏，物种大幅减少”，</w:t>
      </w:r>
      <w:r>
        <w:rPr>
          <w:kern w:val="0"/>
          <w:sz w:val="28"/>
          <w:szCs w:val="28"/>
          <w:lang w:bidi="en-US"/>
        </w:rPr>
        <w:t>故认为上述场地对</w:t>
      </w:r>
      <w:r>
        <w:rPr>
          <w:kern w:val="0"/>
          <w:sz w:val="28"/>
          <w:szCs w:val="28"/>
        </w:rPr>
        <w:t>生物丧失程度为“严重”。</w:t>
      </w:r>
    </w:p>
    <w:p w14:paraId="6943689F">
      <w:pPr>
        <w:widowControl/>
        <w:spacing w:line="360" w:lineRule="auto"/>
        <w:ind w:firstLine="560" w:firstLineChars="200"/>
        <w:rPr>
          <w:kern w:val="0"/>
          <w:sz w:val="28"/>
          <w:szCs w:val="28"/>
          <w:lang w:bidi="en-US"/>
        </w:rPr>
      </w:pPr>
      <w:r>
        <w:rPr>
          <w:rFonts w:hint="eastAsia"/>
          <w:sz w:val="28"/>
          <w:szCs w:val="28"/>
        </w:rPr>
        <w:t>废石场1、废石场3，</w:t>
      </w:r>
      <w:r>
        <w:rPr>
          <w:sz w:val="28"/>
          <w:szCs w:val="28"/>
        </w:rPr>
        <w:t>植被损毁较严重，整体覆盖度介于</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w:t>
      </w:r>
      <w:r>
        <w:rPr>
          <w:kern w:val="0"/>
          <w:sz w:val="28"/>
          <w:szCs w:val="28"/>
        </w:rPr>
        <w:t>植被类型多为天然牧草地，可供</w:t>
      </w:r>
      <w:r>
        <w:rPr>
          <w:sz w:val="28"/>
          <w:szCs w:val="28"/>
        </w:rPr>
        <w:t>哺乳类动物栖息，根据生态受损分级参考标准表（表3-</w:t>
      </w:r>
      <w:r>
        <w:rPr>
          <w:rFonts w:hint="eastAsia"/>
          <w:sz w:val="28"/>
          <w:szCs w:val="28"/>
        </w:rPr>
        <w:t>29</w:t>
      </w:r>
      <w:r>
        <w:rPr>
          <w:sz w:val="28"/>
          <w:szCs w:val="28"/>
        </w:rPr>
        <w:t>）“栖息地破碎化，物种数量下降”，</w:t>
      </w:r>
      <w:r>
        <w:rPr>
          <w:kern w:val="0"/>
          <w:sz w:val="28"/>
          <w:szCs w:val="28"/>
          <w:lang w:bidi="en-US"/>
        </w:rPr>
        <w:t>故认为上述场地对</w:t>
      </w:r>
      <w:r>
        <w:rPr>
          <w:kern w:val="0"/>
          <w:sz w:val="28"/>
          <w:szCs w:val="28"/>
        </w:rPr>
        <w:t>生物丧失程度为“较严重”。</w:t>
      </w:r>
    </w:p>
    <w:p w14:paraId="5A118050">
      <w:pPr>
        <w:widowControl/>
        <w:spacing w:line="360" w:lineRule="auto"/>
        <w:ind w:firstLine="560" w:firstLineChars="200"/>
        <w:rPr>
          <w:kern w:val="0"/>
          <w:sz w:val="28"/>
          <w:szCs w:val="28"/>
        </w:rPr>
      </w:pPr>
      <w:r>
        <w:rPr>
          <w:kern w:val="0"/>
          <w:sz w:val="28"/>
          <w:szCs w:val="28"/>
        </w:rPr>
        <w:t>（4）水土流失问题</w:t>
      </w:r>
    </w:p>
    <w:p w14:paraId="6C74741F">
      <w:pPr>
        <w:widowControl/>
        <w:spacing w:line="360" w:lineRule="auto"/>
        <w:ind w:firstLine="560" w:firstLineChars="200"/>
        <w:rPr>
          <w:kern w:val="0"/>
          <w:sz w:val="28"/>
          <w:szCs w:val="28"/>
        </w:rPr>
      </w:pPr>
      <w:r>
        <w:rPr>
          <w:kern w:val="0"/>
          <w:sz w:val="28"/>
          <w:szCs w:val="28"/>
        </w:rPr>
        <w:t>1）侵蚀模数背景值</w:t>
      </w:r>
    </w:p>
    <w:p w14:paraId="4A97BB27">
      <w:pPr>
        <w:widowControl/>
        <w:spacing w:line="360" w:lineRule="auto"/>
        <w:ind w:firstLine="560" w:firstLineChars="200"/>
        <w:rPr>
          <w:kern w:val="0"/>
          <w:sz w:val="28"/>
          <w:szCs w:val="28"/>
        </w:rPr>
      </w:pPr>
      <w:r>
        <w:rPr>
          <w:rFonts w:hint="eastAsia"/>
          <w:kern w:val="0"/>
          <w:sz w:val="28"/>
          <w:szCs w:val="28"/>
        </w:rPr>
        <w:t>矿区周边水土流失比较严重，侵蚀模数在</w:t>
      </w:r>
      <w:r>
        <w:rPr>
          <w:rFonts w:hint="eastAsia" w:ascii="宋体" w:hAnsi="宋体" w:cs="宋体"/>
          <w:spacing w:val="13"/>
          <w:sz w:val="32"/>
          <w:szCs w:val="32"/>
        </w:rPr>
        <w:t>***</w:t>
      </w:r>
      <w:r>
        <w:rPr>
          <w:rFonts w:hint="eastAsia"/>
          <w:kern w:val="0"/>
          <w:sz w:val="28"/>
          <w:szCs w:val="28"/>
        </w:rPr>
        <w:t>t/km.a以内，属于中度侵蚀；中游属于中覆被度农作物类黄土台地，侵蚀模数在</w:t>
      </w:r>
      <w:r>
        <w:rPr>
          <w:rFonts w:hint="eastAsia" w:ascii="宋体" w:hAnsi="宋体" w:cs="宋体"/>
          <w:spacing w:val="13"/>
          <w:sz w:val="32"/>
          <w:szCs w:val="32"/>
        </w:rPr>
        <w:t>***</w:t>
      </w:r>
      <w:r>
        <w:rPr>
          <w:rFonts w:hint="eastAsia"/>
          <w:kern w:val="0"/>
          <w:sz w:val="28"/>
          <w:szCs w:val="28"/>
        </w:rPr>
        <w:t>-</w:t>
      </w:r>
      <w:r>
        <w:rPr>
          <w:rFonts w:hint="eastAsia" w:ascii="宋体" w:hAnsi="宋体" w:cs="宋体"/>
          <w:spacing w:val="13"/>
          <w:sz w:val="32"/>
          <w:szCs w:val="32"/>
        </w:rPr>
        <w:t>***</w:t>
      </w:r>
      <w:r>
        <w:rPr>
          <w:rFonts w:hint="eastAsia"/>
          <w:kern w:val="0"/>
          <w:sz w:val="28"/>
          <w:szCs w:val="28"/>
        </w:rPr>
        <w:t>t/km.a，属于中度面状侵蚀和沟谷中度切割，沟壑密度为</w:t>
      </w:r>
      <w:r>
        <w:rPr>
          <w:rFonts w:hint="eastAsia" w:ascii="宋体" w:hAnsi="宋体" w:cs="宋体"/>
          <w:spacing w:val="13"/>
          <w:sz w:val="32"/>
          <w:szCs w:val="32"/>
        </w:rPr>
        <w:t>***</w:t>
      </w:r>
      <w:r>
        <w:rPr>
          <w:rFonts w:hint="eastAsia"/>
          <w:kern w:val="0"/>
          <w:sz w:val="28"/>
          <w:szCs w:val="28"/>
        </w:rPr>
        <w:t>km/km，矿区主要为中覆被度农作物草类黄土台地和中覆被草灌土石，侵蚀模数</w:t>
      </w:r>
      <w:r>
        <w:rPr>
          <w:rFonts w:hint="eastAsia" w:ascii="宋体" w:hAnsi="宋体" w:cs="宋体"/>
          <w:spacing w:val="13"/>
          <w:sz w:val="32"/>
          <w:szCs w:val="32"/>
        </w:rPr>
        <w:t>***</w:t>
      </w:r>
      <w:r>
        <w:rPr>
          <w:rFonts w:hint="eastAsia"/>
          <w:kern w:val="0"/>
          <w:sz w:val="28"/>
          <w:szCs w:val="28"/>
        </w:rPr>
        <w:t>-</w:t>
      </w:r>
      <w:r>
        <w:rPr>
          <w:rFonts w:hint="eastAsia" w:ascii="宋体" w:hAnsi="宋体" w:cs="宋体"/>
          <w:spacing w:val="13"/>
          <w:sz w:val="32"/>
          <w:szCs w:val="32"/>
        </w:rPr>
        <w:t>***</w:t>
      </w:r>
      <w:r>
        <w:rPr>
          <w:rFonts w:hint="eastAsia"/>
          <w:kern w:val="0"/>
          <w:sz w:val="28"/>
          <w:szCs w:val="28"/>
        </w:rPr>
        <w:t>t/km.a，属中度面状侵蚀和沟谷轻度切割。</w:t>
      </w:r>
    </w:p>
    <w:p w14:paraId="39F3A49B">
      <w:pPr>
        <w:widowControl/>
        <w:spacing w:line="360" w:lineRule="auto"/>
        <w:ind w:firstLine="560" w:firstLineChars="200"/>
        <w:rPr>
          <w:kern w:val="0"/>
          <w:sz w:val="28"/>
          <w:szCs w:val="28"/>
        </w:rPr>
      </w:pPr>
      <w:r>
        <w:rPr>
          <w:rFonts w:hint="eastAsia"/>
          <w:kern w:val="0"/>
          <w:sz w:val="28"/>
          <w:szCs w:val="28"/>
        </w:rPr>
        <w:t>据资料统计，大庙镇多年平均输沙量为</w:t>
      </w:r>
      <w:r>
        <w:rPr>
          <w:rFonts w:hint="eastAsia" w:ascii="宋体" w:hAnsi="宋体" w:cs="宋体"/>
          <w:spacing w:val="13"/>
          <w:sz w:val="32"/>
          <w:szCs w:val="32"/>
        </w:rPr>
        <w:t>***</w:t>
      </w:r>
      <w:r>
        <w:rPr>
          <w:rFonts w:hint="eastAsia"/>
          <w:kern w:val="0"/>
          <w:sz w:val="28"/>
          <w:szCs w:val="28"/>
        </w:rPr>
        <w:t>万t，而多年平均径流量仅为</w:t>
      </w:r>
      <w:r>
        <w:rPr>
          <w:rFonts w:hint="eastAsia" w:ascii="宋体" w:hAnsi="宋体" w:cs="宋体"/>
          <w:spacing w:val="13"/>
          <w:sz w:val="32"/>
          <w:szCs w:val="32"/>
        </w:rPr>
        <w:t>***</w:t>
      </w:r>
      <w:r>
        <w:rPr>
          <w:rFonts w:hint="eastAsia"/>
          <w:kern w:val="0"/>
          <w:sz w:val="28"/>
          <w:szCs w:val="28"/>
        </w:rPr>
        <w:t>亿m³，多年平均含沙量为</w:t>
      </w:r>
      <w:r>
        <w:rPr>
          <w:rFonts w:hint="eastAsia" w:ascii="宋体" w:hAnsi="宋体" w:cs="宋体"/>
          <w:spacing w:val="13"/>
          <w:sz w:val="32"/>
          <w:szCs w:val="32"/>
        </w:rPr>
        <w:t>***</w:t>
      </w:r>
      <w:r>
        <w:rPr>
          <w:rFonts w:hint="eastAsia"/>
          <w:kern w:val="0"/>
          <w:sz w:val="28"/>
          <w:szCs w:val="28"/>
        </w:rPr>
        <w:t>kg/m³，大庙镇控制的流域面积为</w:t>
      </w:r>
      <w:r>
        <w:rPr>
          <w:rFonts w:hint="eastAsia" w:ascii="宋体" w:hAnsi="宋体" w:cs="宋体"/>
          <w:spacing w:val="13"/>
          <w:sz w:val="32"/>
          <w:szCs w:val="32"/>
        </w:rPr>
        <w:t>***</w:t>
      </w:r>
      <w:r>
        <w:rPr>
          <w:rFonts w:hint="eastAsia"/>
          <w:kern w:val="0"/>
          <w:sz w:val="28"/>
          <w:szCs w:val="28"/>
        </w:rPr>
        <w:t>km²，泥沙侵蚀模数为</w:t>
      </w:r>
      <w:r>
        <w:rPr>
          <w:rFonts w:hint="eastAsia" w:ascii="宋体" w:hAnsi="宋体" w:cs="宋体"/>
          <w:spacing w:val="13"/>
          <w:sz w:val="32"/>
          <w:szCs w:val="32"/>
        </w:rPr>
        <w:t>***</w:t>
      </w:r>
      <w:r>
        <w:rPr>
          <w:rFonts w:hint="eastAsia"/>
          <w:kern w:val="0"/>
          <w:sz w:val="28"/>
          <w:szCs w:val="28"/>
        </w:rPr>
        <w:t>t/km.a。可见，矿区周边水土流失较为严重。</w:t>
      </w:r>
    </w:p>
    <w:p w14:paraId="52FE9531">
      <w:pPr>
        <w:widowControl/>
        <w:spacing w:line="360" w:lineRule="auto"/>
        <w:ind w:firstLine="560" w:firstLineChars="200"/>
        <w:rPr>
          <w:kern w:val="0"/>
          <w:sz w:val="28"/>
          <w:szCs w:val="28"/>
        </w:rPr>
      </w:pPr>
      <w:r>
        <w:rPr>
          <w:rFonts w:hint="eastAsia"/>
          <w:kern w:val="0"/>
          <w:sz w:val="28"/>
          <w:szCs w:val="28"/>
        </w:rPr>
        <w:t>矿区生态修复范围内各单元场地中，</w:t>
      </w:r>
      <w:r>
        <w:rPr>
          <w:rFonts w:hint="eastAsia"/>
          <w:sz w:val="28"/>
          <w:szCs w:val="28"/>
        </w:rPr>
        <w:t>办公区、生活</w:t>
      </w:r>
      <w:r>
        <w:rPr>
          <w:sz w:val="28"/>
          <w:szCs w:val="28"/>
        </w:rPr>
        <w:t>区</w:t>
      </w:r>
      <w:r>
        <w:rPr>
          <w:rFonts w:hint="eastAsia"/>
          <w:sz w:val="28"/>
          <w:szCs w:val="28"/>
        </w:rPr>
        <w:t>、</w:t>
      </w:r>
      <w:r>
        <w:rPr>
          <w:sz w:val="28"/>
          <w:szCs w:val="28"/>
        </w:rPr>
        <w:t>门卫</w:t>
      </w:r>
      <w:r>
        <w:rPr>
          <w:rFonts w:hint="eastAsia"/>
          <w:sz w:val="28"/>
          <w:szCs w:val="28"/>
        </w:rPr>
        <w:t>、</w:t>
      </w:r>
      <w:r>
        <w:rPr>
          <w:sz w:val="28"/>
          <w:szCs w:val="28"/>
        </w:rPr>
        <w:t>钻机平台</w:t>
      </w:r>
      <w:r>
        <w:rPr>
          <w:rFonts w:hint="eastAsia"/>
          <w:sz w:val="28"/>
          <w:szCs w:val="28"/>
        </w:rPr>
        <w:t>、</w:t>
      </w:r>
      <w:r>
        <w:rPr>
          <w:sz w:val="28"/>
          <w:szCs w:val="28"/>
        </w:rPr>
        <w:t>矿区道路</w:t>
      </w:r>
      <w:r>
        <w:rPr>
          <w:rFonts w:hint="eastAsia"/>
          <w:sz w:val="28"/>
          <w:szCs w:val="28"/>
        </w:rPr>
        <w:t>，</w:t>
      </w:r>
      <w:r>
        <w:rPr>
          <w:rFonts w:hint="eastAsia"/>
          <w:kern w:val="0"/>
          <w:sz w:val="28"/>
          <w:szCs w:val="28"/>
        </w:rPr>
        <w:t>整体植被覆盖较低，</w:t>
      </w:r>
      <w:r>
        <w:rPr>
          <w:sz w:val="28"/>
          <w:szCs w:val="28"/>
        </w:rPr>
        <w:t>根据生态受损分级参考标准表（表3-</w:t>
      </w:r>
      <w:r>
        <w:rPr>
          <w:rFonts w:hint="eastAsia"/>
          <w:sz w:val="28"/>
          <w:szCs w:val="28"/>
        </w:rPr>
        <w:t>29</w:t>
      </w:r>
      <w:r>
        <w:rPr>
          <w:sz w:val="28"/>
          <w:szCs w:val="28"/>
        </w:rPr>
        <w:t>）</w:t>
      </w:r>
      <w:r>
        <w:rPr>
          <w:rFonts w:hint="eastAsia"/>
          <w:kern w:val="0"/>
          <w:sz w:val="28"/>
          <w:szCs w:val="28"/>
        </w:rPr>
        <w:t>破坏了原始地表植被，植被涵养水源功能受到损毁，地表裸露区域面积增加，降水冲刷、风蚀等加剧表层土壤流失，加重水土流失问题，因此认为上述场地对水土流失问题为“严重”</w:t>
      </w:r>
    </w:p>
    <w:p w14:paraId="0BAE4C33">
      <w:pPr>
        <w:widowControl/>
        <w:spacing w:line="360" w:lineRule="auto"/>
        <w:ind w:firstLine="560" w:firstLineChars="200"/>
        <w:rPr>
          <w:kern w:val="0"/>
          <w:sz w:val="28"/>
          <w:szCs w:val="28"/>
        </w:rPr>
      </w:pPr>
      <w:r>
        <w:rPr>
          <w:rFonts w:hint="eastAsia"/>
          <w:sz w:val="28"/>
          <w:szCs w:val="28"/>
        </w:rPr>
        <w:t>废石场1、废石场3，</w:t>
      </w:r>
      <w:r>
        <w:rPr>
          <w:rFonts w:hint="eastAsia"/>
          <w:kern w:val="0"/>
          <w:sz w:val="28"/>
          <w:szCs w:val="28"/>
        </w:rPr>
        <w:t>整体植被覆盖度低于</w:t>
      </w:r>
      <w:r>
        <w:rPr>
          <w:rFonts w:hint="eastAsia" w:ascii="宋体" w:hAnsi="宋体" w:cs="宋体"/>
          <w:spacing w:val="13"/>
          <w:sz w:val="32"/>
          <w:szCs w:val="32"/>
        </w:rPr>
        <w:t>***</w:t>
      </w:r>
      <w:r>
        <w:rPr>
          <w:rFonts w:hint="eastAsia"/>
          <w:kern w:val="0"/>
          <w:sz w:val="28"/>
          <w:szCs w:val="28"/>
        </w:rPr>
        <w:t>%，破坏原始地表植被程度中等，植被涵养水源功能受到损毁程度中等，部分植被可减缓降水冲刷、风蚀等表层土壤流失，因此认为上述场地对水土流失问题为“较严重”。</w:t>
      </w:r>
    </w:p>
    <w:p w14:paraId="38ADFA5F">
      <w:pPr>
        <w:widowControl/>
        <w:spacing w:line="360" w:lineRule="auto"/>
        <w:ind w:firstLine="560" w:firstLineChars="200"/>
        <w:rPr>
          <w:kern w:val="0"/>
          <w:sz w:val="28"/>
          <w:szCs w:val="28"/>
        </w:rPr>
      </w:pPr>
      <w:r>
        <w:rPr>
          <w:sz w:val="28"/>
          <w:szCs w:val="28"/>
        </w:rPr>
        <w:t>露天采场</w:t>
      </w:r>
      <w:r>
        <w:rPr>
          <w:rFonts w:hint="eastAsia"/>
          <w:sz w:val="28"/>
          <w:szCs w:val="28"/>
        </w:rPr>
        <w:t>、工业场地、废石场2，地表基岩裸露，无土层覆盖，可侵蚀的土壤物质较少，土壤流失模数较低；但岩体风化破碎，坡面陡峭，降雨形成地表径流冲刷岩面及风化岩屑，易引发岩屑流失与坡面冲刷，侵蚀物质以岩粉、碎石碎屑为主。</w:t>
      </w:r>
      <w:r>
        <w:rPr>
          <w:rFonts w:hint="eastAsia"/>
          <w:kern w:val="0"/>
          <w:sz w:val="28"/>
          <w:szCs w:val="28"/>
        </w:rPr>
        <w:t>因此认为上述场地对水土流失问题为“较严重”。</w:t>
      </w:r>
    </w:p>
    <w:p w14:paraId="056AF10C">
      <w:pPr>
        <w:widowControl/>
        <w:spacing w:line="360" w:lineRule="auto"/>
        <w:ind w:firstLine="560" w:firstLineChars="200"/>
        <w:rPr>
          <w:kern w:val="0"/>
          <w:sz w:val="28"/>
          <w:szCs w:val="28"/>
        </w:rPr>
      </w:pPr>
      <w:r>
        <w:rPr>
          <w:kern w:val="0"/>
          <w:sz w:val="28"/>
          <w:szCs w:val="28"/>
        </w:rPr>
        <w:t>（5）水环境污染</w:t>
      </w:r>
    </w:p>
    <w:p w14:paraId="72AE075D">
      <w:pPr>
        <w:widowControl/>
        <w:spacing w:line="360" w:lineRule="auto"/>
        <w:ind w:firstLine="560" w:firstLineChars="200"/>
        <w:rPr>
          <w:sz w:val="28"/>
          <w:szCs w:val="28"/>
        </w:rPr>
      </w:pPr>
      <w:r>
        <w:rPr>
          <w:sz w:val="28"/>
          <w:szCs w:val="28"/>
        </w:rPr>
        <w:t>根据202</w:t>
      </w:r>
      <w:r>
        <w:rPr>
          <w:rFonts w:hint="eastAsia"/>
          <w:sz w:val="28"/>
          <w:szCs w:val="28"/>
        </w:rPr>
        <w:t>6</w:t>
      </w:r>
      <w:r>
        <w:rPr>
          <w:sz w:val="28"/>
          <w:szCs w:val="28"/>
        </w:rPr>
        <w:t>年</w:t>
      </w:r>
      <w:r>
        <w:rPr>
          <w:rFonts w:hint="eastAsia"/>
          <w:sz w:val="28"/>
          <w:szCs w:val="28"/>
        </w:rPr>
        <w:t>7</w:t>
      </w:r>
      <w:r>
        <w:rPr>
          <w:sz w:val="28"/>
          <w:szCs w:val="28"/>
        </w:rPr>
        <w:t>月</w:t>
      </w:r>
      <w:r>
        <w:rPr>
          <w:rFonts w:hint="eastAsia"/>
          <w:sz w:val="28"/>
          <w:szCs w:val="28"/>
        </w:rPr>
        <w:t>4</w:t>
      </w:r>
      <w:r>
        <w:rPr>
          <w:sz w:val="28"/>
          <w:szCs w:val="28"/>
        </w:rPr>
        <w:t>日矿山委托内蒙古</w:t>
      </w:r>
      <w:r>
        <w:rPr>
          <w:rFonts w:hint="eastAsia"/>
          <w:sz w:val="28"/>
          <w:szCs w:val="28"/>
        </w:rPr>
        <w:t>铭科环境检测有限公司对矿区</w:t>
      </w:r>
      <w:r>
        <w:rPr>
          <w:sz w:val="28"/>
          <w:szCs w:val="28"/>
        </w:rPr>
        <w:t>及周边地下水进行了水环境污染检测。（见第二章、第五节水环境现状）结果显示，矿山地下水监测指标均符合《地下水质量标准》(GB/T 14848-2017)Ⅲ类标准的要求。</w:t>
      </w:r>
    </w:p>
    <w:p w14:paraId="195D68DC">
      <w:pPr>
        <w:widowControl/>
        <w:spacing w:line="360" w:lineRule="auto"/>
        <w:ind w:firstLine="560" w:firstLineChars="200"/>
        <w:rPr>
          <w:sz w:val="28"/>
          <w:szCs w:val="28"/>
        </w:rPr>
      </w:pPr>
      <w:r>
        <w:rPr>
          <w:sz w:val="28"/>
          <w:szCs w:val="28"/>
        </w:rPr>
        <w:t>综上所述，现状条件下，采矿活动对地下水环境影响程度“较轻”。</w:t>
      </w:r>
    </w:p>
    <w:bookmarkEnd w:id="102"/>
    <w:p w14:paraId="2F8C6CF5">
      <w:pPr>
        <w:widowControl/>
        <w:spacing w:line="360" w:lineRule="auto"/>
        <w:ind w:firstLine="562" w:firstLineChars="200"/>
        <w:rPr>
          <w:b/>
          <w:bCs/>
          <w:sz w:val="28"/>
          <w:szCs w:val="28"/>
        </w:rPr>
      </w:pPr>
      <w:bookmarkStart w:id="105" w:name="_Hlk220606142"/>
      <w:r>
        <w:rPr>
          <w:b/>
          <w:bCs/>
          <w:sz w:val="28"/>
          <w:szCs w:val="28"/>
        </w:rPr>
        <w:t>3、生态系统受损程度评价结果</w:t>
      </w:r>
    </w:p>
    <w:p w14:paraId="393CACD9">
      <w:pPr>
        <w:widowControl/>
        <w:spacing w:line="360" w:lineRule="auto"/>
        <w:ind w:firstLine="560" w:firstLineChars="200"/>
        <w:rPr>
          <w:sz w:val="28"/>
          <w:szCs w:val="28"/>
        </w:rPr>
      </w:pPr>
      <w:r>
        <w:rPr>
          <w:sz w:val="28"/>
          <w:szCs w:val="28"/>
        </w:rPr>
        <w:t>参照《金属矿土地复垦与生态修复技术规范》（GB/T 43933-2024）中6.2.3条款等相关规范，评估认为矿区生态环境影响程度见表3</w:t>
      </w:r>
      <w:r>
        <w:rPr>
          <w:sz w:val="28"/>
          <w:szCs w:val="28"/>
        </w:rPr>
        <w:noBreakHyphen/>
      </w:r>
      <w:r>
        <w:rPr>
          <w:rFonts w:hint="eastAsia"/>
          <w:sz w:val="28"/>
          <w:szCs w:val="28"/>
        </w:rPr>
        <w:t>30</w:t>
      </w:r>
      <w:r>
        <w:rPr>
          <w:sz w:val="28"/>
          <w:szCs w:val="28"/>
        </w:rPr>
        <w:t>。</w:t>
      </w:r>
    </w:p>
    <w:p w14:paraId="67BFE35C">
      <w:pPr>
        <w:jc w:val="center"/>
        <w:rPr>
          <w:rFonts w:eastAsia="黑体"/>
          <w:bCs/>
          <w:sz w:val="24"/>
          <w:szCs w:val="24"/>
        </w:rPr>
      </w:pPr>
      <w:r>
        <w:rPr>
          <w:rFonts w:eastAsia="黑体"/>
          <w:bCs/>
          <w:sz w:val="24"/>
          <w:szCs w:val="24"/>
        </w:rPr>
        <w:t>表3-</w:t>
      </w:r>
      <w:r>
        <w:rPr>
          <w:rFonts w:hint="eastAsia" w:eastAsia="黑体"/>
          <w:bCs/>
          <w:sz w:val="24"/>
          <w:szCs w:val="24"/>
        </w:rPr>
        <w:t xml:space="preserve">30 </w:t>
      </w:r>
      <w:r>
        <w:rPr>
          <w:rFonts w:eastAsia="黑体"/>
          <w:bCs/>
          <w:sz w:val="24"/>
          <w:szCs w:val="24"/>
        </w:rPr>
        <w:t xml:space="preserve"> 矿区生态受损程度现状综合评价表</w:t>
      </w:r>
    </w:p>
    <w:p w14:paraId="47823B27">
      <w:pPr>
        <w:rPr>
          <w:szCs w:val="15"/>
        </w:rPr>
      </w:pPr>
    </w:p>
    <w:bookmarkEnd w:id="105"/>
    <w:p w14:paraId="6A24353C">
      <w:pPr>
        <w:adjustRightInd w:val="0"/>
        <w:snapToGrid w:val="0"/>
        <w:spacing w:line="360" w:lineRule="auto"/>
        <w:ind w:firstLine="562" w:firstLineChars="200"/>
        <w:outlineLvl w:val="2"/>
        <w:rPr>
          <w:b/>
          <w:bCs/>
          <w:snapToGrid w:val="0"/>
          <w:sz w:val="28"/>
          <w:szCs w:val="28"/>
        </w:rPr>
      </w:pPr>
      <w:r>
        <w:rPr>
          <w:b/>
          <w:bCs/>
          <w:snapToGrid w:val="0"/>
          <w:sz w:val="28"/>
          <w:szCs w:val="28"/>
        </w:rPr>
        <w:t>三、受损预测</w:t>
      </w:r>
    </w:p>
    <w:p w14:paraId="0A1B387C">
      <w:pPr>
        <w:widowControl/>
        <w:spacing w:line="360" w:lineRule="auto"/>
        <w:ind w:firstLine="562" w:firstLineChars="200"/>
        <w:outlineLvl w:val="3"/>
        <w:rPr>
          <w:b/>
          <w:bCs/>
          <w:snapToGrid w:val="0"/>
          <w:sz w:val="28"/>
          <w:szCs w:val="28"/>
        </w:rPr>
      </w:pPr>
      <w:r>
        <w:rPr>
          <w:b/>
          <w:bCs/>
          <w:snapToGrid w:val="0"/>
          <w:sz w:val="28"/>
          <w:szCs w:val="28"/>
        </w:rPr>
        <w:t>（一）地质环境问题预测</w:t>
      </w:r>
    </w:p>
    <w:p w14:paraId="51529FEC">
      <w:pPr>
        <w:spacing w:line="360" w:lineRule="auto"/>
        <w:ind w:firstLine="562" w:firstLineChars="200"/>
        <w:rPr>
          <w:b/>
          <w:bCs/>
          <w:sz w:val="28"/>
          <w:szCs w:val="28"/>
        </w:rPr>
      </w:pPr>
      <w:r>
        <w:rPr>
          <w:b/>
          <w:bCs/>
          <w:sz w:val="28"/>
          <w:szCs w:val="28"/>
        </w:rPr>
        <w:t>1、</w:t>
      </w:r>
      <w:r>
        <w:rPr>
          <w:rFonts w:hint="eastAsia"/>
          <w:b/>
          <w:bCs/>
          <w:sz w:val="28"/>
          <w:szCs w:val="28"/>
        </w:rPr>
        <w:t>不稳定地质体</w:t>
      </w:r>
      <w:r>
        <w:rPr>
          <w:b/>
          <w:bCs/>
          <w:sz w:val="28"/>
          <w:szCs w:val="28"/>
        </w:rPr>
        <w:t>预测</w:t>
      </w:r>
    </w:p>
    <w:p w14:paraId="69CE0762">
      <w:pPr>
        <w:spacing w:line="360" w:lineRule="auto"/>
        <w:ind w:firstLine="560" w:firstLineChars="200"/>
        <w:rPr>
          <w:sz w:val="28"/>
          <w:szCs w:val="28"/>
        </w:rPr>
      </w:pPr>
      <w:bookmarkStart w:id="106" w:name="_Hlk219065681"/>
      <w:r>
        <w:rPr>
          <w:rFonts w:hint="eastAsia"/>
          <w:sz w:val="28"/>
          <w:szCs w:val="28"/>
        </w:rPr>
        <w:t>根据矿山《开发利用方案》，矿山拟采用露天开采，矿山生产建设引发的地质灾害隐患为露天采场不稳定边坡崩塌灾害、排土场边坡滑坡灾害。具体分析如下：</w:t>
      </w:r>
    </w:p>
    <w:p w14:paraId="1FFE34F6">
      <w:pPr>
        <w:spacing w:line="360" w:lineRule="auto"/>
        <w:ind w:firstLine="560" w:firstLineChars="200"/>
        <w:rPr>
          <w:sz w:val="28"/>
          <w:szCs w:val="28"/>
        </w:rPr>
      </w:pPr>
      <w:r>
        <w:rPr>
          <w:rFonts w:hint="eastAsia"/>
          <w:sz w:val="28"/>
          <w:szCs w:val="28"/>
        </w:rPr>
        <w:t>（1）拟建露天采场不稳定边坡</w:t>
      </w:r>
    </w:p>
    <w:p w14:paraId="76428C98">
      <w:pPr>
        <w:spacing w:line="360" w:lineRule="auto"/>
        <w:ind w:firstLine="560" w:firstLineChars="200"/>
        <w:rPr>
          <w:sz w:val="28"/>
          <w:szCs w:val="28"/>
        </w:rPr>
      </w:pPr>
      <w:r>
        <w:rPr>
          <w:rFonts w:hint="eastAsia"/>
          <w:sz w:val="28"/>
          <w:szCs w:val="28"/>
        </w:rPr>
        <w:t>矿山采矿方式为露天开采，赋矿围岩为玄武岩；所开采的矿体为层状构造，</w:t>
      </w:r>
      <w:r>
        <w:rPr>
          <w:rFonts w:hint="eastAsia"/>
          <w:bCs/>
          <w:sz w:val="28"/>
          <w:szCs w:val="28"/>
        </w:rPr>
        <w:t>矿区内玄武岩</w:t>
      </w:r>
      <w:r>
        <w:rPr>
          <w:bCs/>
          <w:sz w:val="28"/>
          <w:szCs w:val="28"/>
        </w:rPr>
        <w:t>矿体</w:t>
      </w:r>
      <w:r>
        <w:rPr>
          <w:rFonts w:hint="eastAsia"/>
          <w:bCs/>
          <w:sz w:val="28"/>
          <w:szCs w:val="28"/>
        </w:rPr>
        <w:t>长轴方</w:t>
      </w:r>
      <w:r>
        <w:rPr>
          <w:bCs/>
          <w:sz w:val="28"/>
          <w:szCs w:val="28"/>
        </w:rPr>
        <w:t>向总体</w:t>
      </w:r>
      <w:r>
        <w:rPr>
          <w:rFonts w:hint="eastAsia"/>
          <w:bCs/>
          <w:sz w:val="28"/>
          <w:szCs w:val="28"/>
        </w:rPr>
        <w:t>为北西，倾向南西，倾角</w:t>
      </w:r>
      <w:r>
        <w:rPr>
          <w:rFonts w:hint="eastAsia" w:ascii="宋体" w:hAnsi="宋体" w:cs="宋体"/>
          <w:spacing w:val="13"/>
          <w:sz w:val="32"/>
          <w:szCs w:val="32"/>
        </w:rPr>
        <w:t>***</w:t>
      </w:r>
      <w:r>
        <w:rPr>
          <w:rFonts w:hint="eastAsia"/>
          <w:bCs/>
          <w:sz w:val="28"/>
          <w:szCs w:val="28"/>
        </w:rPr>
        <w:t>—</w:t>
      </w:r>
      <w:r>
        <w:rPr>
          <w:rFonts w:hint="eastAsia" w:ascii="宋体" w:hAnsi="宋体" w:cs="宋体"/>
          <w:spacing w:val="13"/>
          <w:sz w:val="32"/>
          <w:szCs w:val="32"/>
        </w:rPr>
        <w:t>***</w:t>
      </w:r>
      <w:r>
        <w:rPr>
          <w:rFonts w:hint="eastAsia"/>
          <w:bCs/>
          <w:sz w:val="28"/>
          <w:szCs w:val="28"/>
        </w:rPr>
        <w:t>°近于直立。</w:t>
      </w:r>
      <w:r>
        <w:rPr>
          <w:rFonts w:hint="eastAsia"/>
          <w:sz w:val="28"/>
          <w:szCs w:val="28"/>
        </w:rPr>
        <w:t>根据《开发利用方案》拟建露天采场最终边坡最大高度为</w:t>
      </w:r>
      <w:r>
        <w:rPr>
          <w:rFonts w:hint="eastAsia" w:ascii="宋体" w:hAnsi="宋体" w:cs="宋体"/>
          <w:spacing w:val="13"/>
          <w:sz w:val="32"/>
          <w:szCs w:val="32"/>
        </w:rPr>
        <w:t>***</w:t>
      </w:r>
      <w:r>
        <w:rPr>
          <w:rFonts w:hint="eastAsia"/>
          <w:sz w:val="28"/>
          <w:szCs w:val="28"/>
        </w:rPr>
        <w:t>m，单台阶高度</w:t>
      </w:r>
      <w:r>
        <w:rPr>
          <w:rFonts w:hint="eastAsia" w:ascii="宋体" w:hAnsi="宋体" w:cs="宋体"/>
          <w:spacing w:val="13"/>
          <w:sz w:val="32"/>
          <w:szCs w:val="32"/>
        </w:rPr>
        <w:t>***</w:t>
      </w:r>
      <w:r>
        <w:rPr>
          <w:rFonts w:hint="eastAsia"/>
          <w:sz w:val="28"/>
          <w:szCs w:val="28"/>
        </w:rPr>
        <w:t>m，最终边坡采用两个阶段进行并段，并段后单边坡</w:t>
      </w:r>
      <w:r>
        <w:rPr>
          <w:rFonts w:hint="eastAsia" w:ascii="宋体" w:hAnsi="宋体" w:cs="宋体"/>
          <w:spacing w:val="13"/>
          <w:sz w:val="32"/>
          <w:szCs w:val="32"/>
        </w:rPr>
        <w:t>***</w:t>
      </w:r>
      <w:r>
        <w:rPr>
          <w:rFonts w:hint="eastAsia"/>
          <w:sz w:val="28"/>
          <w:szCs w:val="28"/>
        </w:rPr>
        <w:t>m，最终台阶坡面角</w:t>
      </w:r>
      <w:r>
        <w:rPr>
          <w:rFonts w:hint="eastAsia" w:ascii="宋体" w:hAnsi="宋体" w:cs="宋体"/>
          <w:spacing w:val="13"/>
          <w:sz w:val="32"/>
          <w:szCs w:val="32"/>
        </w:rPr>
        <w:t>***</w:t>
      </w:r>
      <w:r>
        <w:rPr>
          <w:rFonts w:hint="eastAsia"/>
          <w:sz w:val="28"/>
          <w:szCs w:val="28"/>
        </w:rPr>
        <w:t>°，最终帮坡角</w:t>
      </w:r>
      <w:r>
        <w:rPr>
          <w:rFonts w:hint="eastAsia" w:ascii="宋体" w:hAnsi="宋体" w:cs="宋体"/>
          <w:spacing w:val="13"/>
          <w:sz w:val="32"/>
          <w:szCs w:val="32"/>
        </w:rPr>
        <w:t>***</w:t>
      </w:r>
      <w:r>
        <w:rPr>
          <w:rFonts w:hint="eastAsia"/>
          <w:sz w:val="28"/>
          <w:szCs w:val="28"/>
        </w:rPr>
        <w:t>°，安全平台宽</w:t>
      </w:r>
      <w:r>
        <w:rPr>
          <w:rFonts w:hint="eastAsia" w:ascii="宋体" w:hAnsi="宋体" w:cs="宋体"/>
          <w:spacing w:val="13"/>
          <w:sz w:val="32"/>
          <w:szCs w:val="32"/>
        </w:rPr>
        <w:t>***</w:t>
      </w:r>
      <w:r>
        <w:rPr>
          <w:rFonts w:hint="eastAsia"/>
          <w:sz w:val="28"/>
          <w:szCs w:val="28"/>
        </w:rPr>
        <w:t>m，清扫平台</w:t>
      </w:r>
      <w:r>
        <w:rPr>
          <w:rFonts w:hint="eastAsia" w:ascii="宋体" w:hAnsi="宋体" w:cs="宋体"/>
          <w:spacing w:val="13"/>
          <w:sz w:val="32"/>
          <w:szCs w:val="32"/>
        </w:rPr>
        <w:t>***</w:t>
      </w:r>
      <w:r>
        <w:rPr>
          <w:rFonts w:hint="eastAsia"/>
          <w:sz w:val="28"/>
          <w:szCs w:val="28"/>
        </w:rPr>
        <w:t>m。预测拟建露天采场，在雨水冲刷等作用下，使原岩应力平衡遭到破坏，使岩体发生变形、开裂，可能引发边帮崩塌灾害。</w:t>
      </w:r>
    </w:p>
    <w:p w14:paraId="72188B24">
      <w:pPr>
        <w:spacing w:line="360" w:lineRule="auto"/>
        <w:ind w:firstLine="480" w:firstLineChars="200"/>
        <w:jc w:val="center"/>
        <w:rPr>
          <w:sz w:val="28"/>
          <w:szCs w:val="28"/>
        </w:rPr>
      </w:pPr>
      <w:r>
        <w:rPr>
          <w:rFonts w:hint="eastAsia" w:ascii="黑体" w:hAnsi="黑体" w:eastAsia="黑体"/>
          <w:sz w:val="24"/>
          <w:szCs w:val="24"/>
        </w:rPr>
        <w:t>图3-2  拟建露天采场崩塌示意图</w:t>
      </w:r>
    </w:p>
    <w:p w14:paraId="329EE1E2">
      <w:pPr>
        <w:spacing w:line="360" w:lineRule="auto"/>
        <w:ind w:firstLine="560" w:firstLineChars="200"/>
        <w:rPr>
          <w:sz w:val="28"/>
          <w:szCs w:val="28"/>
        </w:rPr>
      </w:pPr>
      <w:bookmarkStart w:id="107" w:name="OLE_LINK9"/>
      <w:r>
        <w:rPr>
          <w:rFonts w:hint="eastAsia"/>
          <w:sz w:val="28"/>
          <w:szCs w:val="28"/>
        </w:rPr>
        <w:t>崩落物将主要堆积于采坑内，受威胁对象包括矿区的工作人员、地表植被及机械设备，受威胁人数按</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人计，可能造成直接经济损失预计</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万元。</w:t>
      </w:r>
      <w:bookmarkEnd w:id="107"/>
      <w:r>
        <w:rPr>
          <w:rFonts w:hint="eastAsia"/>
          <w:sz w:val="28"/>
          <w:szCs w:val="28"/>
        </w:rPr>
        <w:t>预测评估其发生崩塌地质灾害可能性小，危险性中等，受灾危害程度中等。</w:t>
      </w:r>
    </w:p>
    <w:p w14:paraId="144C740B">
      <w:pPr>
        <w:spacing w:line="360" w:lineRule="auto"/>
        <w:ind w:firstLine="560" w:firstLineChars="200"/>
        <w:rPr>
          <w:sz w:val="28"/>
          <w:szCs w:val="28"/>
        </w:rPr>
      </w:pPr>
      <w:r>
        <w:rPr>
          <w:rFonts w:hint="eastAsia"/>
          <w:sz w:val="28"/>
          <w:szCs w:val="28"/>
        </w:rPr>
        <w:t>（2）拟建排土场不稳定边坡</w:t>
      </w:r>
    </w:p>
    <w:p w14:paraId="540C94C6">
      <w:pPr>
        <w:spacing w:line="360" w:lineRule="auto"/>
        <w:ind w:firstLine="560" w:firstLineChars="200"/>
        <w:rPr>
          <w:bCs/>
          <w:sz w:val="28"/>
          <w:szCs w:val="28"/>
        </w:rPr>
      </w:pPr>
      <w:r>
        <w:rPr>
          <w:rFonts w:hint="eastAsia"/>
          <w:sz w:val="28"/>
          <w:szCs w:val="28"/>
        </w:rPr>
        <w:t>根据《开发利用方案》，拟建排放场布置在露天采场南侧</w:t>
      </w:r>
      <w:r>
        <w:rPr>
          <w:rFonts w:hint="eastAsia" w:ascii="宋体" w:hAnsi="宋体" w:cs="宋体"/>
          <w:spacing w:val="13"/>
          <w:sz w:val="32"/>
          <w:szCs w:val="32"/>
        </w:rPr>
        <w:t>***</w:t>
      </w:r>
      <w:r>
        <w:rPr>
          <w:rFonts w:hint="eastAsia"/>
          <w:sz w:val="28"/>
          <w:szCs w:val="28"/>
        </w:rPr>
        <w:t>m处，</w:t>
      </w:r>
      <w:r>
        <w:rPr>
          <w:bCs/>
          <w:sz w:val="28"/>
          <w:szCs w:val="28"/>
        </w:rPr>
        <w:t>面积约为</w:t>
      </w:r>
      <w:r>
        <w:rPr>
          <w:rFonts w:hint="eastAsia" w:ascii="宋体" w:hAnsi="宋体" w:cs="宋体"/>
          <w:spacing w:val="13"/>
          <w:sz w:val="32"/>
          <w:szCs w:val="32"/>
        </w:rPr>
        <w:t>***</w:t>
      </w:r>
      <w:r>
        <w:rPr>
          <w:bCs/>
          <w:sz w:val="28"/>
          <w:szCs w:val="28"/>
        </w:rPr>
        <w:t>m</w:t>
      </w:r>
      <w:r>
        <w:rPr>
          <w:bCs/>
          <w:sz w:val="28"/>
          <w:szCs w:val="28"/>
          <w:vertAlign w:val="superscript"/>
        </w:rPr>
        <w:t>2</w:t>
      </w:r>
      <w:r>
        <w:rPr>
          <w:bCs/>
          <w:sz w:val="28"/>
          <w:szCs w:val="28"/>
        </w:rPr>
        <w:t>，容积约为</w:t>
      </w:r>
      <w:r>
        <w:rPr>
          <w:rFonts w:hint="eastAsia" w:ascii="宋体" w:hAnsi="宋体" w:cs="宋体"/>
          <w:spacing w:val="13"/>
          <w:sz w:val="32"/>
          <w:szCs w:val="32"/>
        </w:rPr>
        <w:t>***</w:t>
      </w:r>
      <w:r>
        <w:rPr>
          <w:bCs/>
          <w:sz w:val="28"/>
          <w:szCs w:val="28"/>
        </w:rPr>
        <w:t>m</w:t>
      </w:r>
      <w:r>
        <w:rPr>
          <w:bCs/>
          <w:sz w:val="28"/>
          <w:szCs w:val="28"/>
          <w:vertAlign w:val="superscript"/>
        </w:rPr>
        <w:t>3</w:t>
      </w:r>
      <w:r>
        <w:rPr>
          <w:bCs/>
          <w:sz w:val="28"/>
          <w:szCs w:val="28"/>
        </w:rPr>
        <w:t>。</w:t>
      </w:r>
      <w:r>
        <w:rPr>
          <w:rFonts w:hint="eastAsia"/>
          <w:bCs/>
          <w:sz w:val="28"/>
          <w:szCs w:val="28"/>
        </w:rPr>
        <w:t>总高度约</w:t>
      </w:r>
      <w:r>
        <w:rPr>
          <w:rFonts w:hint="eastAsia" w:ascii="宋体" w:hAnsi="宋体" w:cs="宋体"/>
          <w:spacing w:val="13"/>
          <w:sz w:val="32"/>
          <w:szCs w:val="32"/>
        </w:rPr>
        <w:t>***</w:t>
      </w:r>
      <w:r>
        <w:rPr>
          <w:rFonts w:hint="eastAsia"/>
          <w:bCs/>
          <w:sz w:val="28"/>
          <w:szCs w:val="28"/>
        </w:rPr>
        <w:t>m，堆放坡角约</w:t>
      </w:r>
      <w:r>
        <w:rPr>
          <w:rFonts w:hint="eastAsia" w:ascii="宋体" w:hAnsi="宋体" w:cs="宋体"/>
          <w:spacing w:val="13"/>
          <w:sz w:val="32"/>
          <w:szCs w:val="32"/>
        </w:rPr>
        <w:t>***</w:t>
      </w:r>
      <w:r>
        <w:rPr>
          <w:rFonts w:hint="eastAsia"/>
          <w:bCs/>
          <w:sz w:val="28"/>
          <w:szCs w:val="28"/>
        </w:rPr>
        <w:t>°。堆放角度小于排弃物自然休止角，在干燥且基底稳定条件下，堆体发生整体滑坡的可能性较小；但受降雨入渗、机械震动等因素影响，存在坡面冲刷、局部浅层溜塌风险。</w:t>
      </w:r>
      <w:r>
        <w:rPr>
          <w:rFonts w:hint="eastAsia"/>
          <w:sz w:val="28"/>
          <w:szCs w:val="28"/>
        </w:rPr>
        <w:t>滑移物将主要堆积于排土场底部，受威胁对象包括矿区的工作人员、地表植被及机械设备，受威胁人数按2-3人计，可能造成直接经济损失预计小于</w:t>
      </w:r>
      <w:r>
        <w:rPr>
          <w:rFonts w:hint="eastAsia" w:ascii="宋体" w:hAnsi="宋体" w:cs="宋体"/>
          <w:spacing w:val="13"/>
          <w:sz w:val="32"/>
          <w:szCs w:val="32"/>
        </w:rPr>
        <w:t>***</w:t>
      </w:r>
      <w:r>
        <w:rPr>
          <w:rFonts w:hint="eastAsia"/>
          <w:sz w:val="28"/>
          <w:szCs w:val="28"/>
        </w:rPr>
        <w:t>万元。预测评估其发生滑坡地质灾害可能性小，危险性较小，受灾危害程度较轻。</w:t>
      </w:r>
    </w:p>
    <w:p w14:paraId="01B4546A">
      <w:pPr>
        <w:spacing w:line="360" w:lineRule="auto"/>
        <w:ind w:firstLine="560" w:firstLineChars="200"/>
        <w:rPr>
          <w:bCs/>
          <w:sz w:val="28"/>
          <w:szCs w:val="28"/>
        </w:rPr>
      </w:pPr>
      <w:r>
        <w:rPr>
          <w:rFonts w:hint="eastAsia"/>
          <w:sz w:val="28"/>
          <w:szCs w:val="28"/>
        </w:rPr>
        <w:t>综上所述，预测矿山生产期间，矿区拟建露天采场不稳定边坡崩塌灾害可能性小，危险性中等，受灾危害程度中等；拟建排土场滑坡灾害可能性小，危险性较小，受灾危害程度较轻。预测拟建露天采场崩塌灾害为较严重，拟建排土场滑坡灾害为较轻，其余拟建场地地质灾害不发育。</w:t>
      </w:r>
    </w:p>
    <w:bookmarkEnd w:id="106"/>
    <w:p w14:paraId="7E1709DF">
      <w:pPr>
        <w:spacing w:line="360" w:lineRule="auto"/>
        <w:ind w:firstLine="562" w:firstLineChars="200"/>
        <w:rPr>
          <w:b/>
          <w:bCs/>
          <w:sz w:val="28"/>
          <w:szCs w:val="28"/>
        </w:rPr>
      </w:pPr>
      <w:r>
        <w:rPr>
          <w:b/>
          <w:bCs/>
          <w:sz w:val="28"/>
          <w:szCs w:val="28"/>
        </w:rPr>
        <w:t>2、矿区含水层破坏预测</w:t>
      </w:r>
    </w:p>
    <w:p w14:paraId="54E2A606">
      <w:pPr>
        <w:spacing w:line="360" w:lineRule="auto"/>
        <w:ind w:firstLine="560" w:firstLineChars="200"/>
        <w:rPr>
          <w:sz w:val="28"/>
          <w:szCs w:val="28"/>
        </w:rPr>
      </w:pPr>
      <w:r>
        <w:rPr>
          <w:rFonts w:hint="eastAsia"/>
          <w:sz w:val="28"/>
          <w:szCs w:val="28"/>
        </w:rPr>
        <w:t>根据矿体规模、区域含水层特征、采矿方式，对含水层影响预测评估如下：</w:t>
      </w:r>
    </w:p>
    <w:p w14:paraId="1608283F">
      <w:pPr>
        <w:spacing w:line="360" w:lineRule="auto"/>
        <w:ind w:firstLine="560" w:firstLineChars="200"/>
        <w:rPr>
          <w:sz w:val="28"/>
          <w:szCs w:val="28"/>
        </w:rPr>
      </w:pPr>
      <w:r>
        <w:rPr>
          <w:rFonts w:hint="eastAsia"/>
          <w:sz w:val="28"/>
          <w:szCs w:val="28"/>
        </w:rPr>
        <w:t>（1）矿山开采对含水层结构损毁</w:t>
      </w:r>
    </w:p>
    <w:p w14:paraId="51FCBA39">
      <w:pPr>
        <w:spacing w:line="360" w:lineRule="auto"/>
        <w:ind w:firstLine="560" w:firstLineChars="200"/>
        <w:rPr>
          <w:sz w:val="28"/>
          <w:szCs w:val="28"/>
        </w:rPr>
      </w:pPr>
      <w:r>
        <w:rPr>
          <w:rFonts w:hint="eastAsia"/>
          <w:sz w:val="28"/>
          <w:szCs w:val="28"/>
        </w:rPr>
        <w:t>《开发利用方案》设计开采标高为</w:t>
      </w:r>
      <w:r>
        <w:rPr>
          <w:rFonts w:hint="eastAsia" w:ascii="宋体" w:hAnsi="宋体" w:cs="宋体"/>
          <w:spacing w:val="13"/>
          <w:sz w:val="32"/>
          <w:szCs w:val="32"/>
        </w:rPr>
        <w:t>***</w:t>
      </w:r>
      <w:r>
        <w:rPr>
          <w:rFonts w:hint="eastAsia"/>
          <w:sz w:val="28"/>
          <w:szCs w:val="28"/>
        </w:rPr>
        <w:t>m-</w:t>
      </w:r>
      <w:r>
        <w:rPr>
          <w:rFonts w:hint="eastAsia" w:ascii="宋体" w:hAnsi="宋体" w:cs="宋体"/>
          <w:spacing w:val="13"/>
          <w:sz w:val="32"/>
          <w:szCs w:val="32"/>
        </w:rPr>
        <w:t>***</w:t>
      </w:r>
      <w:r>
        <w:rPr>
          <w:rFonts w:hint="eastAsia"/>
          <w:sz w:val="28"/>
          <w:szCs w:val="28"/>
        </w:rPr>
        <w:t>m，统计当地静止</w:t>
      </w:r>
      <w:r>
        <w:rPr>
          <w:sz w:val="28"/>
          <w:szCs w:val="28"/>
        </w:rPr>
        <w:t>水位标高在</w:t>
      </w:r>
      <w:r>
        <w:rPr>
          <w:rFonts w:hint="eastAsia" w:ascii="宋体" w:hAnsi="宋体" w:cs="宋体"/>
          <w:spacing w:val="13"/>
          <w:sz w:val="32"/>
          <w:szCs w:val="32"/>
        </w:rPr>
        <w:t>***</w:t>
      </w:r>
      <w:r>
        <w:rPr>
          <w:sz w:val="28"/>
          <w:szCs w:val="28"/>
        </w:rPr>
        <w:t>m以下</w:t>
      </w:r>
      <w:r>
        <w:rPr>
          <w:rFonts w:hint="eastAsia"/>
          <w:sz w:val="28"/>
          <w:szCs w:val="28"/>
        </w:rPr>
        <w:t>。开采矿体位于地下水位含水层标高之上，矿区内无区域性主要含水层。故预测对含水层结构的破坏程度较轻。</w:t>
      </w:r>
    </w:p>
    <w:p w14:paraId="67810588">
      <w:pPr>
        <w:spacing w:line="360" w:lineRule="auto"/>
        <w:ind w:firstLine="560" w:firstLineChars="200"/>
        <w:rPr>
          <w:sz w:val="28"/>
          <w:szCs w:val="28"/>
        </w:rPr>
      </w:pPr>
      <w:r>
        <w:rPr>
          <w:rFonts w:hint="eastAsia"/>
          <w:sz w:val="28"/>
          <w:szCs w:val="28"/>
        </w:rPr>
        <w:t>（2）矿坑疏干水对含水层的影响</w:t>
      </w:r>
    </w:p>
    <w:p w14:paraId="5BBE10AA">
      <w:pPr>
        <w:spacing w:line="360" w:lineRule="auto"/>
        <w:ind w:firstLine="560" w:firstLineChars="200"/>
        <w:rPr>
          <w:sz w:val="28"/>
          <w:szCs w:val="28"/>
        </w:rPr>
      </w:pPr>
      <w:r>
        <w:rPr>
          <w:rFonts w:hint="eastAsia"/>
          <w:sz w:val="28"/>
          <w:szCs w:val="28"/>
        </w:rPr>
        <w:t>矿山露天采场的开采未揭露含水层，不产生疏干水。</w:t>
      </w:r>
    </w:p>
    <w:p w14:paraId="259236EE">
      <w:pPr>
        <w:spacing w:line="360" w:lineRule="auto"/>
        <w:ind w:firstLine="560" w:firstLineChars="200"/>
        <w:rPr>
          <w:sz w:val="28"/>
          <w:szCs w:val="28"/>
        </w:rPr>
      </w:pPr>
      <w:r>
        <w:rPr>
          <w:rFonts w:hint="eastAsia"/>
          <w:sz w:val="28"/>
          <w:szCs w:val="28"/>
        </w:rPr>
        <w:t>（3）对矿区及附近水源的影响</w:t>
      </w:r>
    </w:p>
    <w:p w14:paraId="755214E3">
      <w:pPr>
        <w:spacing w:line="360" w:lineRule="auto"/>
        <w:ind w:firstLine="560" w:firstLineChars="200"/>
        <w:rPr>
          <w:sz w:val="28"/>
          <w:szCs w:val="28"/>
        </w:rPr>
      </w:pPr>
      <w:r>
        <w:rPr>
          <w:rFonts w:hint="eastAsia"/>
          <w:sz w:val="28"/>
          <w:szCs w:val="28"/>
        </w:rPr>
        <w:t>矿区及周围无地表水体，据实地调查，采坑无排水，未对附近水源造成影响。预测矿山活动对矿区及附近村庄居民生产生活用水无影响。</w:t>
      </w:r>
    </w:p>
    <w:p w14:paraId="68F82CCB">
      <w:pPr>
        <w:spacing w:line="360" w:lineRule="auto"/>
        <w:ind w:firstLine="560" w:firstLineChars="200"/>
        <w:rPr>
          <w:sz w:val="28"/>
          <w:szCs w:val="28"/>
        </w:rPr>
      </w:pPr>
      <w:r>
        <w:rPr>
          <w:rFonts w:hint="eastAsia"/>
          <w:sz w:val="28"/>
          <w:szCs w:val="28"/>
        </w:rPr>
        <w:t>（4）对地下水水质影响</w:t>
      </w:r>
    </w:p>
    <w:p w14:paraId="13DB49FB">
      <w:pPr>
        <w:spacing w:line="360" w:lineRule="auto"/>
        <w:ind w:firstLine="560" w:firstLineChars="200"/>
        <w:rPr>
          <w:sz w:val="28"/>
          <w:szCs w:val="28"/>
        </w:rPr>
      </w:pPr>
      <w:r>
        <w:rPr>
          <w:rFonts w:hint="eastAsia"/>
          <w:sz w:val="28"/>
          <w:szCs w:val="28"/>
        </w:rPr>
        <w:t>矿山所产生的污水主要为生活污水，生活污水排放量小，成分简单，用于浇洒道路及绿化使用。预测矿区开采对地下水水质的影响较轻。</w:t>
      </w:r>
    </w:p>
    <w:p w14:paraId="5EB1DAAE">
      <w:pPr>
        <w:spacing w:line="360" w:lineRule="auto"/>
        <w:ind w:firstLine="560" w:firstLineChars="200"/>
        <w:rPr>
          <w:sz w:val="28"/>
          <w:szCs w:val="28"/>
        </w:rPr>
      </w:pPr>
      <w:r>
        <w:rPr>
          <w:rFonts w:hint="eastAsia"/>
          <w:sz w:val="28"/>
          <w:szCs w:val="28"/>
        </w:rPr>
        <w:t>综上所述，预测矿山开采对含水层结构的破坏程度较轻；矿坑疏干排水对含水层影响程度较轻；矿山开采不会影响矿区及附近居民生产生活用水；矿山开采对地下水水质的影响较轻。根据《矿山地质环境保护与恢复治理方案编制规范》（DZ/T 0223-2011）附录E，预测矿山开采对含水层破坏程度为较轻。</w:t>
      </w:r>
    </w:p>
    <w:p w14:paraId="681F1D66">
      <w:pPr>
        <w:spacing w:line="360" w:lineRule="auto"/>
        <w:ind w:firstLine="562" w:firstLineChars="200"/>
        <w:rPr>
          <w:b/>
          <w:bCs/>
          <w:sz w:val="28"/>
          <w:szCs w:val="28"/>
        </w:rPr>
      </w:pPr>
      <w:r>
        <w:rPr>
          <w:b/>
          <w:bCs/>
          <w:sz w:val="28"/>
          <w:szCs w:val="28"/>
        </w:rPr>
        <w:t>3、</w:t>
      </w:r>
      <w:r>
        <w:rPr>
          <w:b/>
          <w:bCs/>
          <w:snapToGrid w:val="0"/>
          <w:sz w:val="28"/>
          <w:szCs w:val="28"/>
        </w:rPr>
        <w:t>地形地貌景观破坏的预测</w:t>
      </w:r>
    </w:p>
    <w:p w14:paraId="0CB7CA3E">
      <w:pPr>
        <w:spacing w:line="360" w:lineRule="auto"/>
        <w:ind w:firstLine="560" w:firstLineChars="200"/>
        <w:rPr>
          <w:sz w:val="28"/>
          <w:szCs w:val="28"/>
        </w:rPr>
      </w:pPr>
      <w:r>
        <w:rPr>
          <w:bCs/>
          <w:sz w:val="28"/>
          <w:szCs w:val="28"/>
        </w:rPr>
        <w:t>矿山为</w:t>
      </w:r>
      <w:r>
        <w:rPr>
          <w:rFonts w:hint="eastAsia"/>
          <w:bCs/>
          <w:sz w:val="28"/>
          <w:szCs w:val="28"/>
        </w:rPr>
        <w:t>停产</w:t>
      </w:r>
      <w:r>
        <w:rPr>
          <w:bCs/>
          <w:sz w:val="28"/>
          <w:szCs w:val="28"/>
        </w:rPr>
        <w:t>矿山，《开发利用方案》设计矿山拟采用</w:t>
      </w:r>
      <w:r>
        <w:rPr>
          <w:rFonts w:hint="eastAsia"/>
          <w:bCs/>
          <w:sz w:val="28"/>
          <w:szCs w:val="28"/>
        </w:rPr>
        <w:t>露天</w:t>
      </w:r>
      <w:r>
        <w:rPr>
          <w:bCs/>
          <w:sz w:val="28"/>
          <w:szCs w:val="28"/>
        </w:rPr>
        <w:t>开采方式，</w:t>
      </w:r>
      <w:r>
        <w:rPr>
          <w:rFonts w:hint="eastAsia"/>
          <w:sz w:val="28"/>
          <w:szCs w:val="28"/>
        </w:rPr>
        <w:t>本次现状调查时，矿山已经有成熟的开采、生活配套设施，但建设位置与《开发利用方案》设计位置有较大差异，现状工业场地位置与《开发利用方案》设计的“采矿工业区”位置相差不大，</w:t>
      </w:r>
      <w:bookmarkStart w:id="108" w:name="_Hlk240477241"/>
      <w:r>
        <w:rPr>
          <w:rFonts w:hint="eastAsia"/>
          <w:sz w:val="28"/>
          <w:szCs w:val="28"/>
        </w:rPr>
        <w:t>矿山后续将继续沿用现状工业场地，矿山后续建设将新建排土场、新建办公生活区、新建截洪沟、新建矿区道路。</w:t>
      </w:r>
      <w:bookmarkEnd w:id="108"/>
    </w:p>
    <w:p w14:paraId="01D66D7E">
      <w:pPr>
        <w:adjustRightInd w:val="0"/>
        <w:snapToGrid w:val="0"/>
        <w:spacing w:line="360" w:lineRule="auto"/>
        <w:ind w:firstLine="560" w:firstLineChars="200"/>
        <w:rPr>
          <w:bCs/>
          <w:sz w:val="28"/>
          <w:szCs w:val="28"/>
        </w:rPr>
      </w:pPr>
      <w:r>
        <w:rPr>
          <w:rFonts w:hint="eastAsia"/>
          <w:sz w:val="28"/>
          <w:szCs w:val="28"/>
        </w:rPr>
        <w:t>因此，</w:t>
      </w:r>
      <w:r>
        <w:rPr>
          <w:rFonts w:hint="eastAsia"/>
          <w:bCs/>
          <w:sz w:val="28"/>
          <w:szCs w:val="28"/>
        </w:rPr>
        <w:t>生态修复预测受损问题的单元为：</w:t>
      </w:r>
      <w:r>
        <w:rPr>
          <w:rFonts w:hint="eastAsia"/>
          <w:sz w:val="28"/>
          <w:szCs w:val="28"/>
        </w:rPr>
        <w:t>拟建露天采场、拟建排土场、拟建办公生活区、</w:t>
      </w:r>
      <w:bookmarkStart w:id="109" w:name="OLE_LINK24"/>
      <w:r>
        <w:rPr>
          <w:rFonts w:hint="eastAsia"/>
          <w:sz w:val="28"/>
          <w:szCs w:val="28"/>
        </w:rPr>
        <w:t>拟建截洪沟</w:t>
      </w:r>
      <w:bookmarkEnd w:id="109"/>
      <w:r>
        <w:rPr>
          <w:rFonts w:hint="eastAsia"/>
          <w:sz w:val="28"/>
          <w:szCs w:val="28"/>
        </w:rPr>
        <w:t>、拟建矿区道路、露天采场（矿证外）、</w:t>
      </w:r>
      <w:r>
        <w:rPr>
          <w:rFonts w:hint="eastAsia"/>
          <w:snapToGrid w:val="0"/>
          <w:sz w:val="28"/>
          <w:szCs w:val="28"/>
        </w:rPr>
        <w:t>工业场地、废石场1、废石场2、废石场3、钻机平台、生活区、办公区、门卫、矿区道路</w:t>
      </w:r>
      <w:r>
        <w:rPr>
          <w:rFonts w:hint="eastAsia"/>
          <w:sz w:val="28"/>
          <w:szCs w:val="28"/>
        </w:rPr>
        <w:t>等。</w:t>
      </w:r>
    </w:p>
    <w:p w14:paraId="1A331A65">
      <w:pPr>
        <w:spacing w:line="360" w:lineRule="auto"/>
        <w:ind w:firstLine="560" w:firstLineChars="200"/>
        <w:rPr>
          <w:bCs/>
          <w:sz w:val="28"/>
          <w:szCs w:val="28"/>
        </w:rPr>
      </w:pPr>
      <w:r>
        <w:rPr>
          <w:bCs/>
          <w:sz w:val="28"/>
          <w:szCs w:val="28"/>
        </w:rPr>
        <w:t>根据《矿山地质环境保护与恢复治理方案编制规范》（DZ/T 0223-2011），参考国家和地方相关部门规定的划分标准，将地形地貌景观破坏程度等级数确定为3级标准，分别定为：一级（较轻）、二级（较严重）、三级（严重）。</w:t>
      </w:r>
    </w:p>
    <w:p w14:paraId="35886132">
      <w:pPr>
        <w:spacing w:line="360" w:lineRule="auto"/>
        <w:ind w:firstLine="560" w:firstLineChars="200"/>
        <w:rPr>
          <w:bCs/>
          <w:sz w:val="28"/>
          <w:szCs w:val="28"/>
        </w:rPr>
      </w:pPr>
      <w:r>
        <w:rPr>
          <w:bCs/>
          <w:sz w:val="28"/>
          <w:szCs w:val="28"/>
        </w:rPr>
        <w:t>工程场地地形地貌景观程度评价因素及等级标准见表3-</w:t>
      </w:r>
      <w:r>
        <w:rPr>
          <w:rFonts w:hint="eastAsia"/>
          <w:bCs/>
          <w:sz w:val="28"/>
          <w:szCs w:val="28"/>
        </w:rPr>
        <w:t>1</w:t>
      </w:r>
      <w:r>
        <w:rPr>
          <w:bCs/>
          <w:sz w:val="28"/>
          <w:szCs w:val="28"/>
        </w:rPr>
        <w:t>。根据表3-</w:t>
      </w:r>
      <w:r>
        <w:rPr>
          <w:rFonts w:hint="eastAsia"/>
          <w:bCs/>
          <w:sz w:val="28"/>
          <w:szCs w:val="28"/>
        </w:rPr>
        <w:t>1</w:t>
      </w:r>
      <w:r>
        <w:rPr>
          <w:bCs/>
          <w:sz w:val="28"/>
          <w:szCs w:val="28"/>
        </w:rPr>
        <w:t>、表3-</w:t>
      </w:r>
      <w:r>
        <w:rPr>
          <w:rFonts w:hint="eastAsia"/>
          <w:bCs/>
          <w:sz w:val="28"/>
          <w:szCs w:val="28"/>
        </w:rPr>
        <w:t>2</w:t>
      </w:r>
      <w:r>
        <w:rPr>
          <w:bCs/>
          <w:sz w:val="28"/>
          <w:szCs w:val="28"/>
        </w:rPr>
        <w:t>通过各项评估因子对评估区内各场地打分，并进行场地的地形地貌景观现状评估。分述如下：</w:t>
      </w:r>
    </w:p>
    <w:p w14:paraId="4C05971A">
      <w:pPr>
        <w:spacing w:line="360" w:lineRule="auto"/>
        <w:ind w:firstLine="562" w:firstLineChars="200"/>
        <w:rPr>
          <w:b/>
          <w:bCs/>
          <w:sz w:val="28"/>
          <w:szCs w:val="28"/>
        </w:rPr>
      </w:pPr>
      <w:r>
        <w:rPr>
          <w:b/>
          <w:bCs/>
          <w:sz w:val="28"/>
          <w:szCs w:val="28"/>
        </w:rPr>
        <w:t>（1）</w:t>
      </w:r>
      <w:r>
        <w:rPr>
          <w:rFonts w:hint="eastAsia"/>
          <w:b/>
          <w:bCs/>
          <w:sz w:val="28"/>
          <w:szCs w:val="28"/>
        </w:rPr>
        <w:t>拟建露天采场</w:t>
      </w:r>
    </w:p>
    <w:p w14:paraId="0D82956B">
      <w:pPr>
        <w:spacing w:line="360" w:lineRule="auto"/>
        <w:ind w:firstLine="560" w:firstLineChars="200"/>
        <w:contextualSpacing/>
        <w:rPr>
          <w:bCs/>
          <w:sz w:val="28"/>
          <w:szCs w:val="28"/>
        </w:rPr>
      </w:pPr>
      <w:r>
        <w:rPr>
          <w:rFonts w:hint="eastAsia"/>
          <w:bCs/>
          <w:sz w:val="28"/>
          <w:szCs w:val="28"/>
        </w:rPr>
        <w:t>拟建露天采场位于矿区范围内部，根据《开发利用方案》，露天采场南北长约</w:t>
      </w:r>
      <w:r>
        <w:rPr>
          <w:rFonts w:hint="eastAsia" w:ascii="宋体" w:hAnsi="宋体" w:cs="宋体"/>
          <w:spacing w:val="13"/>
          <w:sz w:val="32"/>
          <w:szCs w:val="32"/>
        </w:rPr>
        <w:t>***</w:t>
      </w:r>
      <w:r>
        <w:rPr>
          <w:rFonts w:hint="eastAsia"/>
          <w:bCs/>
          <w:sz w:val="28"/>
          <w:szCs w:val="28"/>
        </w:rPr>
        <w:t>m，东西宽</w:t>
      </w:r>
      <w:r>
        <w:rPr>
          <w:rFonts w:hint="eastAsia" w:ascii="宋体" w:hAnsi="宋体" w:cs="宋体"/>
          <w:spacing w:val="13"/>
          <w:sz w:val="32"/>
          <w:szCs w:val="32"/>
        </w:rPr>
        <w:t>***</w:t>
      </w:r>
      <w:r>
        <w:rPr>
          <w:rFonts w:hint="eastAsia"/>
          <w:bCs/>
          <w:sz w:val="28"/>
          <w:szCs w:val="28"/>
        </w:rPr>
        <w:t>～</w:t>
      </w:r>
      <w:r>
        <w:rPr>
          <w:rFonts w:hint="eastAsia" w:ascii="宋体" w:hAnsi="宋体" w:cs="宋体"/>
          <w:spacing w:val="13"/>
          <w:sz w:val="32"/>
          <w:szCs w:val="32"/>
        </w:rPr>
        <w:t>***</w:t>
      </w:r>
      <w:r>
        <w:rPr>
          <w:rFonts w:hint="eastAsia"/>
          <w:bCs/>
          <w:sz w:val="28"/>
          <w:szCs w:val="28"/>
        </w:rPr>
        <w:t>m。占地面积</w:t>
      </w:r>
      <w:r>
        <w:rPr>
          <w:rFonts w:hint="eastAsia" w:ascii="宋体" w:hAnsi="宋体" w:cs="宋体"/>
          <w:spacing w:val="13"/>
          <w:sz w:val="32"/>
          <w:szCs w:val="32"/>
        </w:rPr>
        <w:t>***</w:t>
      </w:r>
      <w:r>
        <w:rPr>
          <w:rFonts w:hint="eastAsia"/>
          <w:bCs/>
          <w:sz w:val="28"/>
          <w:szCs w:val="28"/>
        </w:rPr>
        <w:t>m</w:t>
      </w:r>
      <w:r>
        <w:rPr>
          <w:rFonts w:hint="eastAsia"/>
          <w:bCs/>
          <w:sz w:val="28"/>
          <w:szCs w:val="28"/>
          <w:vertAlign w:val="superscript"/>
        </w:rPr>
        <w:t>2</w:t>
      </w:r>
      <w:r>
        <w:rPr>
          <w:rFonts w:hint="eastAsia"/>
          <w:bCs/>
          <w:sz w:val="28"/>
          <w:szCs w:val="28"/>
        </w:rPr>
        <w:t>，采场平面上呈不规则的椭圆状。设计开采标高</w:t>
      </w:r>
      <w:r>
        <w:rPr>
          <w:rFonts w:hint="eastAsia" w:ascii="宋体" w:hAnsi="宋体" w:cs="宋体"/>
          <w:spacing w:val="13"/>
          <w:sz w:val="32"/>
          <w:szCs w:val="32"/>
        </w:rPr>
        <w:t>***</w:t>
      </w:r>
      <w:r>
        <w:rPr>
          <w:rFonts w:hint="eastAsia"/>
          <w:bCs/>
          <w:sz w:val="28"/>
          <w:szCs w:val="28"/>
        </w:rPr>
        <w:t>m自至</w:t>
      </w:r>
      <w:r>
        <w:rPr>
          <w:rFonts w:hint="eastAsia" w:ascii="宋体" w:hAnsi="宋体" w:cs="宋体"/>
          <w:spacing w:val="13"/>
          <w:sz w:val="32"/>
          <w:szCs w:val="32"/>
        </w:rPr>
        <w:t>***</w:t>
      </w:r>
      <w:r>
        <w:rPr>
          <w:rFonts w:hint="eastAsia"/>
          <w:bCs/>
          <w:sz w:val="28"/>
          <w:szCs w:val="28"/>
        </w:rPr>
        <w:t>m，采高</w:t>
      </w:r>
      <w:r>
        <w:rPr>
          <w:rFonts w:hint="eastAsia" w:ascii="宋体" w:hAnsi="宋体" w:cs="宋体"/>
          <w:spacing w:val="13"/>
          <w:sz w:val="32"/>
          <w:szCs w:val="32"/>
        </w:rPr>
        <w:t>***</w:t>
      </w:r>
      <w:r>
        <w:rPr>
          <w:rFonts w:hint="eastAsia"/>
          <w:bCs/>
          <w:sz w:val="28"/>
          <w:szCs w:val="28"/>
        </w:rPr>
        <w:t>m，</w:t>
      </w:r>
      <w:r>
        <w:rPr>
          <w:bCs/>
          <w:sz w:val="28"/>
          <w:szCs w:val="28"/>
        </w:rPr>
        <w:t>开采台阶高度为</w:t>
      </w:r>
      <w:r>
        <w:rPr>
          <w:rFonts w:hint="eastAsia" w:ascii="宋体" w:hAnsi="宋体" w:cs="宋体"/>
          <w:spacing w:val="13"/>
          <w:sz w:val="32"/>
          <w:szCs w:val="32"/>
        </w:rPr>
        <w:t>***</w:t>
      </w:r>
      <w:r>
        <w:rPr>
          <w:bCs/>
          <w:sz w:val="28"/>
          <w:szCs w:val="28"/>
        </w:rPr>
        <w:t>m。共分为8个剥采水平，分别为</w:t>
      </w:r>
      <w:r>
        <w:rPr>
          <w:rFonts w:hint="eastAsia" w:ascii="宋体" w:hAnsi="宋体" w:cs="宋体"/>
          <w:spacing w:val="13"/>
          <w:sz w:val="32"/>
          <w:szCs w:val="32"/>
        </w:rPr>
        <w:t>***</w:t>
      </w:r>
      <w:r>
        <w:rPr>
          <w:bCs/>
          <w:sz w:val="28"/>
          <w:szCs w:val="28"/>
        </w:rPr>
        <w:t>m、</w:t>
      </w:r>
      <w:r>
        <w:rPr>
          <w:rFonts w:hint="eastAsia" w:ascii="宋体" w:hAnsi="宋体" w:cs="宋体"/>
          <w:spacing w:val="13"/>
          <w:sz w:val="32"/>
          <w:szCs w:val="32"/>
        </w:rPr>
        <w:t>***</w:t>
      </w:r>
      <w:r>
        <w:rPr>
          <w:bCs/>
          <w:sz w:val="28"/>
          <w:szCs w:val="28"/>
        </w:rPr>
        <w:t>m、</w:t>
      </w:r>
      <w:r>
        <w:rPr>
          <w:rFonts w:hint="eastAsia" w:ascii="宋体" w:hAnsi="宋体" w:cs="宋体"/>
          <w:spacing w:val="13"/>
          <w:sz w:val="32"/>
          <w:szCs w:val="32"/>
        </w:rPr>
        <w:t>***</w:t>
      </w:r>
      <w:r>
        <w:rPr>
          <w:bCs/>
          <w:sz w:val="28"/>
          <w:szCs w:val="28"/>
        </w:rPr>
        <w:t>m、</w:t>
      </w:r>
      <w:r>
        <w:rPr>
          <w:rFonts w:hint="eastAsia" w:ascii="宋体" w:hAnsi="宋体" w:cs="宋体"/>
          <w:spacing w:val="13"/>
          <w:sz w:val="32"/>
          <w:szCs w:val="32"/>
        </w:rPr>
        <w:t>***</w:t>
      </w:r>
      <w:r>
        <w:rPr>
          <w:bCs/>
          <w:sz w:val="28"/>
          <w:szCs w:val="28"/>
        </w:rPr>
        <w:t>m、</w:t>
      </w:r>
      <w:r>
        <w:rPr>
          <w:rFonts w:hint="eastAsia" w:ascii="宋体" w:hAnsi="宋体" w:cs="宋体"/>
          <w:spacing w:val="13"/>
          <w:sz w:val="32"/>
          <w:szCs w:val="32"/>
        </w:rPr>
        <w:t>***</w:t>
      </w:r>
      <w:r>
        <w:rPr>
          <w:bCs/>
          <w:sz w:val="28"/>
          <w:szCs w:val="28"/>
        </w:rPr>
        <w:t>m、</w:t>
      </w:r>
      <w:r>
        <w:rPr>
          <w:rFonts w:hint="eastAsia" w:ascii="宋体" w:hAnsi="宋体" w:cs="宋体"/>
          <w:spacing w:val="13"/>
          <w:sz w:val="32"/>
          <w:szCs w:val="32"/>
        </w:rPr>
        <w:t>***</w:t>
      </w:r>
      <w:r>
        <w:rPr>
          <w:bCs/>
          <w:sz w:val="28"/>
          <w:szCs w:val="28"/>
        </w:rPr>
        <w:t>m、</w:t>
      </w:r>
      <w:r>
        <w:rPr>
          <w:rFonts w:hint="eastAsia" w:ascii="宋体" w:hAnsi="宋体" w:cs="宋体"/>
          <w:spacing w:val="13"/>
          <w:sz w:val="32"/>
          <w:szCs w:val="32"/>
        </w:rPr>
        <w:t>***</w:t>
      </w:r>
      <w:r>
        <w:rPr>
          <w:bCs/>
          <w:sz w:val="28"/>
          <w:szCs w:val="28"/>
        </w:rPr>
        <w:t>m水平。</w:t>
      </w:r>
      <w:r>
        <w:rPr>
          <w:rFonts w:hint="eastAsia"/>
          <w:bCs/>
          <w:sz w:val="28"/>
          <w:szCs w:val="28"/>
        </w:rPr>
        <w:t>最终边坡采用两个阶段进行并段，并段后最终台阶坡面角</w:t>
      </w:r>
      <w:r>
        <w:rPr>
          <w:rFonts w:hint="eastAsia" w:ascii="宋体" w:hAnsi="宋体" w:cs="宋体"/>
          <w:spacing w:val="13"/>
          <w:sz w:val="32"/>
          <w:szCs w:val="32"/>
        </w:rPr>
        <w:t>***</w:t>
      </w:r>
      <w:r>
        <w:rPr>
          <w:rFonts w:hint="eastAsia"/>
          <w:bCs/>
          <w:sz w:val="28"/>
          <w:szCs w:val="28"/>
        </w:rPr>
        <w:t>°，最终帮坡角</w:t>
      </w:r>
      <w:r>
        <w:rPr>
          <w:rFonts w:hint="eastAsia" w:ascii="宋体" w:hAnsi="宋体" w:cs="宋体"/>
          <w:spacing w:val="13"/>
          <w:sz w:val="32"/>
          <w:szCs w:val="32"/>
        </w:rPr>
        <w:t>***</w:t>
      </w:r>
      <w:r>
        <w:rPr>
          <w:rFonts w:hint="eastAsia"/>
          <w:bCs/>
          <w:sz w:val="28"/>
          <w:szCs w:val="28"/>
        </w:rPr>
        <w:t>°，安全平台宽</w:t>
      </w:r>
      <w:r>
        <w:rPr>
          <w:rFonts w:hint="eastAsia" w:ascii="宋体" w:hAnsi="宋体" w:cs="宋体"/>
          <w:spacing w:val="13"/>
          <w:sz w:val="32"/>
          <w:szCs w:val="32"/>
        </w:rPr>
        <w:t>***</w:t>
      </w:r>
      <w:r>
        <w:rPr>
          <w:rFonts w:hint="eastAsia"/>
          <w:bCs/>
          <w:sz w:val="28"/>
          <w:szCs w:val="28"/>
        </w:rPr>
        <w:t>m，清扫平台</w:t>
      </w:r>
      <w:r>
        <w:rPr>
          <w:rFonts w:hint="eastAsia" w:ascii="宋体" w:hAnsi="宋体" w:cs="宋体"/>
          <w:spacing w:val="13"/>
          <w:sz w:val="32"/>
          <w:szCs w:val="32"/>
        </w:rPr>
        <w:t>***</w:t>
      </w:r>
      <w:r>
        <w:rPr>
          <w:rFonts w:hint="eastAsia"/>
          <w:bCs/>
          <w:sz w:val="28"/>
          <w:szCs w:val="28"/>
        </w:rPr>
        <w:t>m（人工清扫），公路运输平台宽</w:t>
      </w:r>
      <w:r>
        <w:rPr>
          <w:rFonts w:hint="eastAsia" w:ascii="宋体" w:hAnsi="宋体" w:cs="宋体"/>
          <w:spacing w:val="13"/>
          <w:sz w:val="32"/>
          <w:szCs w:val="32"/>
        </w:rPr>
        <w:t>***</w:t>
      </w:r>
      <w:r>
        <w:rPr>
          <w:rFonts w:hint="eastAsia"/>
          <w:bCs/>
          <w:sz w:val="28"/>
          <w:szCs w:val="28"/>
        </w:rPr>
        <w:t>m。</w:t>
      </w:r>
      <w:r>
        <w:rPr>
          <w:sz w:val="28"/>
          <w:szCs w:val="28"/>
        </w:rPr>
        <w:t>采坑开挖破坏了地表形态与植被，破坏了地形地貌景观，与周围景观不协调，对地形地貌景观影响程度为严重。</w:t>
      </w:r>
    </w:p>
    <w:p w14:paraId="65AADC98">
      <w:pPr>
        <w:widowControl/>
        <w:contextualSpacing/>
        <w:jc w:val="center"/>
        <w:rPr>
          <w:rFonts w:eastAsia="黑体"/>
          <w:kern w:val="0"/>
          <w:sz w:val="24"/>
          <w:szCs w:val="24"/>
        </w:rPr>
      </w:pPr>
      <w:r>
        <w:rPr>
          <w:rFonts w:eastAsia="黑体"/>
          <w:kern w:val="0"/>
          <w:sz w:val="24"/>
          <w:szCs w:val="24"/>
        </w:rPr>
        <w:t>表3-</w:t>
      </w:r>
      <w:r>
        <w:rPr>
          <w:rFonts w:hint="eastAsia" w:eastAsia="黑体"/>
          <w:kern w:val="0"/>
          <w:sz w:val="24"/>
          <w:szCs w:val="24"/>
        </w:rPr>
        <w:t>31</w:t>
      </w:r>
      <w:r>
        <w:rPr>
          <w:rFonts w:eastAsia="黑体"/>
          <w:kern w:val="0"/>
          <w:sz w:val="24"/>
          <w:szCs w:val="24"/>
        </w:rPr>
        <w:t xml:space="preserve">  地形地貌景观破坏程度评价表</w:t>
      </w:r>
    </w:p>
    <w:p w14:paraId="66DDB24C">
      <w:pPr>
        <w:widowControl/>
        <w:spacing w:line="360" w:lineRule="auto"/>
        <w:ind w:firstLine="260"/>
        <w:jc w:val="left"/>
        <w:rPr>
          <w:kern w:val="0"/>
          <w:sz w:val="13"/>
          <w:szCs w:val="8"/>
        </w:rPr>
      </w:pPr>
    </w:p>
    <w:p w14:paraId="620DE9D8">
      <w:pPr>
        <w:spacing w:line="360" w:lineRule="auto"/>
        <w:ind w:firstLine="562" w:firstLineChars="200"/>
        <w:contextualSpacing/>
        <w:rPr>
          <w:b/>
          <w:bCs/>
          <w:kern w:val="0"/>
          <w:sz w:val="28"/>
          <w:szCs w:val="24"/>
        </w:rPr>
      </w:pPr>
      <w:r>
        <w:rPr>
          <w:rFonts w:hint="eastAsia"/>
          <w:b/>
          <w:bCs/>
          <w:kern w:val="0"/>
          <w:sz w:val="28"/>
          <w:szCs w:val="24"/>
        </w:rPr>
        <w:t>（2）拟建排土场</w:t>
      </w:r>
    </w:p>
    <w:p w14:paraId="4AD0F44F">
      <w:pPr>
        <w:spacing w:line="360" w:lineRule="auto"/>
        <w:ind w:firstLine="560" w:firstLineChars="200"/>
        <w:contextualSpacing/>
        <w:rPr>
          <w:kern w:val="0"/>
          <w:sz w:val="28"/>
          <w:szCs w:val="24"/>
        </w:rPr>
      </w:pPr>
      <w:r>
        <w:rPr>
          <w:rFonts w:hint="eastAsia"/>
          <w:bCs/>
          <w:sz w:val="28"/>
          <w:szCs w:val="28"/>
        </w:rPr>
        <w:t>根据《开发利用方案》，</w:t>
      </w:r>
      <w:r>
        <w:rPr>
          <w:rFonts w:hint="eastAsia"/>
          <w:sz w:val="28"/>
          <w:szCs w:val="28"/>
        </w:rPr>
        <w:t>拟建排放场布置在露天采场南侧80m处，</w:t>
      </w:r>
      <w:r>
        <w:rPr>
          <w:bCs/>
          <w:sz w:val="28"/>
          <w:szCs w:val="28"/>
        </w:rPr>
        <w:t>面积约为</w:t>
      </w:r>
      <w:r>
        <w:rPr>
          <w:rFonts w:hint="eastAsia" w:ascii="宋体" w:hAnsi="宋体" w:cs="宋体"/>
          <w:spacing w:val="13"/>
          <w:sz w:val="32"/>
          <w:szCs w:val="32"/>
        </w:rPr>
        <w:t>***</w:t>
      </w:r>
      <w:r>
        <w:rPr>
          <w:bCs/>
          <w:sz w:val="28"/>
          <w:szCs w:val="28"/>
        </w:rPr>
        <w:t>m</w:t>
      </w:r>
      <w:r>
        <w:rPr>
          <w:bCs/>
          <w:sz w:val="28"/>
          <w:szCs w:val="28"/>
          <w:vertAlign w:val="superscript"/>
        </w:rPr>
        <w:t>2</w:t>
      </w:r>
      <w:r>
        <w:rPr>
          <w:bCs/>
          <w:sz w:val="28"/>
          <w:szCs w:val="28"/>
        </w:rPr>
        <w:t>，容积约为</w:t>
      </w:r>
      <w:r>
        <w:rPr>
          <w:rFonts w:hint="eastAsia" w:ascii="宋体" w:hAnsi="宋体" w:cs="宋体"/>
          <w:spacing w:val="13"/>
          <w:sz w:val="32"/>
          <w:szCs w:val="32"/>
        </w:rPr>
        <w:t>***</w:t>
      </w:r>
      <w:r>
        <w:rPr>
          <w:bCs/>
          <w:sz w:val="28"/>
          <w:szCs w:val="28"/>
        </w:rPr>
        <w:t>m</w:t>
      </w:r>
      <w:r>
        <w:rPr>
          <w:bCs/>
          <w:sz w:val="28"/>
          <w:szCs w:val="28"/>
          <w:vertAlign w:val="superscript"/>
        </w:rPr>
        <w:t>3</w:t>
      </w:r>
      <w:r>
        <w:rPr>
          <w:bCs/>
          <w:sz w:val="28"/>
          <w:szCs w:val="28"/>
        </w:rPr>
        <w:t>。</w:t>
      </w:r>
      <w:r>
        <w:rPr>
          <w:rFonts w:hint="eastAsia"/>
          <w:bCs/>
          <w:sz w:val="28"/>
          <w:szCs w:val="28"/>
        </w:rPr>
        <w:t>总高度约</w:t>
      </w:r>
      <w:r>
        <w:rPr>
          <w:rFonts w:hint="eastAsia" w:ascii="宋体" w:hAnsi="宋体" w:cs="宋体"/>
          <w:spacing w:val="13"/>
          <w:sz w:val="32"/>
          <w:szCs w:val="32"/>
        </w:rPr>
        <w:t>***</w:t>
      </w:r>
      <w:r>
        <w:rPr>
          <w:rFonts w:hint="eastAsia"/>
          <w:bCs/>
          <w:sz w:val="28"/>
          <w:szCs w:val="28"/>
        </w:rPr>
        <w:t>m，堆放坡角约</w:t>
      </w:r>
      <w:r>
        <w:rPr>
          <w:rFonts w:hint="eastAsia" w:ascii="宋体" w:hAnsi="宋体" w:cs="宋体"/>
          <w:spacing w:val="13"/>
          <w:sz w:val="32"/>
          <w:szCs w:val="32"/>
        </w:rPr>
        <w:t>***</w:t>
      </w:r>
      <w:r>
        <w:rPr>
          <w:rFonts w:hint="eastAsia"/>
          <w:bCs/>
          <w:sz w:val="28"/>
          <w:szCs w:val="28"/>
        </w:rPr>
        <w:t>°。</w:t>
      </w:r>
      <w:r>
        <w:rPr>
          <w:sz w:val="28"/>
          <w:szCs w:val="28"/>
        </w:rPr>
        <w:t>该场地的</w:t>
      </w:r>
      <w:r>
        <w:rPr>
          <w:rFonts w:hint="eastAsia"/>
          <w:sz w:val="28"/>
          <w:szCs w:val="28"/>
        </w:rPr>
        <w:t>堆放废石</w:t>
      </w:r>
      <w:r>
        <w:rPr>
          <w:sz w:val="28"/>
          <w:szCs w:val="28"/>
        </w:rPr>
        <w:t>破坏了原始地形地貌景观及植被，</w:t>
      </w:r>
      <w:r>
        <w:rPr>
          <w:rFonts w:hint="eastAsia"/>
          <w:sz w:val="28"/>
          <w:szCs w:val="28"/>
        </w:rPr>
        <w:t>预测</w:t>
      </w:r>
      <w:r>
        <w:rPr>
          <w:sz w:val="28"/>
          <w:szCs w:val="28"/>
        </w:rPr>
        <w:t>评估场地对地形地貌景观影响程度为较严重。</w:t>
      </w:r>
    </w:p>
    <w:p w14:paraId="4D3969AB">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32</w:t>
      </w:r>
      <w:r>
        <w:rPr>
          <w:rFonts w:eastAsia="黑体"/>
          <w:bCs/>
          <w:sz w:val="24"/>
          <w:szCs w:val="24"/>
        </w:rPr>
        <w:t xml:space="preserve">   地形地貌景观影响评分表</w:t>
      </w:r>
    </w:p>
    <w:p w14:paraId="2E979F56">
      <w:pPr>
        <w:tabs>
          <w:tab w:val="left" w:pos="6120"/>
        </w:tabs>
        <w:jc w:val="center"/>
        <w:rPr>
          <w:color w:val="000000"/>
          <w:w w:val="85"/>
          <w:sz w:val="20"/>
        </w:rPr>
      </w:pPr>
    </w:p>
    <w:p w14:paraId="09C87465">
      <w:pPr>
        <w:spacing w:line="360" w:lineRule="auto"/>
        <w:ind w:firstLine="562" w:firstLineChars="200"/>
        <w:contextualSpacing/>
        <w:rPr>
          <w:b/>
          <w:bCs/>
          <w:kern w:val="0"/>
          <w:sz w:val="28"/>
          <w:szCs w:val="24"/>
        </w:rPr>
      </w:pPr>
      <w:r>
        <w:rPr>
          <w:rFonts w:hint="eastAsia"/>
          <w:b/>
          <w:bCs/>
          <w:kern w:val="0"/>
          <w:sz w:val="28"/>
          <w:szCs w:val="24"/>
        </w:rPr>
        <w:t>（3）拟建办公生活区</w:t>
      </w:r>
    </w:p>
    <w:p w14:paraId="6A260B79">
      <w:pPr>
        <w:spacing w:line="360" w:lineRule="auto"/>
        <w:ind w:firstLine="560" w:firstLineChars="200"/>
        <w:contextualSpacing/>
        <w:rPr>
          <w:kern w:val="0"/>
          <w:sz w:val="28"/>
          <w:szCs w:val="24"/>
        </w:rPr>
      </w:pPr>
      <w:r>
        <w:rPr>
          <w:rFonts w:hint="eastAsia"/>
          <w:bCs/>
          <w:sz w:val="28"/>
          <w:szCs w:val="28"/>
        </w:rPr>
        <w:t>根据《开发利用方案》，</w:t>
      </w:r>
      <w:r>
        <w:rPr>
          <w:bCs/>
          <w:sz w:val="28"/>
          <w:szCs w:val="28"/>
        </w:rPr>
        <w:t>办公生活区布置在</w:t>
      </w:r>
      <w:r>
        <w:rPr>
          <w:rFonts w:hint="eastAsia"/>
          <w:bCs/>
          <w:sz w:val="28"/>
          <w:szCs w:val="28"/>
        </w:rPr>
        <w:t>工业场地西</w:t>
      </w:r>
      <w:r>
        <w:rPr>
          <w:bCs/>
          <w:sz w:val="28"/>
          <w:szCs w:val="28"/>
        </w:rPr>
        <w:t>侧 (爆破安全警戒线以外)，面积约为</w:t>
      </w:r>
      <w:r>
        <w:rPr>
          <w:rFonts w:hint="eastAsia" w:ascii="宋体" w:hAnsi="宋体" w:cs="宋体"/>
          <w:spacing w:val="13"/>
          <w:sz w:val="32"/>
          <w:szCs w:val="32"/>
        </w:rPr>
        <w:t>***</w:t>
      </w:r>
      <w:r>
        <w:rPr>
          <w:bCs/>
          <w:sz w:val="28"/>
          <w:szCs w:val="28"/>
        </w:rPr>
        <w:t>m</w:t>
      </w:r>
      <w:r>
        <w:rPr>
          <w:bCs/>
          <w:sz w:val="28"/>
          <w:szCs w:val="28"/>
          <w:vertAlign w:val="superscript"/>
        </w:rPr>
        <w:t>2</w:t>
      </w:r>
      <w:r>
        <w:rPr>
          <w:bCs/>
          <w:sz w:val="28"/>
          <w:szCs w:val="28"/>
        </w:rPr>
        <w:t>，办公生活区内设有办公室、宿舍、食堂等。</w:t>
      </w:r>
      <w:r>
        <w:rPr>
          <w:sz w:val="28"/>
          <w:szCs w:val="28"/>
        </w:rPr>
        <w:t>该场地的建设破坏了原始地形地貌景观及植被，</w:t>
      </w:r>
      <w:r>
        <w:rPr>
          <w:rFonts w:hint="eastAsia"/>
          <w:sz w:val="28"/>
          <w:szCs w:val="28"/>
        </w:rPr>
        <w:t>预测</w:t>
      </w:r>
      <w:r>
        <w:rPr>
          <w:sz w:val="28"/>
          <w:szCs w:val="28"/>
        </w:rPr>
        <w:t>评估场地对地形地貌景观影响程度为较严重。</w:t>
      </w:r>
    </w:p>
    <w:p w14:paraId="5093176B">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33</w:t>
      </w:r>
      <w:r>
        <w:rPr>
          <w:rFonts w:eastAsia="黑体"/>
          <w:bCs/>
          <w:sz w:val="24"/>
          <w:szCs w:val="24"/>
        </w:rPr>
        <w:t xml:space="preserve">   地形地貌景观影响评分表</w:t>
      </w:r>
    </w:p>
    <w:p w14:paraId="35F64461">
      <w:pPr>
        <w:tabs>
          <w:tab w:val="left" w:pos="6120"/>
        </w:tabs>
        <w:jc w:val="center"/>
        <w:rPr>
          <w:color w:val="000000"/>
          <w:w w:val="85"/>
          <w:sz w:val="20"/>
        </w:rPr>
      </w:pPr>
    </w:p>
    <w:p w14:paraId="43AA1547">
      <w:pPr>
        <w:spacing w:line="360" w:lineRule="auto"/>
        <w:ind w:firstLine="562" w:firstLineChars="200"/>
        <w:contextualSpacing/>
        <w:rPr>
          <w:b/>
          <w:bCs/>
          <w:kern w:val="0"/>
          <w:sz w:val="28"/>
          <w:szCs w:val="24"/>
        </w:rPr>
      </w:pPr>
      <w:bookmarkStart w:id="110" w:name="OLE_LINK28"/>
      <w:r>
        <w:rPr>
          <w:rFonts w:hint="eastAsia"/>
          <w:b/>
          <w:bCs/>
          <w:kern w:val="0"/>
          <w:sz w:val="28"/>
          <w:szCs w:val="24"/>
        </w:rPr>
        <w:t>（4）拟建截洪沟</w:t>
      </w:r>
    </w:p>
    <w:bookmarkEnd w:id="110"/>
    <w:p w14:paraId="6EFF2F0A">
      <w:pPr>
        <w:spacing w:line="360" w:lineRule="auto"/>
        <w:ind w:firstLine="560" w:firstLineChars="200"/>
        <w:contextualSpacing/>
        <w:rPr>
          <w:kern w:val="0"/>
          <w:sz w:val="28"/>
          <w:szCs w:val="24"/>
        </w:rPr>
      </w:pPr>
      <w:r>
        <w:rPr>
          <w:rFonts w:hint="eastAsia"/>
          <w:bCs/>
          <w:sz w:val="28"/>
          <w:szCs w:val="28"/>
        </w:rPr>
        <w:t>根据《开发利用方案》，截洪沟</w:t>
      </w:r>
      <w:r>
        <w:rPr>
          <w:bCs/>
          <w:sz w:val="28"/>
          <w:szCs w:val="28"/>
        </w:rPr>
        <w:t>布置在</w:t>
      </w:r>
      <w:r>
        <w:rPr>
          <w:rFonts w:hint="eastAsia"/>
          <w:bCs/>
          <w:sz w:val="28"/>
          <w:szCs w:val="28"/>
        </w:rPr>
        <w:t>矿区外东北西</w:t>
      </w:r>
      <w:r>
        <w:rPr>
          <w:bCs/>
          <w:sz w:val="28"/>
          <w:szCs w:val="28"/>
        </w:rPr>
        <w:t>侧，面积约为</w:t>
      </w:r>
      <w:r>
        <w:rPr>
          <w:rFonts w:hint="eastAsia" w:ascii="宋体" w:hAnsi="宋体" w:cs="宋体"/>
          <w:spacing w:val="13"/>
          <w:sz w:val="32"/>
          <w:szCs w:val="32"/>
        </w:rPr>
        <w:t>***</w:t>
      </w:r>
      <w:r>
        <w:rPr>
          <w:bCs/>
          <w:sz w:val="28"/>
          <w:szCs w:val="28"/>
        </w:rPr>
        <w:t>m</w:t>
      </w:r>
      <w:r>
        <w:rPr>
          <w:bCs/>
          <w:sz w:val="28"/>
          <w:szCs w:val="28"/>
          <w:vertAlign w:val="superscript"/>
        </w:rPr>
        <w:t>2</w:t>
      </w:r>
      <w:r>
        <w:rPr>
          <w:bCs/>
          <w:sz w:val="28"/>
          <w:szCs w:val="28"/>
        </w:rPr>
        <w:t>，</w:t>
      </w:r>
      <w:r>
        <w:rPr>
          <w:rFonts w:hint="eastAsia"/>
          <w:bCs/>
          <w:sz w:val="28"/>
          <w:szCs w:val="28"/>
        </w:rPr>
        <w:t>挖损深度约</w:t>
      </w:r>
      <w:r>
        <w:rPr>
          <w:rFonts w:hint="eastAsia" w:ascii="宋体" w:hAnsi="宋体" w:cs="宋体"/>
          <w:spacing w:val="13"/>
          <w:sz w:val="32"/>
          <w:szCs w:val="32"/>
        </w:rPr>
        <w:t>***</w:t>
      </w:r>
      <w:r>
        <w:rPr>
          <w:rFonts w:hint="eastAsia"/>
          <w:bCs/>
          <w:sz w:val="28"/>
          <w:szCs w:val="28"/>
        </w:rPr>
        <w:t>m，</w:t>
      </w:r>
      <w:r>
        <w:rPr>
          <w:sz w:val="28"/>
          <w:szCs w:val="28"/>
        </w:rPr>
        <w:t>该场地开挖破坏了地表形态与植被，破坏了地形地貌景观，与周围景观不协调，对地形地貌景观影响程度为</w:t>
      </w:r>
      <w:r>
        <w:rPr>
          <w:rFonts w:hint="eastAsia"/>
          <w:sz w:val="28"/>
          <w:szCs w:val="28"/>
        </w:rPr>
        <w:t>较</w:t>
      </w:r>
      <w:r>
        <w:rPr>
          <w:sz w:val="28"/>
          <w:szCs w:val="28"/>
        </w:rPr>
        <w:t>严重。</w:t>
      </w:r>
    </w:p>
    <w:p w14:paraId="4EBC8233">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34</w:t>
      </w:r>
      <w:r>
        <w:rPr>
          <w:rFonts w:eastAsia="黑体"/>
          <w:bCs/>
          <w:sz w:val="24"/>
          <w:szCs w:val="24"/>
        </w:rPr>
        <w:t xml:space="preserve">   地形地貌景观影响评分表</w:t>
      </w:r>
    </w:p>
    <w:p w14:paraId="30DBCA33">
      <w:pPr>
        <w:tabs>
          <w:tab w:val="left" w:pos="6120"/>
        </w:tabs>
        <w:jc w:val="center"/>
        <w:rPr>
          <w:color w:val="000000"/>
          <w:w w:val="85"/>
          <w:sz w:val="20"/>
        </w:rPr>
      </w:pPr>
    </w:p>
    <w:p w14:paraId="7AE8E10A">
      <w:pPr>
        <w:spacing w:line="360" w:lineRule="auto"/>
        <w:ind w:firstLine="562" w:firstLineChars="200"/>
        <w:contextualSpacing/>
        <w:rPr>
          <w:b/>
          <w:bCs/>
          <w:kern w:val="0"/>
          <w:sz w:val="28"/>
          <w:szCs w:val="24"/>
        </w:rPr>
      </w:pPr>
      <w:r>
        <w:rPr>
          <w:rFonts w:hint="eastAsia"/>
          <w:b/>
          <w:bCs/>
          <w:kern w:val="0"/>
          <w:sz w:val="28"/>
          <w:szCs w:val="24"/>
        </w:rPr>
        <w:t>（5）拟建矿区道路</w:t>
      </w:r>
    </w:p>
    <w:p w14:paraId="530E26A8">
      <w:pPr>
        <w:spacing w:line="360" w:lineRule="auto"/>
        <w:ind w:firstLine="560" w:firstLineChars="200"/>
        <w:contextualSpacing/>
        <w:rPr>
          <w:kern w:val="0"/>
          <w:sz w:val="28"/>
          <w:szCs w:val="24"/>
        </w:rPr>
      </w:pPr>
      <w:r>
        <w:rPr>
          <w:rFonts w:hint="eastAsia"/>
          <w:sz w:val="28"/>
          <w:szCs w:val="28"/>
        </w:rPr>
        <w:t>拟建</w:t>
      </w:r>
      <w:r>
        <w:rPr>
          <w:sz w:val="28"/>
          <w:szCs w:val="28"/>
        </w:rPr>
        <w:t>矿区道路连接项目区各工程单元，总长</w:t>
      </w:r>
      <w:r>
        <w:rPr>
          <w:rFonts w:hint="eastAsia" w:ascii="宋体" w:hAnsi="宋体" w:cs="宋体"/>
          <w:spacing w:val="13"/>
          <w:sz w:val="32"/>
          <w:szCs w:val="32"/>
        </w:rPr>
        <w:t>***</w:t>
      </w:r>
      <w:r>
        <w:rPr>
          <w:sz w:val="28"/>
          <w:szCs w:val="28"/>
        </w:rPr>
        <w:t>m，道路宽约</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m，损毁、压占土地面积为</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。该场地的建设破坏了原始地形地貌景观及植被，</w:t>
      </w:r>
      <w:r>
        <w:rPr>
          <w:rFonts w:hint="eastAsia"/>
          <w:sz w:val="28"/>
          <w:szCs w:val="28"/>
        </w:rPr>
        <w:t>预测</w:t>
      </w:r>
      <w:r>
        <w:rPr>
          <w:sz w:val="28"/>
          <w:szCs w:val="28"/>
        </w:rPr>
        <w:t>评估场地对地形地貌景观影响程度为较严重。</w:t>
      </w:r>
    </w:p>
    <w:p w14:paraId="60EDD5C5">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35</w:t>
      </w:r>
      <w:r>
        <w:rPr>
          <w:rFonts w:eastAsia="黑体"/>
          <w:bCs/>
          <w:sz w:val="24"/>
          <w:szCs w:val="24"/>
        </w:rPr>
        <w:t xml:space="preserve">   地形地貌景观影响评分表</w:t>
      </w:r>
    </w:p>
    <w:p w14:paraId="1F2EBF22">
      <w:pPr>
        <w:tabs>
          <w:tab w:val="left" w:pos="6120"/>
        </w:tabs>
        <w:jc w:val="center"/>
        <w:rPr>
          <w:color w:val="000000"/>
          <w:w w:val="85"/>
          <w:sz w:val="20"/>
        </w:rPr>
      </w:pPr>
    </w:p>
    <w:p w14:paraId="5F6749A6">
      <w:pPr>
        <w:spacing w:line="360" w:lineRule="auto"/>
        <w:ind w:firstLine="562" w:firstLineChars="200"/>
        <w:contextualSpacing/>
        <w:rPr>
          <w:b/>
          <w:bCs/>
          <w:sz w:val="28"/>
          <w:szCs w:val="28"/>
        </w:rPr>
      </w:pPr>
      <w:r>
        <w:rPr>
          <w:b/>
          <w:bCs/>
          <w:kern w:val="0"/>
          <w:sz w:val="28"/>
          <w:szCs w:val="24"/>
        </w:rPr>
        <w:t>（</w:t>
      </w:r>
      <w:r>
        <w:rPr>
          <w:rFonts w:hint="eastAsia"/>
          <w:b/>
          <w:bCs/>
          <w:kern w:val="0"/>
          <w:sz w:val="28"/>
          <w:szCs w:val="24"/>
        </w:rPr>
        <w:t>6</w:t>
      </w:r>
      <w:r>
        <w:rPr>
          <w:b/>
          <w:bCs/>
          <w:kern w:val="0"/>
          <w:sz w:val="28"/>
          <w:szCs w:val="24"/>
        </w:rPr>
        <w:t>）</w:t>
      </w:r>
      <w:r>
        <w:rPr>
          <w:rFonts w:hint="eastAsia"/>
          <w:b/>
          <w:bCs/>
          <w:sz w:val="28"/>
          <w:szCs w:val="28"/>
        </w:rPr>
        <w:t>露天采场（矿区外）</w:t>
      </w:r>
    </w:p>
    <w:p w14:paraId="18815E64">
      <w:pPr>
        <w:spacing w:line="360" w:lineRule="auto"/>
        <w:ind w:firstLine="560" w:firstLineChars="200"/>
        <w:contextualSpacing/>
        <w:rPr>
          <w:sz w:val="28"/>
          <w:szCs w:val="28"/>
        </w:rPr>
      </w:pPr>
      <w:r>
        <w:rPr>
          <w:rFonts w:hint="eastAsia"/>
          <w:sz w:val="28"/>
          <w:szCs w:val="28"/>
        </w:rPr>
        <w:t>拟建露天采场建成后，</w:t>
      </w:r>
      <w:r>
        <w:rPr>
          <w:sz w:val="28"/>
          <w:szCs w:val="28"/>
        </w:rPr>
        <w:t>矿区范围</w:t>
      </w:r>
      <w:r>
        <w:rPr>
          <w:rFonts w:hint="eastAsia"/>
          <w:sz w:val="28"/>
          <w:szCs w:val="28"/>
        </w:rPr>
        <w:t>外露天采场剩余面积为</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，高坡位于采场东侧，采深</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m，边坡未分台阶一坡到底，坡度角</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°，局部近直立。现已不利用</w:t>
      </w:r>
      <w:r>
        <w:rPr>
          <w:rFonts w:hint="eastAsia"/>
          <w:sz w:val="28"/>
          <w:szCs w:val="28"/>
        </w:rPr>
        <w:t>。</w:t>
      </w:r>
      <w:r>
        <w:rPr>
          <w:sz w:val="28"/>
          <w:szCs w:val="28"/>
        </w:rPr>
        <w:t>采坑开挖破坏了地表形态与植被，破坏了地形地貌景观，与周围景观不协调，对原生的地形地貌景观影响较大，对地形地貌景观影响程度为严重。</w:t>
      </w:r>
    </w:p>
    <w:p w14:paraId="360EEA2F">
      <w:pPr>
        <w:widowControl/>
        <w:contextualSpacing/>
        <w:jc w:val="center"/>
        <w:rPr>
          <w:rFonts w:eastAsia="黑体"/>
          <w:kern w:val="0"/>
          <w:sz w:val="24"/>
          <w:szCs w:val="24"/>
        </w:rPr>
      </w:pPr>
      <w:r>
        <w:rPr>
          <w:rFonts w:eastAsia="黑体"/>
          <w:kern w:val="0"/>
          <w:sz w:val="24"/>
          <w:szCs w:val="24"/>
        </w:rPr>
        <w:t>表3-</w:t>
      </w:r>
      <w:r>
        <w:rPr>
          <w:rFonts w:hint="eastAsia" w:eastAsia="黑体"/>
          <w:kern w:val="0"/>
          <w:sz w:val="24"/>
          <w:szCs w:val="24"/>
        </w:rPr>
        <w:t>36</w:t>
      </w:r>
      <w:r>
        <w:rPr>
          <w:rFonts w:eastAsia="黑体"/>
          <w:kern w:val="0"/>
          <w:sz w:val="24"/>
          <w:szCs w:val="24"/>
        </w:rPr>
        <w:t xml:space="preserve">  地形地貌景观破坏程度评价表</w:t>
      </w:r>
    </w:p>
    <w:p w14:paraId="753AEE54">
      <w:pPr>
        <w:widowControl/>
        <w:spacing w:line="360" w:lineRule="auto"/>
        <w:ind w:firstLine="260"/>
        <w:jc w:val="left"/>
        <w:rPr>
          <w:kern w:val="0"/>
          <w:sz w:val="13"/>
          <w:szCs w:val="8"/>
        </w:rPr>
      </w:pPr>
    </w:p>
    <w:p w14:paraId="70D603E0">
      <w:pPr>
        <w:spacing w:line="360" w:lineRule="auto"/>
        <w:ind w:firstLine="562" w:firstLineChars="200"/>
        <w:contextualSpacing/>
        <w:rPr>
          <w:b/>
          <w:bCs/>
          <w:sz w:val="28"/>
          <w:szCs w:val="28"/>
        </w:rPr>
      </w:pPr>
      <w:r>
        <w:rPr>
          <w:b/>
          <w:bCs/>
          <w:kern w:val="0"/>
          <w:sz w:val="28"/>
          <w:szCs w:val="24"/>
        </w:rPr>
        <w:t>（</w:t>
      </w:r>
      <w:r>
        <w:rPr>
          <w:rFonts w:hint="eastAsia"/>
          <w:b/>
          <w:bCs/>
          <w:kern w:val="0"/>
          <w:sz w:val="28"/>
          <w:szCs w:val="24"/>
        </w:rPr>
        <w:t>7</w:t>
      </w:r>
      <w:r>
        <w:rPr>
          <w:b/>
          <w:bCs/>
          <w:kern w:val="0"/>
          <w:sz w:val="28"/>
          <w:szCs w:val="24"/>
        </w:rPr>
        <w:t>）</w:t>
      </w:r>
      <w:r>
        <w:rPr>
          <w:rFonts w:hint="eastAsia"/>
          <w:b/>
          <w:bCs/>
          <w:sz w:val="28"/>
          <w:szCs w:val="28"/>
        </w:rPr>
        <w:t>工业场地</w:t>
      </w:r>
    </w:p>
    <w:p w14:paraId="5D5F8FD9">
      <w:pPr>
        <w:spacing w:line="360" w:lineRule="auto"/>
        <w:ind w:firstLine="560" w:firstLineChars="200"/>
        <w:contextualSpacing/>
        <w:rPr>
          <w:sz w:val="28"/>
          <w:szCs w:val="28"/>
        </w:rPr>
      </w:pPr>
      <w:r>
        <w:rPr>
          <w:rFonts w:hint="eastAsia"/>
          <w:sz w:val="28"/>
          <w:szCs w:val="28"/>
        </w:rPr>
        <w:t>根据矿山未来生产计划，矿山后续将利用该场地拟建新的工业厂房。工业场地位于露天采场西侧，扣除与生活区重叠面积后占地面积约</w:t>
      </w:r>
      <w:r>
        <w:rPr>
          <w:rFonts w:hint="eastAsia" w:ascii="宋体" w:hAnsi="宋体" w:cs="宋体"/>
          <w:spacing w:val="13"/>
          <w:sz w:val="32"/>
          <w:szCs w:val="32"/>
        </w:rPr>
        <w:t>***</w:t>
      </w:r>
      <w:r>
        <w:rPr>
          <w:sz w:val="28"/>
          <w:szCs w:val="28"/>
        </w:rPr>
        <w:t>m</w:t>
      </w:r>
      <w:r>
        <w:rPr>
          <w:rFonts w:hint="eastAsia"/>
          <w:sz w:val="28"/>
          <w:szCs w:val="28"/>
          <w:vertAlign w:val="superscript"/>
        </w:rPr>
        <w:t>2</w:t>
      </w:r>
      <w:r>
        <w:rPr>
          <w:rFonts w:hint="eastAsia"/>
          <w:sz w:val="28"/>
          <w:szCs w:val="28"/>
        </w:rPr>
        <w:t>，</w:t>
      </w:r>
      <w:r>
        <w:rPr>
          <w:sz w:val="28"/>
          <w:szCs w:val="28"/>
        </w:rPr>
        <w:t>场地建设形成的人工堆积地貌</w:t>
      </w:r>
      <w:r>
        <w:rPr>
          <w:bCs/>
          <w:sz w:val="28"/>
          <w:szCs w:val="28"/>
        </w:rPr>
        <w:t>，破坏了原有地形地貌景观，</w:t>
      </w:r>
      <w:r>
        <w:rPr>
          <w:sz w:val="28"/>
          <w:szCs w:val="28"/>
        </w:rPr>
        <w:t>与周围景观不协调，对地形地貌景观影响程度为较</w:t>
      </w:r>
      <w:r>
        <w:rPr>
          <w:rFonts w:hint="eastAsia"/>
          <w:sz w:val="28"/>
          <w:szCs w:val="28"/>
        </w:rPr>
        <w:t>严重。</w:t>
      </w:r>
    </w:p>
    <w:p w14:paraId="361E7231">
      <w:pPr>
        <w:widowControl/>
        <w:contextualSpacing/>
        <w:jc w:val="center"/>
        <w:rPr>
          <w:rFonts w:eastAsia="黑体"/>
          <w:kern w:val="0"/>
          <w:sz w:val="24"/>
          <w:szCs w:val="22"/>
        </w:rPr>
      </w:pPr>
      <w:r>
        <w:rPr>
          <w:rFonts w:eastAsia="黑体"/>
          <w:kern w:val="0"/>
          <w:sz w:val="24"/>
          <w:szCs w:val="22"/>
        </w:rPr>
        <w:t>表3-</w:t>
      </w:r>
      <w:r>
        <w:rPr>
          <w:rFonts w:hint="eastAsia" w:eastAsia="黑体"/>
          <w:kern w:val="0"/>
          <w:sz w:val="24"/>
          <w:szCs w:val="22"/>
        </w:rPr>
        <w:t>37</w:t>
      </w:r>
      <w:r>
        <w:rPr>
          <w:rFonts w:eastAsia="黑体"/>
          <w:kern w:val="0"/>
          <w:sz w:val="24"/>
          <w:szCs w:val="22"/>
        </w:rPr>
        <w:t xml:space="preserve">  </w:t>
      </w:r>
      <w:r>
        <w:rPr>
          <w:rFonts w:eastAsia="黑体"/>
          <w:kern w:val="0"/>
          <w:sz w:val="24"/>
          <w:szCs w:val="24"/>
        </w:rPr>
        <w:t>地形地貌景观破坏</w:t>
      </w:r>
      <w:r>
        <w:rPr>
          <w:rFonts w:eastAsia="黑体"/>
          <w:kern w:val="0"/>
          <w:sz w:val="24"/>
          <w:szCs w:val="22"/>
        </w:rPr>
        <w:t>程度评价表</w:t>
      </w:r>
    </w:p>
    <w:p w14:paraId="490F8D07">
      <w:pPr>
        <w:widowControl/>
        <w:spacing w:line="360" w:lineRule="auto"/>
        <w:ind w:firstLine="260"/>
        <w:jc w:val="left"/>
        <w:rPr>
          <w:kern w:val="0"/>
          <w:sz w:val="13"/>
          <w:szCs w:val="8"/>
        </w:rPr>
      </w:pPr>
    </w:p>
    <w:p w14:paraId="74A22D77">
      <w:pPr>
        <w:spacing w:line="360" w:lineRule="auto"/>
        <w:ind w:firstLine="560" w:firstLineChars="200"/>
        <w:rPr>
          <w:sz w:val="28"/>
          <w:szCs w:val="28"/>
        </w:rPr>
      </w:pPr>
      <w:r>
        <w:rPr>
          <w:rFonts w:hint="eastAsia"/>
          <w:sz w:val="28"/>
          <w:szCs w:val="28"/>
        </w:rPr>
        <w:t>其余</w:t>
      </w:r>
      <w:r>
        <w:rPr>
          <w:sz w:val="28"/>
          <w:szCs w:val="28"/>
        </w:rPr>
        <w:t>已形成的工程场地中</w:t>
      </w:r>
      <w:r>
        <w:rPr>
          <w:rFonts w:hint="eastAsia"/>
          <w:sz w:val="28"/>
          <w:szCs w:val="28"/>
        </w:rPr>
        <w:t>废石场1、废石场2、废石场3、办公区、生活区、门卫、钻机平台、矿区道路</w:t>
      </w:r>
      <w:r>
        <w:rPr>
          <w:rFonts w:eastAsiaTheme="minorEastAsia"/>
          <w:snapToGrid w:val="0"/>
          <w:sz w:val="28"/>
          <w:szCs w:val="28"/>
        </w:rPr>
        <w:t>等单元，</w:t>
      </w:r>
      <w:r>
        <w:rPr>
          <w:sz w:val="28"/>
          <w:szCs w:val="28"/>
        </w:rPr>
        <w:t>预测各个单元对矿区地形地貌景观破坏程度与现状一致，不再赘述。</w:t>
      </w:r>
    </w:p>
    <w:p w14:paraId="0CB72BF7">
      <w:pPr>
        <w:spacing w:line="360" w:lineRule="auto"/>
        <w:ind w:firstLine="560" w:firstLineChars="200"/>
        <w:rPr>
          <w:bCs/>
          <w:sz w:val="28"/>
          <w:szCs w:val="28"/>
        </w:rPr>
      </w:pPr>
      <w:r>
        <w:rPr>
          <w:sz w:val="28"/>
          <w:szCs w:val="28"/>
        </w:rPr>
        <w:t>地形地貌景观影响预测评估见表3-</w:t>
      </w:r>
      <w:r>
        <w:rPr>
          <w:rFonts w:hint="eastAsia"/>
          <w:sz w:val="28"/>
          <w:szCs w:val="28"/>
        </w:rPr>
        <w:t>38</w:t>
      </w:r>
      <w:r>
        <w:rPr>
          <w:sz w:val="28"/>
          <w:szCs w:val="28"/>
        </w:rPr>
        <w:t>。</w:t>
      </w:r>
    </w:p>
    <w:p w14:paraId="6A1E4E69">
      <w:pPr>
        <w:adjustRightInd w:val="0"/>
        <w:snapToGrid w:val="0"/>
        <w:jc w:val="center"/>
        <w:rPr>
          <w:rFonts w:eastAsia="黑体"/>
          <w:snapToGrid w:val="0"/>
          <w:sz w:val="24"/>
          <w:szCs w:val="24"/>
        </w:rPr>
      </w:pPr>
      <w:r>
        <w:rPr>
          <w:rFonts w:eastAsia="黑体"/>
          <w:snapToGrid w:val="0"/>
          <w:sz w:val="24"/>
          <w:szCs w:val="24"/>
        </w:rPr>
        <w:t>表3-</w:t>
      </w:r>
      <w:r>
        <w:rPr>
          <w:rFonts w:hint="eastAsia" w:eastAsia="黑体"/>
          <w:snapToGrid w:val="0"/>
          <w:sz w:val="24"/>
          <w:szCs w:val="24"/>
        </w:rPr>
        <w:t>38</w:t>
      </w:r>
      <w:r>
        <w:rPr>
          <w:rFonts w:eastAsia="黑体"/>
          <w:snapToGrid w:val="0"/>
          <w:sz w:val="24"/>
          <w:szCs w:val="24"/>
        </w:rPr>
        <w:t xml:space="preserve">  地形地貌景观影响预测评估表</w:t>
      </w:r>
    </w:p>
    <w:p w14:paraId="27B30E61">
      <w:pPr>
        <w:adjustRightInd w:val="0"/>
        <w:snapToGrid w:val="0"/>
        <w:rPr>
          <w:rFonts w:eastAsia="黑体"/>
          <w:snapToGrid w:val="0"/>
          <w:sz w:val="24"/>
          <w:szCs w:val="24"/>
        </w:rPr>
      </w:pPr>
    </w:p>
    <w:p w14:paraId="1B3B58DC">
      <w:pPr>
        <w:jc w:val="center"/>
        <w:rPr>
          <w:rFonts w:eastAsia="黑体"/>
          <w:sz w:val="24"/>
          <w:szCs w:val="24"/>
        </w:rPr>
      </w:pPr>
      <w:r>
        <w:rPr>
          <w:rFonts w:eastAsia="黑体"/>
          <w:sz w:val="24"/>
          <w:szCs w:val="24"/>
        </w:rPr>
        <w:t>表3-</w:t>
      </w:r>
      <w:r>
        <w:rPr>
          <w:rFonts w:hint="eastAsia" w:eastAsia="黑体"/>
          <w:sz w:val="24"/>
          <w:szCs w:val="24"/>
        </w:rPr>
        <w:t>39</w:t>
      </w:r>
      <w:r>
        <w:rPr>
          <w:rFonts w:eastAsia="黑体"/>
          <w:sz w:val="24"/>
          <w:szCs w:val="24"/>
        </w:rPr>
        <w:t xml:space="preserve">  预测矿山地质环境问题说明表</w:t>
      </w:r>
    </w:p>
    <w:p w14:paraId="4ECCBD8C">
      <w:pPr>
        <w:jc w:val="center"/>
        <w:rPr>
          <w:rFonts w:eastAsia="黑体"/>
          <w:sz w:val="24"/>
          <w:szCs w:val="24"/>
        </w:rPr>
      </w:pPr>
    </w:p>
    <w:p w14:paraId="1F908498">
      <w:pPr>
        <w:spacing w:line="360" w:lineRule="auto"/>
        <w:ind w:firstLine="562" w:firstLineChars="200"/>
        <w:outlineLvl w:val="3"/>
        <w:rPr>
          <w:b/>
          <w:bCs/>
          <w:sz w:val="28"/>
          <w:szCs w:val="28"/>
        </w:rPr>
      </w:pPr>
      <w:r>
        <w:rPr>
          <w:b/>
          <w:bCs/>
          <w:sz w:val="28"/>
          <w:szCs w:val="28"/>
        </w:rPr>
        <w:t>（二）土地资源损毁预测</w:t>
      </w:r>
    </w:p>
    <w:p w14:paraId="063B81CE">
      <w:pPr>
        <w:widowControl/>
        <w:spacing w:line="360" w:lineRule="auto"/>
        <w:ind w:firstLine="562" w:firstLineChars="200"/>
        <w:rPr>
          <w:b/>
          <w:bCs/>
          <w:kern w:val="0"/>
          <w:sz w:val="28"/>
          <w:szCs w:val="28"/>
        </w:rPr>
      </w:pPr>
      <w:r>
        <w:rPr>
          <w:b/>
          <w:bCs/>
          <w:kern w:val="0"/>
          <w:sz w:val="28"/>
          <w:szCs w:val="28"/>
        </w:rPr>
        <w:t>1、土地损毁环节与时序</w:t>
      </w:r>
    </w:p>
    <w:p w14:paraId="33EF735C">
      <w:pPr>
        <w:widowControl/>
        <w:spacing w:line="360" w:lineRule="auto"/>
        <w:ind w:firstLine="560" w:firstLineChars="200"/>
        <w:rPr>
          <w:kern w:val="0"/>
          <w:sz w:val="28"/>
          <w:szCs w:val="28"/>
        </w:rPr>
      </w:pPr>
      <w:r>
        <w:rPr>
          <w:kern w:val="0"/>
          <w:sz w:val="28"/>
          <w:szCs w:val="28"/>
        </w:rPr>
        <w:t>根据该项目的生产建设特点，该矿山为矿山为</w:t>
      </w:r>
      <w:r>
        <w:rPr>
          <w:rFonts w:hint="eastAsia"/>
          <w:kern w:val="0"/>
          <w:sz w:val="28"/>
          <w:szCs w:val="28"/>
        </w:rPr>
        <w:t>停产</w:t>
      </w:r>
      <w:r>
        <w:rPr>
          <w:kern w:val="0"/>
          <w:sz w:val="28"/>
          <w:szCs w:val="28"/>
        </w:rPr>
        <w:t>矿山，根据《开发利用方案》后期矿山开采必定损毁土地资源，但在各个开采阶段和各个开采环节中，其损毁方式、损毁面积和破坏程度不尽相同。</w:t>
      </w:r>
    </w:p>
    <w:p w14:paraId="04295AC1">
      <w:pPr>
        <w:widowControl/>
        <w:spacing w:line="360" w:lineRule="auto"/>
        <w:ind w:firstLine="560" w:firstLineChars="200"/>
        <w:rPr>
          <w:kern w:val="0"/>
          <w:sz w:val="28"/>
          <w:szCs w:val="28"/>
        </w:rPr>
      </w:pPr>
      <w:r>
        <w:rPr>
          <w:kern w:val="0"/>
          <w:sz w:val="28"/>
          <w:szCs w:val="28"/>
        </w:rPr>
        <w:t>（1）损毁环节</w:t>
      </w:r>
    </w:p>
    <w:p w14:paraId="418B58C8">
      <w:pPr>
        <w:widowControl/>
        <w:spacing w:line="360" w:lineRule="auto"/>
        <w:ind w:firstLine="560" w:firstLineChars="200"/>
        <w:rPr>
          <w:sz w:val="28"/>
          <w:szCs w:val="28"/>
        </w:rPr>
      </w:pPr>
      <w:r>
        <w:rPr>
          <w:kern w:val="0"/>
          <w:sz w:val="28"/>
          <w:szCs w:val="28"/>
        </w:rPr>
        <w:t>根据《开发利用方案》，结合矿山现状确定的建设方案和生产工艺流程，</w:t>
      </w:r>
      <w:r>
        <w:rPr>
          <w:sz w:val="28"/>
          <w:szCs w:val="28"/>
        </w:rPr>
        <w:t>赤峰国富玄武岩矿将矿山对土地造成损毁的环节分为</w:t>
      </w:r>
      <w:r>
        <w:rPr>
          <w:rFonts w:hint="eastAsia"/>
          <w:sz w:val="28"/>
          <w:szCs w:val="28"/>
        </w:rPr>
        <w:t>已</w:t>
      </w:r>
      <w:r>
        <w:rPr>
          <w:sz w:val="28"/>
          <w:szCs w:val="28"/>
        </w:rPr>
        <w:t>损毁、</w:t>
      </w:r>
      <w:r>
        <w:rPr>
          <w:rFonts w:hint="eastAsia"/>
          <w:sz w:val="28"/>
          <w:szCs w:val="28"/>
        </w:rPr>
        <w:t>拟</w:t>
      </w:r>
      <w:r>
        <w:rPr>
          <w:sz w:val="28"/>
          <w:szCs w:val="28"/>
        </w:rPr>
        <w:t>损毁两个损毁环节。</w:t>
      </w:r>
    </w:p>
    <w:p w14:paraId="19D9D31D">
      <w:pPr>
        <w:widowControl/>
        <w:spacing w:line="360" w:lineRule="auto"/>
        <w:ind w:firstLine="560" w:firstLineChars="200"/>
        <w:rPr>
          <w:kern w:val="0"/>
          <w:sz w:val="28"/>
          <w:szCs w:val="28"/>
        </w:rPr>
      </w:pPr>
      <w:r>
        <w:rPr>
          <w:rFonts w:hint="eastAsia"/>
          <w:sz w:val="28"/>
          <w:szCs w:val="28"/>
        </w:rPr>
        <w:t>①已损毁</w:t>
      </w:r>
      <w:r>
        <w:rPr>
          <w:kern w:val="0"/>
          <w:sz w:val="28"/>
          <w:szCs w:val="28"/>
        </w:rPr>
        <w:t>对土地的损毁形式主要包括以下几个方面：</w:t>
      </w:r>
    </w:p>
    <w:p w14:paraId="5484CCEF">
      <w:pPr>
        <w:widowControl/>
        <w:spacing w:line="360" w:lineRule="auto"/>
        <w:ind w:firstLine="560" w:firstLineChars="200"/>
        <w:rPr>
          <w:kern w:val="0"/>
          <w:sz w:val="28"/>
          <w:szCs w:val="28"/>
        </w:rPr>
      </w:pPr>
      <w:r>
        <w:rPr>
          <w:rFonts w:hint="eastAsia"/>
          <w:sz w:val="28"/>
          <w:szCs w:val="28"/>
        </w:rPr>
        <w:t>已损毁单元中露天采场、钻机平台对土地造成挖损损毁；废石场1、废石场2、废石场3、工业场地、办公区、生活区、门卫、矿区道路土地造成压占损毁。</w:t>
      </w:r>
    </w:p>
    <w:p w14:paraId="05B6DF05">
      <w:pPr>
        <w:widowControl/>
        <w:spacing w:line="360" w:lineRule="auto"/>
        <w:ind w:firstLine="560" w:firstLineChars="200"/>
        <w:rPr>
          <w:sz w:val="28"/>
          <w:szCs w:val="28"/>
        </w:rPr>
      </w:pPr>
      <w:r>
        <w:rPr>
          <w:rFonts w:hint="eastAsia"/>
          <w:kern w:val="0"/>
          <w:sz w:val="28"/>
          <w:szCs w:val="28"/>
        </w:rPr>
        <w:t>②拟损毁</w:t>
      </w:r>
      <w:r>
        <w:rPr>
          <w:kern w:val="0"/>
          <w:sz w:val="28"/>
          <w:szCs w:val="28"/>
        </w:rPr>
        <w:t>对土地的损毁形式主要包括以下几个方面：</w:t>
      </w:r>
    </w:p>
    <w:p w14:paraId="53966F66">
      <w:pPr>
        <w:widowControl/>
        <w:spacing w:line="360" w:lineRule="auto"/>
        <w:ind w:firstLine="560" w:firstLineChars="200"/>
        <w:rPr>
          <w:kern w:val="0"/>
          <w:sz w:val="28"/>
          <w:szCs w:val="28"/>
        </w:rPr>
      </w:pPr>
      <w:r>
        <w:rPr>
          <w:bCs/>
          <w:sz w:val="28"/>
          <w:szCs w:val="28"/>
        </w:rPr>
        <w:t>《开发利用方案》设计矿山拟采用</w:t>
      </w:r>
      <w:r>
        <w:rPr>
          <w:rFonts w:hint="eastAsia"/>
          <w:bCs/>
          <w:sz w:val="28"/>
          <w:szCs w:val="28"/>
        </w:rPr>
        <w:t>露天</w:t>
      </w:r>
      <w:r>
        <w:rPr>
          <w:bCs/>
          <w:sz w:val="28"/>
          <w:szCs w:val="28"/>
        </w:rPr>
        <w:t>开采方式，</w:t>
      </w:r>
      <w:r>
        <w:rPr>
          <w:rFonts w:hint="eastAsia"/>
          <w:sz w:val="28"/>
          <w:szCs w:val="28"/>
        </w:rPr>
        <w:t>本次现状调查时，矿山已经有成熟的开采、生活配套设施，但建设位置与《开发利用方案》设计位置有较大差异，现状工业场地位置与《开发利用方案》设计的“采矿工业区”位置相差不大，矿山后续将继续沿用现状工业场地，矿山后续建设将</w:t>
      </w:r>
      <w:bookmarkStart w:id="111" w:name="OLE_LINK31"/>
      <w:r>
        <w:rPr>
          <w:rFonts w:hint="eastAsia"/>
          <w:sz w:val="28"/>
          <w:szCs w:val="28"/>
        </w:rPr>
        <w:t>新建排土场、新建办公生活区、新建截洪沟、新建矿区道路</w:t>
      </w:r>
      <w:bookmarkEnd w:id="111"/>
      <w:r>
        <w:rPr>
          <w:rFonts w:hint="eastAsia"/>
          <w:sz w:val="28"/>
          <w:szCs w:val="28"/>
        </w:rPr>
        <w:t>。</w:t>
      </w:r>
    </w:p>
    <w:p w14:paraId="4D3C78D1">
      <w:pPr>
        <w:widowControl/>
        <w:spacing w:line="360" w:lineRule="auto"/>
        <w:ind w:firstLine="560" w:firstLineChars="200"/>
        <w:rPr>
          <w:kern w:val="0"/>
          <w:sz w:val="28"/>
          <w:szCs w:val="28"/>
        </w:rPr>
      </w:pPr>
      <w:r>
        <w:rPr>
          <w:rFonts w:hint="eastAsia"/>
          <w:kern w:val="0"/>
          <w:sz w:val="28"/>
          <w:szCs w:val="28"/>
        </w:rPr>
        <w:t>拟损毁场地中拟建露天采场、拟建截洪沟将对土地造成挖损损毁；</w:t>
      </w:r>
    </w:p>
    <w:p w14:paraId="23F3BED2">
      <w:pPr>
        <w:widowControl/>
        <w:spacing w:line="360" w:lineRule="auto"/>
        <w:ind w:firstLine="560" w:firstLineChars="200"/>
        <w:rPr>
          <w:kern w:val="0"/>
          <w:sz w:val="28"/>
          <w:szCs w:val="28"/>
        </w:rPr>
      </w:pPr>
      <w:r>
        <w:rPr>
          <w:rFonts w:hint="eastAsia"/>
          <w:kern w:val="0"/>
          <w:sz w:val="28"/>
          <w:szCs w:val="28"/>
        </w:rPr>
        <w:t>工业场地、新建排土场、新建办公生活区、新建截洪沟、新建矿区道路</w:t>
      </w:r>
      <w:r>
        <w:rPr>
          <w:kern w:val="0"/>
          <w:sz w:val="28"/>
          <w:szCs w:val="28"/>
        </w:rPr>
        <w:t>对土地造成</w:t>
      </w:r>
      <w:r>
        <w:rPr>
          <w:rFonts w:hint="eastAsia"/>
          <w:kern w:val="0"/>
          <w:sz w:val="28"/>
          <w:szCs w:val="28"/>
        </w:rPr>
        <w:t>压占</w:t>
      </w:r>
      <w:r>
        <w:rPr>
          <w:kern w:val="0"/>
          <w:sz w:val="28"/>
          <w:szCs w:val="28"/>
        </w:rPr>
        <w:t>损毁。</w:t>
      </w:r>
    </w:p>
    <w:p w14:paraId="58EC5069">
      <w:pPr>
        <w:widowControl/>
        <w:spacing w:line="360" w:lineRule="auto"/>
        <w:ind w:firstLine="560" w:firstLineChars="200"/>
        <w:rPr>
          <w:kern w:val="0"/>
          <w:sz w:val="28"/>
          <w:szCs w:val="28"/>
        </w:rPr>
      </w:pPr>
      <w:r>
        <w:rPr>
          <w:kern w:val="0"/>
          <w:sz w:val="28"/>
          <w:szCs w:val="28"/>
        </w:rPr>
        <w:t>（2）损毁时序</w:t>
      </w:r>
    </w:p>
    <w:p w14:paraId="7CD5A8FA">
      <w:pPr>
        <w:widowControl/>
        <w:spacing w:line="360" w:lineRule="auto"/>
        <w:ind w:firstLine="560" w:firstLineChars="200"/>
        <w:rPr>
          <w:sz w:val="28"/>
          <w:szCs w:val="28"/>
        </w:rPr>
      </w:pPr>
      <w:r>
        <w:rPr>
          <w:kern w:val="0"/>
          <w:sz w:val="28"/>
          <w:szCs w:val="28"/>
        </w:rPr>
        <w:t>按照矿山生产服务年限以及已损毁的现状场地单元，划分矿山损毁时序，矿山</w:t>
      </w:r>
      <w:r>
        <w:rPr>
          <w:rFonts w:hint="eastAsia"/>
          <w:kern w:val="0"/>
          <w:sz w:val="28"/>
          <w:szCs w:val="28"/>
        </w:rPr>
        <w:t>剩余</w:t>
      </w:r>
      <w:r>
        <w:rPr>
          <w:kern w:val="0"/>
          <w:sz w:val="28"/>
          <w:szCs w:val="28"/>
        </w:rPr>
        <w:t>生产服务年限为</w:t>
      </w:r>
      <w:r>
        <w:rPr>
          <w:rFonts w:hint="eastAsia" w:ascii="宋体" w:hAnsi="宋体" w:cs="宋体"/>
          <w:spacing w:val="13"/>
          <w:sz w:val="32"/>
          <w:szCs w:val="32"/>
        </w:rPr>
        <w:t>***</w:t>
      </w:r>
      <w:r>
        <w:rPr>
          <w:kern w:val="0"/>
          <w:sz w:val="28"/>
          <w:szCs w:val="28"/>
        </w:rPr>
        <w:t>年，</w:t>
      </w:r>
      <w:r>
        <w:rPr>
          <w:rFonts w:hint="eastAsia"/>
          <w:sz w:val="28"/>
          <w:szCs w:val="28"/>
        </w:rPr>
        <w:t>矿山生产期将继续利用</w:t>
      </w:r>
      <w:r>
        <w:rPr>
          <w:sz w:val="28"/>
          <w:szCs w:val="28"/>
        </w:rPr>
        <w:t>现状</w:t>
      </w:r>
      <w:r>
        <w:rPr>
          <w:rFonts w:hint="eastAsia"/>
          <w:sz w:val="28"/>
          <w:szCs w:val="28"/>
        </w:rPr>
        <w:t>工业场地、部分矿区道路。</w:t>
      </w:r>
    </w:p>
    <w:p w14:paraId="2BC0810C">
      <w:pPr>
        <w:widowControl/>
        <w:spacing w:line="360" w:lineRule="auto"/>
        <w:ind w:firstLine="560" w:firstLineChars="200"/>
        <w:rPr>
          <w:kern w:val="0"/>
          <w:sz w:val="28"/>
          <w:szCs w:val="28"/>
        </w:rPr>
      </w:pPr>
      <w:bookmarkStart w:id="112" w:name="OLE_LINK123"/>
      <w:r>
        <w:rPr>
          <w:sz w:val="28"/>
          <w:szCs w:val="28"/>
        </w:rPr>
        <w:t>其它</w:t>
      </w:r>
      <w:r>
        <w:rPr>
          <w:rFonts w:hint="eastAsia"/>
          <w:sz w:val="28"/>
          <w:szCs w:val="28"/>
        </w:rPr>
        <w:t>《开发利用方案》</w:t>
      </w:r>
      <w:r>
        <w:rPr>
          <w:sz w:val="28"/>
          <w:szCs w:val="28"/>
        </w:rPr>
        <w:t>不再继续利用的场地</w:t>
      </w:r>
      <w:r>
        <w:rPr>
          <w:rFonts w:hint="eastAsia"/>
          <w:sz w:val="28"/>
          <w:szCs w:val="28"/>
        </w:rPr>
        <w:t>（废石场1、废石场2、废石场3、办公区、生活区、门卫、钻机平台、部分矿区道路）</w:t>
      </w:r>
      <w:bookmarkEnd w:id="112"/>
      <w:r>
        <w:rPr>
          <w:sz w:val="28"/>
          <w:szCs w:val="28"/>
        </w:rPr>
        <w:t>本方案计划将其</w:t>
      </w:r>
      <w:r>
        <w:rPr>
          <w:rFonts w:hint="eastAsia"/>
          <w:sz w:val="28"/>
          <w:szCs w:val="28"/>
        </w:rPr>
        <w:t>近三年</w:t>
      </w:r>
      <w:r>
        <w:rPr>
          <w:sz w:val="28"/>
          <w:szCs w:val="28"/>
        </w:rPr>
        <w:t>治理，因此矿区土地损毁时序分为近三年（202</w:t>
      </w:r>
      <w:r>
        <w:rPr>
          <w:rFonts w:hint="eastAsia"/>
          <w:sz w:val="28"/>
          <w:szCs w:val="28"/>
        </w:rPr>
        <w:t>7</w:t>
      </w:r>
      <w:r>
        <w:rPr>
          <w:sz w:val="28"/>
          <w:szCs w:val="28"/>
        </w:rPr>
        <w:t>.0</w:t>
      </w:r>
      <w:r>
        <w:rPr>
          <w:rFonts w:hint="eastAsia"/>
          <w:sz w:val="28"/>
          <w:szCs w:val="28"/>
        </w:rPr>
        <w:t>1</w:t>
      </w:r>
      <w:r>
        <w:rPr>
          <w:sz w:val="28"/>
          <w:szCs w:val="28"/>
        </w:rPr>
        <w:t>-202</w:t>
      </w:r>
      <w:r>
        <w:rPr>
          <w:rFonts w:hint="eastAsia"/>
          <w:sz w:val="28"/>
          <w:szCs w:val="28"/>
        </w:rPr>
        <w:t>9</w:t>
      </w:r>
      <w:r>
        <w:rPr>
          <w:sz w:val="28"/>
          <w:szCs w:val="28"/>
        </w:rPr>
        <w:t>-</w:t>
      </w:r>
      <w:r>
        <w:rPr>
          <w:rFonts w:hint="eastAsia"/>
          <w:sz w:val="28"/>
          <w:szCs w:val="28"/>
        </w:rPr>
        <w:t>12</w:t>
      </w:r>
      <w:r>
        <w:rPr>
          <w:sz w:val="28"/>
          <w:szCs w:val="28"/>
        </w:rPr>
        <w:t>）与生产期（20</w:t>
      </w:r>
      <w:r>
        <w:rPr>
          <w:rFonts w:hint="eastAsia"/>
          <w:sz w:val="28"/>
          <w:szCs w:val="28"/>
        </w:rPr>
        <w:t>30</w:t>
      </w:r>
      <w:r>
        <w:rPr>
          <w:sz w:val="28"/>
          <w:szCs w:val="28"/>
        </w:rPr>
        <w:t>.0</w:t>
      </w:r>
      <w:r>
        <w:rPr>
          <w:rFonts w:hint="eastAsia"/>
          <w:sz w:val="28"/>
          <w:szCs w:val="28"/>
        </w:rPr>
        <w:t>1</w:t>
      </w:r>
      <w:r>
        <w:rPr>
          <w:sz w:val="28"/>
          <w:szCs w:val="28"/>
        </w:rPr>
        <w:t>-203</w:t>
      </w:r>
      <w:r>
        <w:rPr>
          <w:rFonts w:hint="eastAsia"/>
          <w:sz w:val="28"/>
          <w:szCs w:val="28"/>
        </w:rPr>
        <w:t>2</w:t>
      </w:r>
      <w:r>
        <w:rPr>
          <w:sz w:val="28"/>
          <w:szCs w:val="28"/>
        </w:rPr>
        <w:t>.</w:t>
      </w:r>
      <w:r>
        <w:rPr>
          <w:rFonts w:hint="eastAsia"/>
          <w:sz w:val="28"/>
          <w:szCs w:val="28"/>
        </w:rPr>
        <w:t>05</w:t>
      </w:r>
      <w:r>
        <w:rPr>
          <w:sz w:val="28"/>
          <w:szCs w:val="28"/>
        </w:rPr>
        <w:t>）。</w:t>
      </w:r>
      <w:r>
        <w:rPr>
          <w:kern w:val="0"/>
          <w:sz w:val="28"/>
          <w:szCs w:val="28"/>
        </w:rPr>
        <w:t>各损毁单元损毁土地时序见表3-</w:t>
      </w:r>
      <w:r>
        <w:rPr>
          <w:rFonts w:hint="eastAsia"/>
          <w:kern w:val="0"/>
          <w:sz w:val="28"/>
          <w:szCs w:val="28"/>
        </w:rPr>
        <w:t>40</w:t>
      </w:r>
      <w:r>
        <w:rPr>
          <w:kern w:val="0"/>
          <w:sz w:val="28"/>
          <w:szCs w:val="28"/>
        </w:rPr>
        <w:t>。</w:t>
      </w:r>
    </w:p>
    <w:p w14:paraId="13237783">
      <w:pPr>
        <w:jc w:val="center"/>
        <w:rPr>
          <w:rFonts w:eastAsia="黑体"/>
          <w:sz w:val="24"/>
          <w:szCs w:val="24"/>
        </w:rPr>
      </w:pPr>
      <w:r>
        <w:rPr>
          <w:rFonts w:eastAsia="黑体"/>
          <w:sz w:val="24"/>
          <w:szCs w:val="24"/>
        </w:rPr>
        <w:t>表3-</w:t>
      </w:r>
      <w:r>
        <w:rPr>
          <w:rFonts w:hint="eastAsia" w:eastAsia="黑体"/>
          <w:sz w:val="24"/>
          <w:szCs w:val="24"/>
        </w:rPr>
        <w:t>40</w:t>
      </w:r>
      <w:r>
        <w:rPr>
          <w:rFonts w:eastAsia="黑体"/>
          <w:sz w:val="24"/>
          <w:szCs w:val="24"/>
        </w:rPr>
        <w:t xml:space="preserve">  土地损毁时序表</w:t>
      </w:r>
    </w:p>
    <w:p w14:paraId="52ACA160">
      <w:pPr>
        <w:pStyle w:val="88"/>
        <w:ind w:firstLine="321" w:firstLineChars="200"/>
        <w:jc w:val="both"/>
        <w:rPr>
          <w:rFonts w:ascii="Times New Roman" w:cs="Times New Roman"/>
          <w:b/>
          <w:bCs/>
          <w:color w:val="auto"/>
          <w:sz w:val="16"/>
          <w:szCs w:val="16"/>
        </w:rPr>
      </w:pPr>
    </w:p>
    <w:p w14:paraId="43B7AFF9">
      <w:pPr>
        <w:spacing w:line="360" w:lineRule="auto"/>
        <w:ind w:firstLine="562" w:firstLineChars="200"/>
        <w:rPr>
          <w:kern w:val="0"/>
          <w:sz w:val="28"/>
          <w:szCs w:val="28"/>
        </w:rPr>
      </w:pPr>
      <w:r>
        <w:rPr>
          <w:b/>
          <w:bCs/>
          <w:sz w:val="28"/>
          <w:szCs w:val="28"/>
        </w:rPr>
        <w:t>2</w:t>
      </w:r>
      <w:r>
        <w:rPr>
          <w:b/>
          <w:bCs/>
          <w:kern w:val="0"/>
          <w:sz w:val="28"/>
          <w:szCs w:val="28"/>
        </w:rPr>
        <w:t>、土地损毁程度评价</w:t>
      </w:r>
    </w:p>
    <w:p w14:paraId="78E6C3F6">
      <w:pPr>
        <w:widowControl/>
        <w:spacing w:line="360" w:lineRule="auto"/>
        <w:ind w:firstLine="560" w:firstLineChars="200"/>
        <w:rPr>
          <w:kern w:val="0"/>
          <w:sz w:val="28"/>
          <w:szCs w:val="28"/>
        </w:rPr>
      </w:pPr>
      <w:r>
        <w:rPr>
          <w:kern w:val="0"/>
          <w:sz w:val="28"/>
          <w:szCs w:val="28"/>
        </w:rPr>
        <w:t>方案在矿区土地损毁程度评价中按矿山损毁土地类型来选择参评因素，并结合前人经验和各学科的具体指标，选择损毁类型土地的主要参评因素。矿业活动拟损毁土地资源影响主要表现为矿山地面建设区对土地的压占、挖损，依据《土地复垦编制规程》对该矿山土地损毁情况进行现状评价，影响因素的等级标准划分见表3-</w:t>
      </w:r>
      <w:r>
        <w:rPr>
          <w:rFonts w:hint="eastAsia"/>
          <w:kern w:val="0"/>
          <w:sz w:val="28"/>
          <w:szCs w:val="28"/>
        </w:rPr>
        <w:t>15</w:t>
      </w:r>
      <w:r>
        <w:rPr>
          <w:kern w:val="0"/>
          <w:sz w:val="28"/>
          <w:szCs w:val="28"/>
        </w:rPr>
        <w:t>，地损毁程度评分界线见表3-</w:t>
      </w:r>
      <w:r>
        <w:rPr>
          <w:rFonts w:hint="eastAsia"/>
          <w:kern w:val="0"/>
          <w:sz w:val="28"/>
          <w:szCs w:val="28"/>
        </w:rPr>
        <w:t>16</w:t>
      </w:r>
      <w:r>
        <w:rPr>
          <w:kern w:val="0"/>
          <w:sz w:val="28"/>
          <w:szCs w:val="28"/>
        </w:rPr>
        <w:t>。依据损毁土地程度评价等级标准，对矿山土地破坏程度进行分析评价。</w:t>
      </w:r>
    </w:p>
    <w:p w14:paraId="47F8B2C5">
      <w:pPr>
        <w:widowControl/>
        <w:spacing w:line="360" w:lineRule="auto"/>
        <w:ind w:firstLine="562" w:firstLineChars="200"/>
        <w:rPr>
          <w:b/>
          <w:bCs/>
          <w:kern w:val="0"/>
          <w:sz w:val="28"/>
          <w:szCs w:val="28"/>
        </w:rPr>
      </w:pPr>
      <w:r>
        <w:rPr>
          <w:b/>
          <w:bCs/>
          <w:kern w:val="0"/>
          <w:sz w:val="28"/>
          <w:szCs w:val="28"/>
        </w:rPr>
        <w:t>（1）</w:t>
      </w:r>
      <w:r>
        <w:rPr>
          <w:rFonts w:hint="eastAsia"/>
          <w:b/>
          <w:bCs/>
          <w:kern w:val="0"/>
          <w:sz w:val="28"/>
          <w:szCs w:val="28"/>
        </w:rPr>
        <w:t>拟建</w:t>
      </w:r>
      <w:r>
        <w:rPr>
          <w:b/>
          <w:bCs/>
          <w:kern w:val="0"/>
          <w:sz w:val="28"/>
          <w:szCs w:val="28"/>
        </w:rPr>
        <w:t>露天采场</w:t>
      </w:r>
    </w:p>
    <w:p w14:paraId="2AEF19E4">
      <w:pPr>
        <w:widowControl/>
        <w:spacing w:line="360" w:lineRule="auto"/>
        <w:ind w:firstLine="560" w:firstLineChars="200"/>
        <w:rPr>
          <w:kern w:val="0"/>
          <w:sz w:val="28"/>
          <w:szCs w:val="28"/>
        </w:rPr>
      </w:pPr>
      <w:bookmarkStart w:id="113" w:name="OLE_LINK54"/>
      <w:r>
        <w:rPr>
          <w:rFonts w:hint="eastAsia"/>
          <w:kern w:val="0"/>
          <w:sz w:val="28"/>
          <w:szCs w:val="28"/>
        </w:rPr>
        <w:t>拟建露天采场</w:t>
      </w:r>
      <w:r>
        <w:rPr>
          <w:kern w:val="0"/>
          <w:sz w:val="28"/>
          <w:szCs w:val="28"/>
        </w:rPr>
        <w:t>占地面积为</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，最大挖损深度</w:t>
      </w:r>
      <w:r>
        <w:rPr>
          <w:rFonts w:hint="eastAsia" w:ascii="宋体" w:hAnsi="宋体" w:cs="宋体"/>
          <w:spacing w:val="13"/>
          <w:sz w:val="32"/>
          <w:szCs w:val="32"/>
        </w:rPr>
        <w:t>***</w:t>
      </w:r>
      <w:r>
        <w:rPr>
          <w:kern w:val="0"/>
          <w:sz w:val="28"/>
          <w:szCs w:val="28"/>
        </w:rPr>
        <w:t>m，挖损土层厚度</w:t>
      </w:r>
      <w:r>
        <w:rPr>
          <w:rFonts w:hint="eastAsia"/>
          <w:kern w:val="0"/>
          <w:sz w:val="28"/>
          <w:szCs w:val="28"/>
        </w:rPr>
        <w:t>小于</w:t>
      </w:r>
      <w:r>
        <w:rPr>
          <w:rFonts w:hint="eastAsia" w:ascii="宋体" w:hAnsi="宋体" w:cs="宋体"/>
          <w:spacing w:val="13"/>
          <w:sz w:val="32"/>
          <w:szCs w:val="32"/>
        </w:rPr>
        <w:t>***</w:t>
      </w:r>
      <w:r>
        <w:rPr>
          <w:kern w:val="0"/>
          <w:sz w:val="28"/>
          <w:szCs w:val="28"/>
        </w:rPr>
        <w:t>cm，无积水，开挖边坡角度</w:t>
      </w:r>
      <w:r>
        <w:rPr>
          <w:rFonts w:hint="eastAsia" w:ascii="宋体" w:hAnsi="宋体" w:cs="宋体"/>
          <w:spacing w:val="13"/>
          <w:sz w:val="32"/>
          <w:szCs w:val="32"/>
        </w:rPr>
        <w:t>***</w:t>
      </w:r>
      <w:r>
        <w:rPr>
          <w:kern w:val="0"/>
          <w:sz w:val="28"/>
          <w:szCs w:val="28"/>
        </w:rPr>
        <w:t>°，边坡</w:t>
      </w:r>
      <w:r>
        <w:rPr>
          <w:rFonts w:hint="eastAsia"/>
          <w:kern w:val="0"/>
          <w:sz w:val="28"/>
          <w:szCs w:val="28"/>
        </w:rPr>
        <w:t>欠</w:t>
      </w:r>
      <w:r>
        <w:rPr>
          <w:kern w:val="0"/>
          <w:sz w:val="28"/>
          <w:szCs w:val="28"/>
        </w:rPr>
        <w:t>规整。破坏土地利用类型为灌木林地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，其他草地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，采矿用地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。现状损毁土地方式主要为挖损。场地的挖损导致原有土地改变，地表植被直接被破坏，地表原有功能丧失，对土地资源影响和破坏程度为</w:t>
      </w:r>
      <w:r>
        <w:rPr>
          <w:rFonts w:hint="eastAsia"/>
          <w:kern w:val="0"/>
          <w:sz w:val="28"/>
          <w:szCs w:val="28"/>
        </w:rPr>
        <w:t>重</w:t>
      </w:r>
      <w:r>
        <w:rPr>
          <w:kern w:val="0"/>
          <w:sz w:val="28"/>
          <w:szCs w:val="28"/>
        </w:rPr>
        <w:t>度损毁。</w:t>
      </w:r>
    </w:p>
    <w:p w14:paraId="31C11001">
      <w:pPr>
        <w:widowControl/>
        <w:snapToGrid w:val="0"/>
        <w:jc w:val="center"/>
        <w:rPr>
          <w:kern w:val="0"/>
          <w:sz w:val="28"/>
          <w:szCs w:val="28"/>
        </w:rPr>
      </w:pPr>
      <w:r>
        <w:rPr>
          <w:rFonts w:eastAsia="黑体"/>
          <w:bCs/>
          <w:sz w:val="24"/>
          <w:szCs w:val="24"/>
        </w:rPr>
        <w:t>表3-</w:t>
      </w:r>
      <w:r>
        <w:rPr>
          <w:rFonts w:hint="eastAsia" w:eastAsia="黑体"/>
          <w:bCs/>
          <w:sz w:val="24"/>
          <w:szCs w:val="24"/>
        </w:rPr>
        <w:t>41</w:t>
      </w:r>
      <w:r>
        <w:rPr>
          <w:rFonts w:eastAsia="黑体"/>
          <w:bCs/>
          <w:sz w:val="24"/>
          <w:szCs w:val="24"/>
        </w:rPr>
        <w:t xml:space="preserve">    土地损毁程度评价表</w:t>
      </w:r>
      <w:bookmarkEnd w:id="113"/>
    </w:p>
    <w:p w14:paraId="568FB77A">
      <w:pPr>
        <w:widowControl/>
        <w:spacing w:line="360" w:lineRule="auto"/>
        <w:ind w:firstLine="562" w:firstLineChars="200"/>
        <w:rPr>
          <w:b/>
          <w:bCs/>
          <w:kern w:val="0"/>
          <w:sz w:val="28"/>
          <w:szCs w:val="28"/>
        </w:rPr>
      </w:pPr>
      <w:r>
        <w:rPr>
          <w:b/>
          <w:bCs/>
          <w:kern w:val="0"/>
          <w:sz w:val="28"/>
          <w:szCs w:val="28"/>
        </w:rPr>
        <w:t>（</w:t>
      </w:r>
      <w:r>
        <w:rPr>
          <w:rFonts w:hint="eastAsia"/>
          <w:b/>
          <w:bCs/>
          <w:kern w:val="0"/>
          <w:sz w:val="28"/>
          <w:szCs w:val="28"/>
        </w:rPr>
        <w:t>2</w:t>
      </w:r>
      <w:r>
        <w:rPr>
          <w:b/>
          <w:bCs/>
          <w:kern w:val="0"/>
          <w:sz w:val="28"/>
          <w:szCs w:val="28"/>
        </w:rPr>
        <w:t>）</w:t>
      </w:r>
      <w:r>
        <w:rPr>
          <w:rFonts w:hint="eastAsia"/>
          <w:b/>
          <w:bCs/>
          <w:kern w:val="0"/>
          <w:sz w:val="28"/>
          <w:szCs w:val="28"/>
        </w:rPr>
        <w:t>拟建排土场</w:t>
      </w:r>
    </w:p>
    <w:p w14:paraId="627E973D">
      <w:pPr>
        <w:widowControl/>
        <w:spacing w:line="360" w:lineRule="auto"/>
        <w:ind w:firstLine="560" w:firstLineChars="200"/>
        <w:rPr>
          <w:kern w:val="0"/>
          <w:sz w:val="28"/>
          <w:szCs w:val="28"/>
        </w:rPr>
      </w:pPr>
      <w:r>
        <w:rPr>
          <w:rFonts w:hint="eastAsia"/>
          <w:kern w:val="0"/>
          <w:sz w:val="28"/>
          <w:szCs w:val="28"/>
        </w:rPr>
        <w:t>拟建排土场</w:t>
      </w:r>
      <w:r>
        <w:rPr>
          <w:kern w:val="0"/>
          <w:sz w:val="28"/>
          <w:szCs w:val="28"/>
        </w:rPr>
        <w:t>压占土地面积为</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，坡度</w:t>
      </w:r>
      <w:r>
        <w:rPr>
          <w:rFonts w:hint="eastAsia" w:ascii="宋体" w:hAnsi="宋体" w:cs="宋体"/>
          <w:spacing w:val="13"/>
          <w:sz w:val="32"/>
          <w:szCs w:val="32"/>
        </w:rPr>
        <w:t>***</w:t>
      </w:r>
      <w:r>
        <w:rPr>
          <w:kern w:val="0"/>
          <w:sz w:val="28"/>
          <w:szCs w:val="28"/>
        </w:rPr>
        <w:t>°，</w:t>
      </w:r>
      <w:r>
        <w:rPr>
          <w:rFonts w:hint="eastAsia"/>
          <w:bCs/>
          <w:sz w:val="28"/>
          <w:szCs w:val="28"/>
        </w:rPr>
        <w:t>总高度约</w:t>
      </w:r>
      <w:r>
        <w:rPr>
          <w:rFonts w:hint="eastAsia" w:ascii="宋体" w:hAnsi="宋体" w:cs="宋体"/>
          <w:spacing w:val="13"/>
          <w:sz w:val="32"/>
          <w:szCs w:val="32"/>
        </w:rPr>
        <w:t>***</w:t>
      </w:r>
      <w:r>
        <w:rPr>
          <w:rFonts w:hint="eastAsia"/>
          <w:bCs/>
          <w:sz w:val="28"/>
          <w:szCs w:val="28"/>
        </w:rPr>
        <w:t>m</w:t>
      </w:r>
      <w:r>
        <w:rPr>
          <w:kern w:val="0"/>
          <w:sz w:val="28"/>
          <w:szCs w:val="28"/>
        </w:rPr>
        <w:t>，砾石含量&gt;</w:t>
      </w:r>
      <w:r>
        <w:rPr>
          <w:rFonts w:hint="eastAsia" w:ascii="宋体" w:hAnsi="宋体" w:cs="宋体"/>
          <w:spacing w:val="13"/>
          <w:sz w:val="32"/>
          <w:szCs w:val="32"/>
        </w:rPr>
        <w:t>***</w:t>
      </w:r>
      <w:r>
        <w:rPr>
          <w:kern w:val="0"/>
          <w:sz w:val="28"/>
          <w:szCs w:val="28"/>
        </w:rPr>
        <w:t>%，复垦难度中等，破坏土地利用类型为采矿用地</w:t>
      </w:r>
      <w:r>
        <w:rPr>
          <w:rFonts w:hint="eastAsia"/>
          <w:kern w:val="0"/>
          <w:sz w:val="28"/>
          <w:szCs w:val="28"/>
        </w:rPr>
        <w:t>1885</w:t>
      </w:r>
      <w:r>
        <w:rPr>
          <w:kern w:val="0"/>
          <w:sz w:val="28"/>
          <w:szCs w:val="28"/>
        </w:rPr>
        <w:t>m</w:t>
      </w:r>
      <w:r>
        <w:rPr>
          <w:kern w:val="0"/>
          <w:sz w:val="28"/>
          <w:szCs w:val="28"/>
          <w:vertAlign w:val="superscript"/>
        </w:rPr>
        <w:t>2</w:t>
      </w:r>
      <w:r>
        <w:rPr>
          <w:kern w:val="0"/>
          <w:sz w:val="28"/>
          <w:szCs w:val="28"/>
        </w:rPr>
        <w:t>。现状损毁土地方式主要为占用。场地的堆积导致原有土地改变，地表植被直接被破坏，地表原有功能丧失，对土地资源影响和破坏程度为</w:t>
      </w:r>
      <w:r>
        <w:rPr>
          <w:rFonts w:hint="eastAsia"/>
          <w:kern w:val="0"/>
          <w:sz w:val="28"/>
          <w:szCs w:val="28"/>
        </w:rPr>
        <w:t>重</w:t>
      </w:r>
      <w:r>
        <w:rPr>
          <w:kern w:val="0"/>
          <w:sz w:val="28"/>
          <w:szCs w:val="28"/>
        </w:rPr>
        <w:t>度损毁。</w:t>
      </w:r>
    </w:p>
    <w:p w14:paraId="2D7CE9C9">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42</w:t>
      </w:r>
      <w:r>
        <w:rPr>
          <w:rFonts w:eastAsia="黑体"/>
          <w:bCs/>
          <w:sz w:val="24"/>
          <w:szCs w:val="24"/>
        </w:rPr>
        <w:t xml:space="preserve">   土地损毁程度评价表</w:t>
      </w:r>
    </w:p>
    <w:p w14:paraId="2C2189B4">
      <w:pPr>
        <w:widowControl/>
        <w:snapToGrid w:val="0"/>
        <w:ind w:firstLine="480"/>
        <w:jc w:val="center"/>
        <w:rPr>
          <w:rFonts w:eastAsia="黑体"/>
          <w:bCs/>
          <w:szCs w:val="21"/>
        </w:rPr>
      </w:pPr>
    </w:p>
    <w:p w14:paraId="1DAC9563">
      <w:pPr>
        <w:widowControl/>
        <w:spacing w:line="360" w:lineRule="auto"/>
        <w:ind w:firstLine="562" w:firstLineChars="200"/>
        <w:rPr>
          <w:b/>
          <w:bCs/>
          <w:kern w:val="0"/>
          <w:sz w:val="28"/>
          <w:szCs w:val="28"/>
        </w:rPr>
      </w:pPr>
      <w:r>
        <w:rPr>
          <w:b/>
          <w:bCs/>
          <w:kern w:val="0"/>
          <w:sz w:val="28"/>
          <w:szCs w:val="28"/>
        </w:rPr>
        <w:t>（</w:t>
      </w:r>
      <w:r>
        <w:rPr>
          <w:rFonts w:hint="eastAsia"/>
          <w:b/>
          <w:bCs/>
          <w:kern w:val="0"/>
          <w:sz w:val="28"/>
          <w:szCs w:val="28"/>
        </w:rPr>
        <w:t>3</w:t>
      </w:r>
      <w:r>
        <w:rPr>
          <w:b/>
          <w:bCs/>
          <w:kern w:val="0"/>
          <w:sz w:val="28"/>
          <w:szCs w:val="28"/>
        </w:rPr>
        <w:t>）</w:t>
      </w:r>
      <w:r>
        <w:rPr>
          <w:rFonts w:hint="eastAsia"/>
          <w:b/>
          <w:bCs/>
          <w:kern w:val="0"/>
          <w:sz w:val="28"/>
          <w:szCs w:val="28"/>
        </w:rPr>
        <w:t>拟建办公生活区</w:t>
      </w:r>
    </w:p>
    <w:p w14:paraId="00EBA606">
      <w:pPr>
        <w:widowControl/>
        <w:spacing w:line="360" w:lineRule="auto"/>
        <w:ind w:firstLine="560" w:firstLineChars="200"/>
        <w:rPr>
          <w:kern w:val="0"/>
          <w:sz w:val="28"/>
          <w:szCs w:val="28"/>
        </w:rPr>
      </w:pPr>
      <w:r>
        <w:rPr>
          <w:rFonts w:hint="eastAsia"/>
          <w:kern w:val="0"/>
          <w:sz w:val="28"/>
          <w:szCs w:val="28"/>
        </w:rPr>
        <w:t>拟建办公生活区</w:t>
      </w:r>
      <w:r>
        <w:rPr>
          <w:kern w:val="0"/>
          <w:sz w:val="28"/>
          <w:szCs w:val="28"/>
        </w:rPr>
        <w:t>压占土地面积为</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，坡度</w:t>
      </w:r>
      <w:r>
        <w:rPr>
          <w:rFonts w:hint="eastAsia" w:ascii="宋体" w:hAnsi="宋体" w:cs="宋体"/>
          <w:spacing w:val="13"/>
          <w:sz w:val="32"/>
          <w:szCs w:val="32"/>
        </w:rPr>
        <w:t>***</w:t>
      </w:r>
      <w:r>
        <w:rPr>
          <w:kern w:val="0"/>
          <w:sz w:val="28"/>
          <w:szCs w:val="28"/>
        </w:rPr>
        <w:t>°，</w:t>
      </w:r>
      <w:r>
        <w:rPr>
          <w:rFonts w:hint="eastAsia"/>
          <w:kern w:val="0"/>
          <w:sz w:val="28"/>
          <w:szCs w:val="28"/>
        </w:rPr>
        <w:t>建筑</w:t>
      </w:r>
      <w:r>
        <w:rPr>
          <w:rFonts w:hint="eastAsia"/>
          <w:bCs/>
          <w:sz w:val="28"/>
          <w:szCs w:val="28"/>
        </w:rPr>
        <w:t>总高度约</w:t>
      </w:r>
      <w:r>
        <w:rPr>
          <w:rFonts w:hint="eastAsia" w:ascii="宋体" w:hAnsi="宋体" w:cs="宋体"/>
          <w:spacing w:val="13"/>
          <w:sz w:val="32"/>
          <w:szCs w:val="32"/>
        </w:rPr>
        <w:t>***</w:t>
      </w:r>
      <w:r>
        <w:rPr>
          <w:rFonts w:hint="eastAsia"/>
          <w:bCs/>
          <w:sz w:val="28"/>
          <w:szCs w:val="28"/>
        </w:rPr>
        <w:t>m</w:t>
      </w:r>
      <w:r>
        <w:rPr>
          <w:kern w:val="0"/>
          <w:sz w:val="28"/>
          <w:szCs w:val="28"/>
        </w:rPr>
        <w:t>，砾石含量</w:t>
      </w:r>
      <w:r>
        <w:rPr>
          <w:rFonts w:hint="eastAsia"/>
          <w:kern w:val="0"/>
          <w:sz w:val="28"/>
          <w:szCs w:val="28"/>
        </w:rPr>
        <w:t>小于</w:t>
      </w:r>
      <w:r>
        <w:rPr>
          <w:rFonts w:hint="eastAsia" w:ascii="宋体" w:hAnsi="宋体" w:cs="宋体"/>
          <w:spacing w:val="13"/>
          <w:sz w:val="32"/>
          <w:szCs w:val="32"/>
        </w:rPr>
        <w:t>***</w:t>
      </w:r>
      <w:r>
        <w:rPr>
          <w:kern w:val="0"/>
          <w:sz w:val="28"/>
          <w:szCs w:val="28"/>
        </w:rPr>
        <w:t>%，复垦难度中等，破坏土地利用类型为采矿用地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。现状损毁土地方式主要为占用。场地的堆积导致原有土地改变，地表植被直接被破坏，地表原有功能丧失，对土地资源影响和破坏程度为</w:t>
      </w:r>
      <w:r>
        <w:rPr>
          <w:rFonts w:hint="eastAsia"/>
          <w:kern w:val="0"/>
          <w:sz w:val="28"/>
          <w:szCs w:val="28"/>
        </w:rPr>
        <w:t>中</w:t>
      </w:r>
      <w:r>
        <w:rPr>
          <w:kern w:val="0"/>
          <w:sz w:val="28"/>
          <w:szCs w:val="28"/>
        </w:rPr>
        <w:t>度损毁。</w:t>
      </w:r>
    </w:p>
    <w:p w14:paraId="6B4CEA5A">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43</w:t>
      </w:r>
      <w:r>
        <w:rPr>
          <w:rFonts w:eastAsia="黑体"/>
          <w:bCs/>
          <w:sz w:val="24"/>
          <w:szCs w:val="24"/>
        </w:rPr>
        <w:t xml:space="preserve">   土地损毁程度评价表</w:t>
      </w:r>
    </w:p>
    <w:p w14:paraId="00C7650D">
      <w:pPr>
        <w:widowControl/>
        <w:snapToGrid w:val="0"/>
        <w:ind w:firstLine="480"/>
        <w:jc w:val="center"/>
        <w:rPr>
          <w:rFonts w:eastAsia="黑体"/>
          <w:bCs/>
          <w:szCs w:val="21"/>
        </w:rPr>
      </w:pPr>
    </w:p>
    <w:p w14:paraId="7C7C6761">
      <w:pPr>
        <w:widowControl/>
        <w:spacing w:line="360" w:lineRule="auto"/>
        <w:ind w:firstLine="562" w:firstLineChars="200"/>
        <w:rPr>
          <w:b/>
          <w:bCs/>
          <w:kern w:val="0"/>
          <w:sz w:val="28"/>
          <w:szCs w:val="28"/>
        </w:rPr>
      </w:pPr>
      <w:r>
        <w:rPr>
          <w:b/>
          <w:bCs/>
          <w:kern w:val="0"/>
          <w:sz w:val="28"/>
          <w:szCs w:val="28"/>
        </w:rPr>
        <w:t>（</w:t>
      </w:r>
      <w:r>
        <w:rPr>
          <w:rFonts w:hint="eastAsia"/>
          <w:b/>
          <w:bCs/>
          <w:kern w:val="0"/>
          <w:sz w:val="28"/>
          <w:szCs w:val="28"/>
        </w:rPr>
        <w:t>4</w:t>
      </w:r>
      <w:r>
        <w:rPr>
          <w:b/>
          <w:bCs/>
          <w:kern w:val="0"/>
          <w:sz w:val="28"/>
          <w:szCs w:val="28"/>
        </w:rPr>
        <w:t>）</w:t>
      </w:r>
      <w:r>
        <w:rPr>
          <w:rFonts w:hint="eastAsia"/>
          <w:b/>
          <w:bCs/>
          <w:kern w:val="0"/>
          <w:sz w:val="28"/>
          <w:szCs w:val="28"/>
        </w:rPr>
        <w:t>拟建截洪沟</w:t>
      </w:r>
    </w:p>
    <w:p w14:paraId="4B96F544">
      <w:pPr>
        <w:widowControl/>
        <w:spacing w:line="360" w:lineRule="auto"/>
        <w:ind w:firstLine="560" w:firstLineChars="200"/>
        <w:rPr>
          <w:kern w:val="0"/>
          <w:sz w:val="28"/>
          <w:szCs w:val="28"/>
        </w:rPr>
      </w:pPr>
      <w:r>
        <w:rPr>
          <w:rFonts w:hint="eastAsia"/>
          <w:kern w:val="0"/>
          <w:sz w:val="28"/>
          <w:szCs w:val="28"/>
        </w:rPr>
        <w:t>拟建截洪沟</w:t>
      </w:r>
      <w:r>
        <w:rPr>
          <w:kern w:val="0"/>
          <w:sz w:val="28"/>
          <w:szCs w:val="28"/>
        </w:rPr>
        <w:t>占地面积为</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，最大挖损深度</w:t>
      </w:r>
      <w:r>
        <w:rPr>
          <w:rFonts w:hint="eastAsia" w:ascii="宋体" w:hAnsi="宋体" w:cs="宋体"/>
          <w:spacing w:val="13"/>
          <w:sz w:val="32"/>
          <w:szCs w:val="32"/>
        </w:rPr>
        <w:t>***</w:t>
      </w:r>
      <w:r>
        <w:rPr>
          <w:kern w:val="0"/>
          <w:sz w:val="28"/>
          <w:szCs w:val="28"/>
        </w:rPr>
        <w:t>m，挖损土层厚度</w:t>
      </w:r>
      <w:r>
        <w:rPr>
          <w:rFonts w:hint="eastAsia"/>
          <w:kern w:val="0"/>
          <w:sz w:val="28"/>
          <w:szCs w:val="28"/>
        </w:rPr>
        <w:t>小于</w:t>
      </w:r>
      <w:r>
        <w:rPr>
          <w:rFonts w:hint="eastAsia" w:ascii="宋体" w:hAnsi="宋体" w:cs="宋体"/>
          <w:spacing w:val="13"/>
          <w:sz w:val="32"/>
          <w:szCs w:val="32"/>
        </w:rPr>
        <w:t>***</w:t>
      </w:r>
      <w:r>
        <w:rPr>
          <w:kern w:val="0"/>
          <w:sz w:val="28"/>
          <w:szCs w:val="28"/>
        </w:rPr>
        <w:t>cm，无积水，开挖边坡角度</w:t>
      </w:r>
      <w:r>
        <w:rPr>
          <w:rFonts w:hint="eastAsia" w:ascii="宋体" w:hAnsi="宋体" w:cs="宋体"/>
          <w:spacing w:val="13"/>
          <w:sz w:val="32"/>
          <w:szCs w:val="32"/>
        </w:rPr>
        <w:t>***</w:t>
      </w:r>
      <w:r>
        <w:rPr>
          <w:kern w:val="0"/>
          <w:sz w:val="28"/>
          <w:szCs w:val="28"/>
        </w:rPr>
        <w:t>°，边坡</w:t>
      </w:r>
      <w:r>
        <w:rPr>
          <w:rFonts w:hint="eastAsia"/>
          <w:kern w:val="0"/>
          <w:sz w:val="28"/>
          <w:szCs w:val="28"/>
        </w:rPr>
        <w:t>欠</w:t>
      </w:r>
      <w:r>
        <w:rPr>
          <w:kern w:val="0"/>
          <w:sz w:val="28"/>
          <w:szCs w:val="28"/>
        </w:rPr>
        <w:t>规整。破坏土地利用类型为灌木林地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，其他草地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。现状损毁土地方式主要为挖损。场地的挖损导致原有土地改变，地表植被直接被破坏，地表原有功能丧失，对土地资源影响和破坏程度为</w:t>
      </w:r>
      <w:r>
        <w:rPr>
          <w:rFonts w:hint="eastAsia"/>
          <w:kern w:val="0"/>
          <w:sz w:val="28"/>
          <w:szCs w:val="28"/>
        </w:rPr>
        <w:t>中</w:t>
      </w:r>
      <w:r>
        <w:rPr>
          <w:kern w:val="0"/>
          <w:sz w:val="28"/>
          <w:szCs w:val="28"/>
        </w:rPr>
        <w:t>度损毁。</w:t>
      </w:r>
    </w:p>
    <w:p w14:paraId="794C0ED6">
      <w:pPr>
        <w:widowControl/>
        <w:spacing w:line="360" w:lineRule="auto"/>
        <w:ind w:firstLine="560" w:firstLineChars="200"/>
        <w:rPr>
          <w:kern w:val="0"/>
          <w:sz w:val="28"/>
          <w:szCs w:val="28"/>
        </w:rPr>
      </w:pPr>
    </w:p>
    <w:p w14:paraId="75E21F7A">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44</w:t>
      </w:r>
      <w:r>
        <w:rPr>
          <w:rFonts w:eastAsia="黑体"/>
          <w:bCs/>
          <w:sz w:val="24"/>
          <w:szCs w:val="24"/>
        </w:rPr>
        <w:t xml:space="preserve">    土地损毁程度评价表</w:t>
      </w:r>
    </w:p>
    <w:p w14:paraId="7EDE6F59">
      <w:pPr>
        <w:widowControl/>
        <w:snapToGrid w:val="0"/>
        <w:rPr>
          <w:rFonts w:eastAsia="黑体"/>
          <w:bCs/>
          <w:sz w:val="24"/>
          <w:szCs w:val="24"/>
        </w:rPr>
      </w:pPr>
    </w:p>
    <w:p w14:paraId="3662960E">
      <w:pPr>
        <w:widowControl/>
        <w:spacing w:line="360" w:lineRule="auto"/>
        <w:ind w:firstLine="562" w:firstLineChars="200"/>
        <w:rPr>
          <w:b/>
          <w:bCs/>
          <w:kern w:val="0"/>
          <w:sz w:val="28"/>
          <w:szCs w:val="28"/>
        </w:rPr>
      </w:pPr>
      <w:r>
        <w:rPr>
          <w:b/>
          <w:bCs/>
          <w:kern w:val="0"/>
          <w:sz w:val="28"/>
          <w:szCs w:val="28"/>
        </w:rPr>
        <w:t>（</w:t>
      </w:r>
      <w:r>
        <w:rPr>
          <w:rFonts w:hint="eastAsia"/>
          <w:b/>
          <w:bCs/>
          <w:kern w:val="0"/>
          <w:sz w:val="28"/>
          <w:szCs w:val="28"/>
        </w:rPr>
        <w:t>5</w:t>
      </w:r>
      <w:r>
        <w:rPr>
          <w:b/>
          <w:bCs/>
          <w:kern w:val="0"/>
          <w:sz w:val="28"/>
          <w:szCs w:val="28"/>
        </w:rPr>
        <w:t>）</w:t>
      </w:r>
      <w:r>
        <w:rPr>
          <w:rFonts w:hint="eastAsia"/>
          <w:b/>
          <w:bCs/>
          <w:kern w:val="0"/>
          <w:sz w:val="28"/>
          <w:szCs w:val="28"/>
        </w:rPr>
        <w:t>拟建矿区道路</w:t>
      </w:r>
    </w:p>
    <w:p w14:paraId="7F236023">
      <w:pPr>
        <w:widowControl/>
        <w:spacing w:line="360" w:lineRule="auto"/>
        <w:ind w:firstLine="560" w:firstLineChars="200"/>
        <w:rPr>
          <w:kern w:val="0"/>
          <w:sz w:val="28"/>
          <w:szCs w:val="28"/>
        </w:rPr>
      </w:pPr>
      <w:r>
        <w:rPr>
          <w:rFonts w:hint="eastAsia"/>
          <w:kern w:val="0"/>
          <w:sz w:val="28"/>
          <w:szCs w:val="28"/>
        </w:rPr>
        <w:t>拟建矿区道路</w:t>
      </w:r>
      <w:r>
        <w:rPr>
          <w:kern w:val="0"/>
          <w:sz w:val="28"/>
          <w:szCs w:val="28"/>
        </w:rPr>
        <w:t>压占土地面积为</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，坡度</w:t>
      </w:r>
      <w:r>
        <w:rPr>
          <w:rFonts w:hint="eastAsia" w:ascii="宋体" w:hAnsi="宋体" w:cs="宋体"/>
          <w:spacing w:val="13"/>
          <w:sz w:val="32"/>
          <w:szCs w:val="32"/>
        </w:rPr>
        <w:t>***</w:t>
      </w:r>
      <w:r>
        <w:rPr>
          <w:kern w:val="0"/>
          <w:sz w:val="28"/>
          <w:szCs w:val="28"/>
        </w:rPr>
        <w:t>°，砾石含量</w:t>
      </w:r>
      <w:r>
        <w:rPr>
          <w:rFonts w:hint="eastAsia"/>
          <w:kern w:val="0"/>
          <w:sz w:val="28"/>
          <w:szCs w:val="28"/>
        </w:rPr>
        <w:t>大于</w:t>
      </w:r>
      <w:r>
        <w:rPr>
          <w:rFonts w:hint="eastAsia" w:ascii="宋体" w:hAnsi="宋体" w:cs="宋体"/>
          <w:spacing w:val="13"/>
          <w:sz w:val="32"/>
          <w:szCs w:val="32"/>
        </w:rPr>
        <w:t>***</w:t>
      </w:r>
      <w:r>
        <w:rPr>
          <w:kern w:val="0"/>
          <w:sz w:val="28"/>
          <w:szCs w:val="28"/>
        </w:rPr>
        <w:t>%，复垦难度中等，破坏土地利用类型为灌木林地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，其他草地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rFonts w:hint="eastAsia"/>
          <w:kern w:val="0"/>
          <w:sz w:val="28"/>
          <w:szCs w:val="28"/>
        </w:rPr>
        <w:t>，</w:t>
      </w:r>
      <w:r>
        <w:rPr>
          <w:kern w:val="0"/>
          <w:sz w:val="28"/>
          <w:szCs w:val="28"/>
        </w:rPr>
        <w:t>采矿用地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。现状损毁土地方式主要为占用。场地的堆积导致原有土地改变，地表植被直接被破坏，地表原有功能丧失，对</w:t>
      </w:r>
      <w:r>
        <w:rPr>
          <w:rFonts w:hint="eastAsia"/>
          <w:kern w:val="0"/>
          <w:sz w:val="28"/>
          <w:szCs w:val="28"/>
        </w:rPr>
        <w:t>6</w:t>
      </w:r>
      <w:r>
        <w:rPr>
          <w:kern w:val="0"/>
          <w:sz w:val="28"/>
          <w:szCs w:val="28"/>
        </w:rPr>
        <w:t>土地资源影响和破坏程度为</w:t>
      </w:r>
      <w:r>
        <w:rPr>
          <w:rFonts w:hint="eastAsia"/>
          <w:kern w:val="0"/>
          <w:sz w:val="28"/>
          <w:szCs w:val="28"/>
        </w:rPr>
        <w:t>中</w:t>
      </w:r>
      <w:r>
        <w:rPr>
          <w:kern w:val="0"/>
          <w:sz w:val="28"/>
          <w:szCs w:val="28"/>
        </w:rPr>
        <w:t>度损毁。</w:t>
      </w:r>
    </w:p>
    <w:p w14:paraId="0B2C22BE">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45</w:t>
      </w:r>
      <w:r>
        <w:rPr>
          <w:rFonts w:eastAsia="黑体"/>
          <w:bCs/>
          <w:sz w:val="24"/>
          <w:szCs w:val="24"/>
        </w:rPr>
        <w:t xml:space="preserve">   土地损毁程度评价表</w:t>
      </w:r>
    </w:p>
    <w:p w14:paraId="373D8899">
      <w:pPr>
        <w:widowControl/>
        <w:snapToGrid w:val="0"/>
        <w:ind w:firstLine="480"/>
        <w:jc w:val="center"/>
        <w:rPr>
          <w:rFonts w:eastAsia="黑体"/>
          <w:bCs/>
          <w:szCs w:val="21"/>
        </w:rPr>
      </w:pPr>
    </w:p>
    <w:p w14:paraId="4EAE2A8D">
      <w:pPr>
        <w:widowControl/>
        <w:spacing w:line="360" w:lineRule="auto"/>
        <w:ind w:firstLine="562" w:firstLineChars="200"/>
        <w:rPr>
          <w:b/>
          <w:bCs/>
          <w:kern w:val="0"/>
          <w:sz w:val="28"/>
          <w:szCs w:val="28"/>
        </w:rPr>
      </w:pPr>
      <w:r>
        <w:rPr>
          <w:b/>
          <w:bCs/>
          <w:kern w:val="0"/>
          <w:sz w:val="28"/>
          <w:szCs w:val="28"/>
        </w:rPr>
        <w:t>（</w:t>
      </w:r>
      <w:r>
        <w:rPr>
          <w:rFonts w:hint="eastAsia"/>
          <w:b/>
          <w:bCs/>
          <w:kern w:val="0"/>
          <w:sz w:val="28"/>
          <w:szCs w:val="28"/>
        </w:rPr>
        <w:t>6</w:t>
      </w:r>
      <w:r>
        <w:rPr>
          <w:b/>
          <w:bCs/>
          <w:kern w:val="0"/>
          <w:sz w:val="28"/>
          <w:szCs w:val="28"/>
        </w:rPr>
        <w:t>）</w:t>
      </w:r>
      <w:r>
        <w:rPr>
          <w:rFonts w:hint="eastAsia"/>
          <w:b/>
          <w:bCs/>
          <w:kern w:val="0"/>
          <w:sz w:val="28"/>
          <w:szCs w:val="28"/>
        </w:rPr>
        <w:t>工业场地</w:t>
      </w:r>
    </w:p>
    <w:p w14:paraId="0AA33C51">
      <w:pPr>
        <w:widowControl/>
        <w:spacing w:line="360" w:lineRule="auto"/>
        <w:ind w:firstLine="560" w:firstLineChars="200"/>
        <w:rPr>
          <w:kern w:val="0"/>
          <w:sz w:val="28"/>
          <w:szCs w:val="28"/>
        </w:rPr>
      </w:pPr>
      <w:r>
        <w:rPr>
          <w:rFonts w:hint="eastAsia"/>
          <w:kern w:val="0"/>
          <w:sz w:val="28"/>
          <w:szCs w:val="28"/>
        </w:rPr>
        <w:t>工业场地</w:t>
      </w:r>
      <w:r>
        <w:rPr>
          <w:kern w:val="0"/>
          <w:sz w:val="28"/>
          <w:szCs w:val="28"/>
        </w:rPr>
        <w:t>压占土地面积为</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，坡度</w:t>
      </w:r>
      <w:r>
        <w:rPr>
          <w:rFonts w:hint="eastAsia" w:ascii="宋体" w:hAnsi="宋体" w:cs="宋体"/>
          <w:spacing w:val="13"/>
          <w:sz w:val="32"/>
          <w:szCs w:val="32"/>
        </w:rPr>
        <w:t>***</w:t>
      </w:r>
      <w:r>
        <w:rPr>
          <w:kern w:val="0"/>
          <w:sz w:val="28"/>
          <w:szCs w:val="28"/>
        </w:rPr>
        <w:t>°-</w:t>
      </w:r>
      <w:r>
        <w:rPr>
          <w:rFonts w:hint="eastAsia" w:ascii="宋体" w:hAnsi="宋体" w:cs="宋体"/>
          <w:spacing w:val="13"/>
          <w:sz w:val="32"/>
          <w:szCs w:val="32"/>
        </w:rPr>
        <w:t>***</w:t>
      </w:r>
      <w:r>
        <w:rPr>
          <w:kern w:val="0"/>
          <w:sz w:val="28"/>
          <w:szCs w:val="28"/>
        </w:rPr>
        <w:t>°，高度</w:t>
      </w:r>
      <w:r>
        <w:rPr>
          <w:rFonts w:hint="eastAsia" w:ascii="宋体" w:hAnsi="宋体" w:cs="宋体"/>
          <w:spacing w:val="13"/>
          <w:sz w:val="32"/>
          <w:szCs w:val="32"/>
        </w:rPr>
        <w:t>***</w:t>
      </w:r>
      <w:r>
        <w:rPr>
          <w:kern w:val="0"/>
          <w:sz w:val="28"/>
          <w:szCs w:val="28"/>
        </w:rPr>
        <w:t>-</w:t>
      </w:r>
      <w:r>
        <w:rPr>
          <w:rFonts w:hint="eastAsia" w:ascii="宋体" w:hAnsi="宋体" w:cs="宋体"/>
          <w:spacing w:val="13"/>
          <w:sz w:val="32"/>
          <w:szCs w:val="32"/>
        </w:rPr>
        <w:t>***</w:t>
      </w:r>
      <w:r>
        <w:rPr>
          <w:kern w:val="0"/>
          <w:sz w:val="28"/>
          <w:szCs w:val="28"/>
        </w:rPr>
        <w:t>m，砾石含量&gt;30%，复垦难度中等，破坏土地利用类型为采矿用地7384m</w:t>
      </w:r>
      <w:r>
        <w:rPr>
          <w:kern w:val="0"/>
          <w:sz w:val="28"/>
          <w:szCs w:val="28"/>
          <w:vertAlign w:val="superscript"/>
        </w:rPr>
        <w:t>2</w:t>
      </w:r>
      <w:r>
        <w:rPr>
          <w:kern w:val="0"/>
          <w:sz w:val="28"/>
          <w:szCs w:val="28"/>
        </w:rPr>
        <w:t>。现状损毁土地方式主要为占用。场地的堆积导致原有土地改变，地表植被直接被破坏，地表原有功能丧失，对土地资源影响和破坏程度为中度损毁。</w:t>
      </w:r>
    </w:p>
    <w:p w14:paraId="334DA1C7">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46</w:t>
      </w:r>
      <w:r>
        <w:rPr>
          <w:rFonts w:eastAsia="黑体"/>
          <w:bCs/>
          <w:sz w:val="24"/>
          <w:szCs w:val="24"/>
        </w:rPr>
        <w:t xml:space="preserve">   土地损毁程度评价表</w:t>
      </w:r>
    </w:p>
    <w:p w14:paraId="44442B88">
      <w:pPr>
        <w:widowControl/>
        <w:snapToGrid w:val="0"/>
        <w:ind w:firstLine="480"/>
        <w:jc w:val="center"/>
        <w:rPr>
          <w:rFonts w:eastAsia="黑体"/>
          <w:bCs/>
          <w:szCs w:val="21"/>
        </w:rPr>
      </w:pPr>
    </w:p>
    <w:p w14:paraId="0646CAE4">
      <w:pPr>
        <w:widowControl/>
        <w:spacing w:line="360" w:lineRule="auto"/>
        <w:ind w:firstLine="562" w:firstLineChars="200"/>
        <w:rPr>
          <w:b/>
          <w:bCs/>
          <w:kern w:val="0"/>
          <w:sz w:val="28"/>
          <w:szCs w:val="28"/>
        </w:rPr>
      </w:pPr>
      <w:r>
        <w:rPr>
          <w:b/>
          <w:bCs/>
          <w:kern w:val="0"/>
          <w:sz w:val="28"/>
          <w:szCs w:val="28"/>
        </w:rPr>
        <w:t>（</w:t>
      </w:r>
      <w:r>
        <w:rPr>
          <w:rFonts w:hint="eastAsia"/>
          <w:b/>
          <w:bCs/>
          <w:kern w:val="0"/>
          <w:sz w:val="28"/>
          <w:szCs w:val="28"/>
        </w:rPr>
        <w:t>7</w:t>
      </w:r>
      <w:r>
        <w:rPr>
          <w:b/>
          <w:bCs/>
          <w:kern w:val="0"/>
          <w:sz w:val="28"/>
          <w:szCs w:val="28"/>
        </w:rPr>
        <w:t>）露天采场</w:t>
      </w:r>
      <w:r>
        <w:rPr>
          <w:rFonts w:hint="eastAsia"/>
          <w:b/>
          <w:bCs/>
          <w:kern w:val="0"/>
          <w:sz w:val="28"/>
          <w:szCs w:val="28"/>
        </w:rPr>
        <w:t>（矿区外）</w:t>
      </w:r>
    </w:p>
    <w:p w14:paraId="64E22F12">
      <w:pPr>
        <w:spacing w:line="360" w:lineRule="auto"/>
        <w:ind w:firstLine="560" w:firstLineChars="200"/>
        <w:rPr>
          <w:kern w:val="0"/>
          <w:sz w:val="28"/>
          <w:szCs w:val="28"/>
        </w:rPr>
      </w:pPr>
      <w:r>
        <w:rPr>
          <w:rFonts w:hint="eastAsia"/>
          <w:kern w:val="0"/>
          <w:sz w:val="28"/>
          <w:szCs w:val="28"/>
        </w:rPr>
        <w:t>露天采场</w:t>
      </w:r>
      <w:r>
        <w:rPr>
          <w:kern w:val="0"/>
          <w:sz w:val="28"/>
          <w:szCs w:val="28"/>
        </w:rPr>
        <w:t>占地面积为</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，最大挖损深度</w:t>
      </w:r>
      <w:r>
        <w:rPr>
          <w:rFonts w:hint="eastAsia" w:ascii="宋体" w:hAnsi="宋体" w:cs="宋体"/>
          <w:spacing w:val="13"/>
          <w:sz w:val="32"/>
          <w:szCs w:val="32"/>
        </w:rPr>
        <w:t>***</w:t>
      </w:r>
      <w:r>
        <w:rPr>
          <w:kern w:val="0"/>
          <w:sz w:val="28"/>
          <w:szCs w:val="28"/>
        </w:rPr>
        <w:t>m，挖损土层厚度</w:t>
      </w:r>
      <w:r>
        <w:rPr>
          <w:rFonts w:hint="eastAsia"/>
          <w:kern w:val="0"/>
          <w:sz w:val="28"/>
          <w:szCs w:val="28"/>
        </w:rPr>
        <w:t>小于</w:t>
      </w:r>
      <w:r>
        <w:rPr>
          <w:rFonts w:hint="eastAsia" w:ascii="宋体" w:hAnsi="宋体" w:cs="宋体"/>
          <w:spacing w:val="13"/>
          <w:sz w:val="32"/>
          <w:szCs w:val="32"/>
        </w:rPr>
        <w:t>***</w:t>
      </w:r>
      <w:r>
        <w:rPr>
          <w:kern w:val="0"/>
          <w:sz w:val="28"/>
          <w:szCs w:val="28"/>
        </w:rPr>
        <w:t>cm，无积水，开挖边坡角度</w:t>
      </w:r>
      <w:r>
        <w:rPr>
          <w:rFonts w:hint="eastAsia" w:ascii="宋体" w:hAnsi="宋体" w:cs="宋体"/>
          <w:spacing w:val="13"/>
          <w:sz w:val="32"/>
          <w:szCs w:val="32"/>
        </w:rPr>
        <w:t>***</w:t>
      </w:r>
      <w:r>
        <w:rPr>
          <w:kern w:val="0"/>
          <w:sz w:val="28"/>
          <w:szCs w:val="28"/>
        </w:rPr>
        <w:t>-</w:t>
      </w:r>
      <w:r>
        <w:rPr>
          <w:rFonts w:hint="eastAsia" w:ascii="宋体" w:hAnsi="宋体" w:cs="宋体"/>
          <w:spacing w:val="13"/>
          <w:sz w:val="32"/>
          <w:szCs w:val="32"/>
        </w:rPr>
        <w:t>***</w:t>
      </w:r>
      <w:r>
        <w:rPr>
          <w:kern w:val="0"/>
          <w:sz w:val="28"/>
          <w:szCs w:val="28"/>
        </w:rPr>
        <w:t>°，边坡不规整。破坏土地利用类型为灌木林地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，其他草地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，采矿用地</w:t>
      </w:r>
      <w:r>
        <w:rPr>
          <w:rFonts w:hint="eastAsia" w:ascii="宋体" w:hAnsi="宋体" w:cs="宋体"/>
          <w:spacing w:val="13"/>
          <w:sz w:val="32"/>
          <w:szCs w:val="32"/>
        </w:rPr>
        <w:t>***</w:t>
      </w:r>
      <w:r>
        <w:rPr>
          <w:kern w:val="0"/>
          <w:sz w:val="28"/>
          <w:szCs w:val="28"/>
        </w:rPr>
        <w:t>m</w:t>
      </w:r>
      <w:r>
        <w:rPr>
          <w:kern w:val="0"/>
          <w:sz w:val="28"/>
          <w:szCs w:val="28"/>
          <w:vertAlign w:val="superscript"/>
        </w:rPr>
        <w:t>2</w:t>
      </w:r>
      <w:r>
        <w:rPr>
          <w:kern w:val="0"/>
          <w:sz w:val="28"/>
          <w:szCs w:val="28"/>
        </w:rPr>
        <w:t>。现状损毁土地方式主要为挖损。场地的挖损导致原有土地改变，地表植被直接被破坏，地表原有功能丧失，对土地资源影响和破坏程度为</w:t>
      </w:r>
      <w:r>
        <w:rPr>
          <w:rFonts w:hint="eastAsia"/>
          <w:kern w:val="0"/>
          <w:sz w:val="28"/>
          <w:szCs w:val="28"/>
        </w:rPr>
        <w:t>重</w:t>
      </w:r>
      <w:r>
        <w:rPr>
          <w:kern w:val="0"/>
          <w:sz w:val="28"/>
          <w:szCs w:val="28"/>
        </w:rPr>
        <w:t>度损毁。</w:t>
      </w:r>
    </w:p>
    <w:p w14:paraId="54349FC0">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47</w:t>
      </w:r>
      <w:r>
        <w:rPr>
          <w:rFonts w:eastAsia="黑体"/>
          <w:bCs/>
          <w:sz w:val="24"/>
          <w:szCs w:val="24"/>
        </w:rPr>
        <w:t xml:space="preserve">    土地损毁程度评价表</w:t>
      </w:r>
    </w:p>
    <w:p w14:paraId="01E17D45">
      <w:pPr>
        <w:widowControl/>
        <w:snapToGrid w:val="0"/>
        <w:jc w:val="center"/>
        <w:rPr>
          <w:rFonts w:eastAsia="黑体"/>
          <w:bCs/>
          <w:sz w:val="24"/>
          <w:szCs w:val="24"/>
        </w:rPr>
      </w:pPr>
    </w:p>
    <w:p w14:paraId="428F5E7D">
      <w:pPr>
        <w:pStyle w:val="88"/>
        <w:snapToGrid w:val="0"/>
        <w:spacing w:line="360" w:lineRule="auto"/>
        <w:ind w:firstLine="560" w:firstLineChars="200"/>
        <w:jc w:val="both"/>
        <w:rPr>
          <w:rFonts w:ascii="Times New Roman" w:cs="Times New Roman"/>
          <w:sz w:val="28"/>
          <w:szCs w:val="28"/>
        </w:rPr>
      </w:pPr>
      <w:r>
        <w:rPr>
          <w:rFonts w:hint="eastAsia"/>
          <w:sz w:val="28"/>
          <w:szCs w:val="28"/>
        </w:rPr>
        <w:t>其余</w:t>
      </w:r>
      <w:r>
        <w:rPr>
          <w:sz w:val="28"/>
          <w:szCs w:val="28"/>
        </w:rPr>
        <w:t>已形成的工程场地中</w:t>
      </w:r>
      <w:r>
        <w:rPr>
          <w:rFonts w:hint="eastAsia"/>
          <w:sz w:val="28"/>
          <w:szCs w:val="28"/>
        </w:rPr>
        <w:t>废石场1、废石场2、废石场3、办公区、生活区、门卫、钻机平台、矿区道路</w:t>
      </w:r>
      <w:r>
        <w:rPr>
          <w:rFonts w:eastAsiaTheme="minorEastAsia"/>
          <w:snapToGrid w:val="0"/>
          <w:sz w:val="28"/>
          <w:szCs w:val="28"/>
        </w:rPr>
        <w:t>等单元</w:t>
      </w:r>
      <w:r>
        <w:rPr>
          <w:rFonts w:ascii="Times New Roman" w:cs="Times New Roman"/>
          <w:color w:val="auto"/>
          <w:sz w:val="28"/>
          <w:szCs w:val="28"/>
        </w:rPr>
        <w:t>预测各个单元对矿区土地资源损毁程度评价结果与现状一致，不再重复赘述。</w:t>
      </w:r>
    </w:p>
    <w:p w14:paraId="1128B184">
      <w:pPr>
        <w:pStyle w:val="88"/>
        <w:snapToGrid w:val="0"/>
        <w:spacing w:line="360" w:lineRule="auto"/>
        <w:ind w:firstLine="560" w:firstLineChars="200"/>
        <w:jc w:val="both"/>
        <w:rPr>
          <w:sz w:val="28"/>
          <w:szCs w:val="28"/>
        </w:rPr>
      </w:pPr>
      <w:r>
        <w:rPr>
          <w:sz w:val="28"/>
          <w:szCs w:val="28"/>
        </w:rPr>
        <w:t>综上所述，根据</w:t>
      </w:r>
      <w:r>
        <w:rPr>
          <w:rFonts w:hint="eastAsia"/>
          <w:sz w:val="28"/>
          <w:szCs w:val="28"/>
        </w:rPr>
        <w:t>松山区2024年国土变更调查数据</w:t>
      </w:r>
      <w:r>
        <w:rPr>
          <w:sz w:val="28"/>
          <w:szCs w:val="28"/>
        </w:rPr>
        <w:t>，</w:t>
      </w:r>
      <w:r>
        <w:rPr>
          <w:rFonts w:hint="eastAsia"/>
          <w:sz w:val="28"/>
          <w:szCs w:val="28"/>
        </w:rPr>
        <w:t>预测拟</w:t>
      </w:r>
      <w:r>
        <w:rPr>
          <w:sz w:val="28"/>
          <w:szCs w:val="28"/>
        </w:rPr>
        <w:t>损毁的土地资源利用类型二级地类主要包括</w:t>
      </w:r>
      <w:bookmarkStart w:id="114" w:name="_Hlk239010299"/>
      <w:r>
        <w:rPr>
          <w:sz w:val="28"/>
          <w:szCs w:val="28"/>
        </w:rPr>
        <w:t>乔木林地</w:t>
      </w:r>
      <w:r>
        <w:rPr>
          <w:rFonts w:hint="eastAsia"/>
          <w:sz w:val="28"/>
          <w:szCs w:val="28"/>
        </w:rPr>
        <w:t>、</w:t>
      </w:r>
      <w:r>
        <w:rPr>
          <w:sz w:val="28"/>
          <w:szCs w:val="28"/>
        </w:rPr>
        <w:t>灌木林地</w:t>
      </w:r>
      <w:r>
        <w:rPr>
          <w:rFonts w:hint="eastAsia"/>
          <w:sz w:val="28"/>
          <w:szCs w:val="28"/>
        </w:rPr>
        <w:t>、</w:t>
      </w:r>
      <w:r>
        <w:rPr>
          <w:sz w:val="28"/>
          <w:szCs w:val="28"/>
        </w:rPr>
        <w:t>其他草地、采矿用地、农村道路等，损毁土地总面积</w:t>
      </w:r>
      <w:r>
        <w:rPr>
          <w:rFonts w:hint="eastAsia" w:hAnsi="宋体"/>
          <w:color w:val="auto"/>
          <w:spacing w:val="13"/>
          <w:sz w:val="32"/>
          <w:szCs w:val="32"/>
        </w:rPr>
        <w:t>***</w:t>
      </w:r>
      <w:r>
        <w:rPr>
          <w:sz w:val="28"/>
          <w:szCs w:val="28"/>
        </w:rPr>
        <w:t>m</w:t>
      </w:r>
      <w:r>
        <w:rPr>
          <w:sz w:val="28"/>
          <w:szCs w:val="28"/>
          <w:vertAlign w:val="superscript"/>
        </w:rPr>
        <w:t>2</w:t>
      </w:r>
      <w:r>
        <w:rPr>
          <w:sz w:val="28"/>
          <w:szCs w:val="28"/>
        </w:rPr>
        <w:t>。</w:t>
      </w:r>
      <w:bookmarkEnd w:id="114"/>
      <w:r>
        <w:rPr>
          <w:sz w:val="28"/>
          <w:szCs w:val="28"/>
        </w:rPr>
        <w:t>对各单元损毁土地情况统计见表3-</w:t>
      </w:r>
      <w:r>
        <w:rPr>
          <w:rFonts w:hint="eastAsia"/>
          <w:sz w:val="28"/>
          <w:szCs w:val="28"/>
        </w:rPr>
        <w:t>48</w:t>
      </w:r>
      <w:r>
        <w:rPr>
          <w:sz w:val="28"/>
          <w:szCs w:val="28"/>
        </w:rPr>
        <w:t>。</w:t>
      </w:r>
    </w:p>
    <w:p w14:paraId="612EBFBC">
      <w:pPr>
        <w:adjustRightInd w:val="0"/>
        <w:snapToGrid w:val="0"/>
        <w:ind w:firstLine="480" w:firstLineChars="200"/>
        <w:jc w:val="center"/>
        <w:textAlignment w:val="baseline"/>
        <w:rPr>
          <w:rFonts w:eastAsia="黑体"/>
          <w:bCs/>
          <w:sz w:val="24"/>
          <w:szCs w:val="24"/>
        </w:rPr>
      </w:pPr>
      <w:r>
        <w:rPr>
          <w:rFonts w:eastAsia="黑体"/>
          <w:bCs/>
          <w:sz w:val="24"/>
          <w:szCs w:val="24"/>
        </w:rPr>
        <w:t>表3-</w:t>
      </w:r>
      <w:r>
        <w:rPr>
          <w:rFonts w:hint="eastAsia" w:eastAsia="黑体"/>
          <w:bCs/>
          <w:sz w:val="24"/>
          <w:szCs w:val="24"/>
        </w:rPr>
        <w:t>48</w:t>
      </w:r>
      <w:r>
        <w:rPr>
          <w:rFonts w:eastAsia="黑体"/>
          <w:bCs/>
          <w:sz w:val="24"/>
          <w:szCs w:val="24"/>
        </w:rPr>
        <w:t xml:space="preserve">   拟损毁土地资源统计表</w:t>
      </w:r>
    </w:p>
    <w:p w14:paraId="597E84A2">
      <w:pPr>
        <w:pStyle w:val="88"/>
        <w:snapToGrid w:val="0"/>
        <w:spacing w:line="360" w:lineRule="auto"/>
        <w:ind w:firstLine="560" w:firstLineChars="200"/>
        <w:jc w:val="both"/>
        <w:rPr>
          <w:sz w:val="28"/>
          <w:szCs w:val="28"/>
        </w:rPr>
      </w:pPr>
    </w:p>
    <w:p w14:paraId="65B325EC">
      <w:pPr>
        <w:widowControl/>
        <w:spacing w:line="360" w:lineRule="auto"/>
        <w:outlineLvl w:val="3"/>
        <w:rPr>
          <w:b/>
          <w:bCs/>
          <w:kern w:val="0"/>
          <w:sz w:val="28"/>
          <w:szCs w:val="28"/>
        </w:rPr>
      </w:pPr>
      <w:r>
        <w:rPr>
          <w:b/>
          <w:bCs/>
          <w:kern w:val="0"/>
          <w:sz w:val="28"/>
          <w:szCs w:val="28"/>
        </w:rPr>
        <w:t>（三）生态系统退化预测</w:t>
      </w:r>
    </w:p>
    <w:p w14:paraId="24C2BE3B">
      <w:pPr>
        <w:widowControl/>
        <w:spacing w:line="360" w:lineRule="auto"/>
        <w:ind w:firstLine="560" w:firstLineChars="200"/>
        <w:rPr>
          <w:sz w:val="28"/>
          <w:szCs w:val="28"/>
        </w:rPr>
      </w:pPr>
      <w:r>
        <w:rPr>
          <w:kern w:val="0"/>
          <w:sz w:val="28"/>
          <w:szCs w:val="28"/>
        </w:rPr>
        <w:t>1、生态受损程度预测评价指标</w:t>
      </w:r>
    </w:p>
    <w:p w14:paraId="5E089BB3">
      <w:pPr>
        <w:widowControl/>
        <w:spacing w:line="360" w:lineRule="auto"/>
        <w:ind w:firstLine="560" w:firstLineChars="200"/>
        <w:rPr>
          <w:kern w:val="0"/>
          <w:sz w:val="28"/>
          <w:szCs w:val="28"/>
        </w:rPr>
      </w:pPr>
      <w:r>
        <w:rPr>
          <w:kern w:val="0"/>
          <w:sz w:val="28"/>
          <w:szCs w:val="28"/>
        </w:rPr>
        <w:t>根据现场调查，结合矿方提供资料，预测生态受损方式主要有植被损毁、土壤污染、生物多样性丧失、水土流失以及水环境污染五个方面。根据相关部门规定的划分标准，将生态系统受损程度等级划分为一级（较轻）、二级（较严重）、三级（严重）等3级标准。评估标准如下：</w:t>
      </w:r>
    </w:p>
    <w:p w14:paraId="0B49F9B2">
      <w:pPr>
        <w:widowControl/>
        <w:spacing w:line="360" w:lineRule="auto"/>
        <w:ind w:firstLine="560" w:firstLineChars="200"/>
        <w:rPr>
          <w:kern w:val="0"/>
          <w:sz w:val="28"/>
          <w:szCs w:val="28"/>
        </w:rPr>
      </w:pPr>
      <w:r>
        <w:rPr>
          <w:kern w:val="0"/>
          <w:sz w:val="28"/>
          <w:szCs w:val="28"/>
        </w:rPr>
        <w:t>①较轻：植被覆盖度＞40%，原生植被轻度破坏、生物栖息地基本完整，物种影响较小、土壤侵蚀模数＜</w:t>
      </w:r>
      <w:r>
        <w:rPr>
          <w:rFonts w:hint="eastAsia" w:ascii="宋体" w:hAnsi="宋体" w:cs="宋体"/>
          <w:spacing w:val="13"/>
          <w:sz w:val="32"/>
          <w:szCs w:val="32"/>
        </w:rPr>
        <w:t>***</w:t>
      </w:r>
      <w:r>
        <w:rPr>
          <w:kern w:val="0"/>
          <w:sz w:val="28"/>
          <w:szCs w:val="28"/>
        </w:rPr>
        <w:t>t/km²</w:t>
      </w:r>
      <w:r>
        <w:rPr>
          <w:rFonts w:eastAsia="微软雅黑"/>
          <w:kern w:val="0"/>
          <w:sz w:val="28"/>
          <w:szCs w:val="28"/>
        </w:rPr>
        <w:t>・</w:t>
      </w:r>
      <w:r>
        <w:rPr>
          <w:kern w:val="0"/>
          <w:sz w:val="28"/>
          <w:szCs w:val="28"/>
        </w:rPr>
        <w:t>a、水土未检测到污染；</w:t>
      </w:r>
    </w:p>
    <w:p w14:paraId="2FFCE912">
      <w:pPr>
        <w:widowControl/>
        <w:spacing w:line="360" w:lineRule="auto"/>
        <w:ind w:firstLine="560" w:firstLineChars="200"/>
        <w:rPr>
          <w:kern w:val="0"/>
          <w:sz w:val="28"/>
          <w:szCs w:val="28"/>
        </w:rPr>
      </w:pPr>
      <w:r>
        <w:rPr>
          <w:kern w:val="0"/>
          <w:sz w:val="28"/>
          <w:szCs w:val="28"/>
        </w:rPr>
        <w:t xml:space="preserve">②较严重：植被覆盖度 </w:t>
      </w:r>
      <w:r>
        <w:rPr>
          <w:rFonts w:hint="eastAsia" w:ascii="宋体" w:hAnsi="宋体" w:cs="宋体"/>
          <w:spacing w:val="13"/>
          <w:sz w:val="32"/>
          <w:szCs w:val="32"/>
        </w:rPr>
        <w:t>***</w:t>
      </w:r>
      <w:r>
        <w:rPr>
          <w:kern w:val="0"/>
          <w:sz w:val="28"/>
          <w:szCs w:val="28"/>
        </w:rPr>
        <w:t>%-</w:t>
      </w:r>
      <w:r>
        <w:rPr>
          <w:rFonts w:hint="eastAsia" w:ascii="宋体" w:hAnsi="宋体" w:cs="宋体"/>
          <w:spacing w:val="13"/>
          <w:sz w:val="32"/>
          <w:szCs w:val="32"/>
        </w:rPr>
        <w:t>***</w:t>
      </w:r>
      <w:r>
        <w:rPr>
          <w:kern w:val="0"/>
          <w:sz w:val="28"/>
          <w:szCs w:val="28"/>
        </w:rPr>
        <w:t xml:space="preserve">%，原生植被破坏严重、生物栖息地破碎化，物种数量下降、土壤侵蚀模数 </w:t>
      </w:r>
      <w:r>
        <w:rPr>
          <w:rFonts w:hint="eastAsia" w:ascii="宋体" w:hAnsi="宋体" w:cs="宋体"/>
          <w:spacing w:val="13"/>
          <w:sz w:val="32"/>
          <w:szCs w:val="32"/>
        </w:rPr>
        <w:t>***</w:t>
      </w:r>
      <w:r>
        <w:rPr>
          <w:kern w:val="0"/>
          <w:sz w:val="28"/>
          <w:szCs w:val="28"/>
        </w:rPr>
        <w:t>-</w:t>
      </w:r>
      <w:r>
        <w:rPr>
          <w:rFonts w:hint="eastAsia" w:ascii="宋体" w:hAnsi="宋体" w:cs="宋体"/>
          <w:spacing w:val="13"/>
          <w:sz w:val="32"/>
          <w:szCs w:val="32"/>
        </w:rPr>
        <w:t>***</w:t>
      </w:r>
      <w:r>
        <w:rPr>
          <w:kern w:val="0"/>
          <w:sz w:val="28"/>
          <w:szCs w:val="28"/>
        </w:rPr>
        <w:t>t/km²</w:t>
      </w:r>
      <w:r>
        <w:rPr>
          <w:rFonts w:eastAsia="微软雅黑"/>
          <w:kern w:val="0"/>
          <w:sz w:val="28"/>
          <w:szCs w:val="28"/>
        </w:rPr>
        <w:t>・</w:t>
      </w:r>
      <w:r>
        <w:rPr>
          <w:kern w:val="0"/>
          <w:sz w:val="28"/>
          <w:szCs w:val="28"/>
        </w:rPr>
        <w:t>a、水土环境局部轻微污染，无显著危害；</w:t>
      </w:r>
    </w:p>
    <w:p w14:paraId="1486355A">
      <w:pPr>
        <w:widowControl/>
        <w:spacing w:line="360" w:lineRule="auto"/>
        <w:ind w:firstLine="560" w:firstLineChars="200"/>
        <w:rPr>
          <w:kern w:val="0"/>
          <w:sz w:val="28"/>
          <w:szCs w:val="28"/>
        </w:rPr>
      </w:pPr>
      <w:r>
        <w:rPr>
          <w:kern w:val="0"/>
          <w:sz w:val="28"/>
          <w:szCs w:val="28"/>
        </w:rPr>
        <w:t>③严重：植被覆盖度＜</w:t>
      </w:r>
      <w:r>
        <w:rPr>
          <w:rFonts w:hint="eastAsia" w:ascii="宋体" w:hAnsi="宋体" w:cs="宋体"/>
          <w:spacing w:val="13"/>
          <w:sz w:val="32"/>
          <w:szCs w:val="32"/>
        </w:rPr>
        <w:t>***</w:t>
      </w:r>
      <w:r>
        <w:rPr>
          <w:kern w:val="0"/>
          <w:sz w:val="28"/>
          <w:szCs w:val="28"/>
        </w:rPr>
        <w:t>%，原生植被消失、生物栖息地完全破坏，物种大幅减少、土壤侵蚀模数＞</w:t>
      </w:r>
      <w:r>
        <w:rPr>
          <w:rFonts w:hint="eastAsia" w:ascii="宋体" w:hAnsi="宋体" w:cs="宋体"/>
          <w:spacing w:val="13"/>
          <w:sz w:val="32"/>
          <w:szCs w:val="32"/>
        </w:rPr>
        <w:t>***</w:t>
      </w:r>
      <w:r>
        <w:rPr>
          <w:kern w:val="0"/>
          <w:sz w:val="28"/>
          <w:szCs w:val="28"/>
        </w:rPr>
        <w:t>t/km²</w:t>
      </w:r>
      <w:r>
        <w:rPr>
          <w:rFonts w:eastAsia="微软雅黑"/>
          <w:kern w:val="0"/>
          <w:sz w:val="28"/>
          <w:szCs w:val="28"/>
        </w:rPr>
        <w:t>・</w:t>
      </w:r>
      <w:r>
        <w:rPr>
          <w:kern w:val="0"/>
          <w:sz w:val="28"/>
          <w:szCs w:val="28"/>
        </w:rPr>
        <w:t>a、水土环境污染物超标，影响生态安全。</w:t>
      </w:r>
    </w:p>
    <w:p w14:paraId="7BB9810D">
      <w:pPr>
        <w:widowControl/>
        <w:spacing w:line="360" w:lineRule="auto"/>
        <w:ind w:firstLine="560" w:firstLineChars="200"/>
        <w:rPr>
          <w:kern w:val="0"/>
          <w:sz w:val="28"/>
          <w:szCs w:val="28"/>
        </w:rPr>
      </w:pPr>
      <w:r>
        <w:rPr>
          <w:kern w:val="0"/>
          <w:sz w:val="28"/>
          <w:szCs w:val="28"/>
        </w:rPr>
        <w:t>生态受损程度评价指标划分表见表3-</w:t>
      </w:r>
      <w:r>
        <w:rPr>
          <w:rFonts w:hint="eastAsia"/>
          <w:kern w:val="0"/>
          <w:sz w:val="28"/>
          <w:szCs w:val="28"/>
        </w:rPr>
        <w:t>49</w:t>
      </w:r>
      <w:r>
        <w:rPr>
          <w:kern w:val="0"/>
          <w:sz w:val="28"/>
          <w:szCs w:val="28"/>
        </w:rPr>
        <w:t>。</w:t>
      </w:r>
    </w:p>
    <w:p w14:paraId="1698DB3E">
      <w:pPr>
        <w:widowControl/>
        <w:snapToGrid w:val="0"/>
        <w:jc w:val="center"/>
        <w:rPr>
          <w:rFonts w:eastAsia="黑体"/>
          <w:bCs/>
          <w:sz w:val="24"/>
          <w:szCs w:val="24"/>
        </w:rPr>
      </w:pPr>
      <w:r>
        <w:rPr>
          <w:rFonts w:eastAsia="黑体"/>
          <w:bCs/>
          <w:sz w:val="24"/>
          <w:szCs w:val="24"/>
        </w:rPr>
        <w:t>表3-</w:t>
      </w:r>
      <w:r>
        <w:rPr>
          <w:rFonts w:hint="eastAsia" w:eastAsia="黑体"/>
          <w:bCs/>
          <w:sz w:val="24"/>
          <w:szCs w:val="24"/>
        </w:rPr>
        <w:t>49</w:t>
      </w:r>
      <w:r>
        <w:rPr>
          <w:rFonts w:eastAsia="黑体"/>
          <w:bCs/>
          <w:sz w:val="24"/>
          <w:szCs w:val="24"/>
        </w:rPr>
        <w:t xml:space="preserve">  生态受损分级参考标准表</w:t>
      </w:r>
    </w:p>
    <w:p w14:paraId="011F9565">
      <w:pPr>
        <w:widowControl/>
        <w:rPr>
          <w:kern w:val="0"/>
          <w:sz w:val="22"/>
          <w:szCs w:val="22"/>
        </w:rPr>
      </w:pPr>
    </w:p>
    <w:p w14:paraId="33B2FC30">
      <w:pPr>
        <w:spacing w:line="360" w:lineRule="auto"/>
        <w:ind w:firstLine="560" w:firstLineChars="200"/>
        <w:rPr>
          <w:sz w:val="28"/>
          <w:szCs w:val="28"/>
          <w:lang w:bidi="en-US"/>
        </w:rPr>
      </w:pPr>
      <w:r>
        <w:rPr>
          <w:kern w:val="0"/>
          <w:sz w:val="28"/>
          <w:szCs w:val="28"/>
        </w:rPr>
        <w:t>受损程度分级采取上一级别优先原则，只要有一条符合即受损程度定为该级别。</w:t>
      </w:r>
    </w:p>
    <w:p w14:paraId="748195A0">
      <w:pPr>
        <w:spacing w:line="360" w:lineRule="auto"/>
        <w:ind w:firstLine="560" w:firstLineChars="200"/>
        <w:rPr>
          <w:sz w:val="28"/>
          <w:szCs w:val="28"/>
          <w:lang w:bidi="en-US"/>
        </w:rPr>
      </w:pPr>
      <w:r>
        <w:rPr>
          <w:kern w:val="0"/>
          <w:sz w:val="28"/>
          <w:szCs w:val="28"/>
        </w:rPr>
        <w:t>2、生态受损程度评价</w:t>
      </w:r>
    </w:p>
    <w:p w14:paraId="2A561ED0">
      <w:pPr>
        <w:widowControl/>
        <w:spacing w:line="360" w:lineRule="auto"/>
        <w:ind w:firstLine="560" w:firstLineChars="200"/>
        <w:rPr>
          <w:kern w:val="0"/>
          <w:sz w:val="28"/>
          <w:szCs w:val="28"/>
        </w:rPr>
      </w:pPr>
      <w:r>
        <w:rPr>
          <w:kern w:val="0"/>
          <w:sz w:val="28"/>
          <w:szCs w:val="28"/>
        </w:rPr>
        <w:t>（1）植被损毁预测</w:t>
      </w:r>
    </w:p>
    <w:p w14:paraId="44E8E136">
      <w:pPr>
        <w:widowControl/>
        <w:spacing w:line="360" w:lineRule="auto"/>
        <w:ind w:firstLine="560" w:firstLineChars="200"/>
        <w:rPr>
          <w:kern w:val="0"/>
          <w:sz w:val="28"/>
          <w:szCs w:val="28"/>
        </w:rPr>
      </w:pPr>
      <w:r>
        <w:rPr>
          <w:kern w:val="0"/>
          <w:sz w:val="28"/>
          <w:szCs w:val="28"/>
        </w:rPr>
        <w:t>拟建</w:t>
      </w:r>
      <w:r>
        <w:rPr>
          <w:rFonts w:hint="eastAsia"/>
          <w:kern w:val="0"/>
          <w:sz w:val="28"/>
          <w:szCs w:val="28"/>
        </w:rPr>
        <w:t>露天采场开采对原生植被造成挖损破坏，破坏时限长达整个生产期，</w:t>
      </w:r>
      <w:r>
        <w:rPr>
          <w:kern w:val="0"/>
          <w:sz w:val="28"/>
          <w:szCs w:val="28"/>
        </w:rPr>
        <w:t>因此判定</w:t>
      </w:r>
      <w:r>
        <w:rPr>
          <w:rFonts w:hint="eastAsia"/>
          <w:kern w:val="0"/>
          <w:sz w:val="28"/>
          <w:szCs w:val="28"/>
        </w:rPr>
        <w:t>拟建露天采场</w:t>
      </w:r>
      <w:r>
        <w:rPr>
          <w:kern w:val="0"/>
          <w:sz w:val="28"/>
          <w:szCs w:val="28"/>
        </w:rPr>
        <w:t>对植被损毁程度为“严重”</w:t>
      </w:r>
      <w:r>
        <w:rPr>
          <w:rFonts w:hint="eastAsia"/>
          <w:kern w:val="0"/>
          <w:sz w:val="28"/>
          <w:szCs w:val="28"/>
        </w:rPr>
        <w:t>。</w:t>
      </w:r>
    </w:p>
    <w:p w14:paraId="3514B1AE">
      <w:pPr>
        <w:widowControl/>
        <w:spacing w:line="360" w:lineRule="auto"/>
        <w:ind w:firstLine="560" w:firstLineChars="200"/>
        <w:rPr>
          <w:kern w:val="0"/>
          <w:sz w:val="28"/>
          <w:szCs w:val="28"/>
        </w:rPr>
      </w:pPr>
      <w:r>
        <w:rPr>
          <w:rFonts w:hint="eastAsia"/>
          <w:kern w:val="0"/>
          <w:sz w:val="28"/>
          <w:szCs w:val="28"/>
        </w:rPr>
        <w:t>拟建排土场、拟建办公生活区、拟建截洪沟、拟建矿区道路、工业场地，场地建设前均对植被造成损毁，导致场地无植被覆盖，</w:t>
      </w:r>
      <w:r>
        <w:rPr>
          <w:kern w:val="0"/>
          <w:sz w:val="28"/>
          <w:szCs w:val="28"/>
          <w:lang w:bidi="en-US"/>
        </w:rPr>
        <w:t>故认为</w:t>
      </w:r>
      <w:r>
        <w:rPr>
          <w:rFonts w:hint="eastAsia"/>
          <w:sz w:val="28"/>
          <w:szCs w:val="28"/>
        </w:rPr>
        <w:t>上述场地</w:t>
      </w:r>
      <w:r>
        <w:rPr>
          <w:kern w:val="0"/>
          <w:sz w:val="28"/>
          <w:szCs w:val="28"/>
        </w:rPr>
        <w:t>植被损毁程度为“严重”。</w:t>
      </w:r>
    </w:p>
    <w:p w14:paraId="75F12A9D">
      <w:pPr>
        <w:widowControl/>
        <w:spacing w:line="360" w:lineRule="auto"/>
        <w:ind w:firstLine="560" w:firstLineChars="200"/>
        <w:rPr>
          <w:kern w:val="0"/>
          <w:sz w:val="28"/>
          <w:szCs w:val="28"/>
        </w:rPr>
      </w:pPr>
      <w:r>
        <w:rPr>
          <w:sz w:val="28"/>
          <w:szCs w:val="28"/>
        </w:rPr>
        <w:t>露天采场</w:t>
      </w:r>
      <w:r>
        <w:rPr>
          <w:rFonts w:hint="eastAsia"/>
          <w:sz w:val="28"/>
          <w:szCs w:val="28"/>
        </w:rPr>
        <w:t>（矿区外），整体植被覆盖度低于</w:t>
      </w:r>
      <w:r>
        <w:rPr>
          <w:rFonts w:hint="eastAsia" w:ascii="宋体" w:hAnsi="宋体" w:cs="宋体"/>
          <w:spacing w:val="13"/>
          <w:sz w:val="32"/>
          <w:szCs w:val="32"/>
        </w:rPr>
        <w:t>***</w:t>
      </w:r>
      <w:r>
        <w:rPr>
          <w:sz w:val="28"/>
          <w:szCs w:val="28"/>
        </w:rPr>
        <w:t>%</w:t>
      </w:r>
      <w:r>
        <w:rPr>
          <w:rFonts w:hint="eastAsia"/>
          <w:sz w:val="28"/>
          <w:szCs w:val="28"/>
        </w:rPr>
        <w:t>；</w:t>
      </w:r>
      <w:r>
        <w:rPr>
          <w:sz w:val="28"/>
          <w:szCs w:val="28"/>
        </w:rPr>
        <w:t>根据生态受损分级参考标准表（表3-</w:t>
      </w:r>
      <w:r>
        <w:rPr>
          <w:rFonts w:hint="eastAsia"/>
          <w:sz w:val="28"/>
          <w:szCs w:val="28"/>
        </w:rPr>
        <w:t>49</w:t>
      </w:r>
      <w:r>
        <w:rPr>
          <w:sz w:val="28"/>
          <w:szCs w:val="28"/>
        </w:rPr>
        <w:t>），植被覆盖度＜</w:t>
      </w:r>
      <w:r>
        <w:rPr>
          <w:rFonts w:hint="eastAsia" w:ascii="宋体" w:hAnsi="宋体" w:cs="宋体"/>
          <w:spacing w:val="13"/>
          <w:sz w:val="32"/>
          <w:szCs w:val="32"/>
        </w:rPr>
        <w:t>***</w:t>
      </w:r>
      <w:r>
        <w:rPr>
          <w:sz w:val="28"/>
          <w:szCs w:val="28"/>
        </w:rPr>
        <w:t>%，原生植被消失，</w:t>
      </w:r>
      <w:r>
        <w:rPr>
          <w:kern w:val="0"/>
          <w:sz w:val="28"/>
          <w:szCs w:val="28"/>
          <w:lang w:bidi="en-US"/>
        </w:rPr>
        <w:t>故认为</w:t>
      </w:r>
      <w:r>
        <w:rPr>
          <w:sz w:val="28"/>
          <w:szCs w:val="28"/>
        </w:rPr>
        <w:t>露天采场</w:t>
      </w:r>
      <w:r>
        <w:rPr>
          <w:rFonts w:hint="eastAsia"/>
          <w:sz w:val="28"/>
          <w:szCs w:val="28"/>
        </w:rPr>
        <w:t>（矿区外）</w:t>
      </w:r>
      <w:r>
        <w:rPr>
          <w:kern w:val="0"/>
          <w:sz w:val="28"/>
          <w:szCs w:val="28"/>
        </w:rPr>
        <w:t>植被损毁程度为“严重”。</w:t>
      </w:r>
    </w:p>
    <w:p w14:paraId="3FFCB109">
      <w:pPr>
        <w:widowControl/>
        <w:spacing w:line="360" w:lineRule="auto"/>
        <w:ind w:firstLine="560" w:firstLineChars="200"/>
        <w:rPr>
          <w:kern w:val="0"/>
          <w:sz w:val="28"/>
          <w:szCs w:val="28"/>
        </w:rPr>
      </w:pPr>
      <w:r>
        <w:rPr>
          <w:kern w:val="0"/>
          <w:sz w:val="28"/>
          <w:szCs w:val="28"/>
        </w:rPr>
        <w:t>（2）土壤污染预测</w:t>
      </w:r>
    </w:p>
    <w:p w14:paraId="5C20849A">
      <w:pPr>
        <w:widowControl/>
        <w:spacing w:line="360" w:lineRule="auto"/>
        <w:ind w:firstLine="560" w:firstLineChars="200"/>
        <w:rPr>
          <w:kern w:val="0"/>
          <w:sz w:val="28"/>
          <w:szCs w:val="28"/>
        </w:rPr>
      </w:pPr>
      <w:r>
        <w:rPr>
          <w:kern w:val="0"/>
          <w:sz w:val="28"/>
          <w:szCs w:val="28"/>
        </w:rPr>
        <w:t>矿山定期对矿区周边土壤进行检测，通过历史的检测结果，矿区土壤无污染。</w:t>
      </w:r>
    </w:p>
    <w:p w14:paraId="668BFC15">
      <w:pPr>
        <w:widowControl/>
        <w:spacing w:line="360" w:lineRule="auto"/>
        <w:ind w:firstLine="560" w:firstLineChars="200"/>
        <w:rPr>
          <w:kern w:val="0"/>
          <w:sz w:val="28"/>
          <w:szCs w:val="28"/>
        </w:rPr>
      </w:pPr>
      <w:r>
        <w:rPr>
          <w:kern w:val="0"/>
          <w:sz w:val="28"/>
          <w:szCs w:val="28"/>
        </w:rPr>
        <w:t>矿区后期生产继续沿用露天开采方式，开采方式与开采矿种均不变，预测矿区未来开采不会对矿区土壤造成污染。</w:t>
      </w:r>
    </w:p>
    <w:p w14:paraId="2352A04D">
      <w:pPr>
        <w:widowControl/>
        <w:spacing w:line="360" w:lineRule="auto"/>
        <w:ind w:firstLine="560" w:firstLineChars="200"/>
        <w:rPr>
          <w:kern w:val="0"/>
          <w:sz w:val="28"/>
          <w:szCs w:val="28"/>
        </w:rPr>
      </w:pPr>
      <w:r>
        <w:rPr>
          <w:kern w:val="0"/>
          <w:sz w:val="28"/>
          <w:szCs w:val="28"/>
        </w:rPr>
        <w:t>因此预测矿区土壤污染程度较轻。</w:t>
      </w:r>
    </w:p>
    <w:p w14:paraId="33DC6850">
      <w:pPr>
        <w:widowControl/>
        <w:spacing w:line="360" w:lineRule="auto"/>
        <w:ind w:firstLine="560" w:firstLineChars="200"/>
        <w:rPr>
          <w:kern w:val="0"/>
          <w:sz w:val="28"/>
          <w:szCs w:val="28"/>
        </w:rPr>
      </w:pPr>
      <w:r>
        <w:rPr>
          <w:kern w:val="0"/>
          <w:sz w:val="28"/>
          <w:szCs w:val="28"/>
        </w:rPr>
        <w:t>（3）生物多样性预测</w:t>
      </w:r>
    </w:p>
    <w:p w14:paraId="299AA3B3">
      <w:pPr>
        <w:widowControl/>
        <w:spacing w:line="360" w:lineRule="auto"/>
        <w:ind w:firstLine="560" w:firstLineChars="200"/>
        <w:rPr>
          <w:kern w:val="0"/>
          <w:sz w:val="28"/>
          <w:szCs w:val="28"/>
        </w:rPr>
      </w:pPr>
      <w:r>
        <w:rPr>
          <w:kern w:val="0"/>
          <w:sz w:val="28"/>
          <w:szCs w:val="28"/>
        </w:rPr>
        <w:t>拟建</w:t>
      </w:r>
      <w:r>
        <w:rPr>
          <w:rFonts w:hint="eastAsia"/>
          <w:kern w:val="0"/>
          <w:sz w:val="28"/>
          <w:szCs w:val="28"/>
        </w:rPr>
        <w:t>露天采场开采对原生植被造成挖损破坏，至使拟建露天采场范围内生物</w:t>
      </w:r>
      <w:r>
        <w:rPr>
          <w:kern w:val="0"/>
          <w:sz w:val="28"/>
          <w:szCs w:val="28"/>
        </w:rPr>
        <w:t>栖息地完全破坏，物种大幅减少，因此判定拟建</w:t>
      </w:r>
      <w:r>
        <w:rPr>
          <w:rFonts w:hint="eastAsia"/>
          <w:kern w:val="0"/>
          <w:sz w:val="28"/>
          <w:szCs w:val="28"/>
        </w:rPr>
        <w:t>露天采场</w:t>
      </w:r>
      <w:r>
        <w:rPr>
          <w:kern w:val="0"/>
          <w:sz w:val="28"/>
          <w:szCs w:val="28"/>
        </w:rPr>
        <w:t>对生物多样性丧失程度为“严重”</w:t>
      </w:r>
      <w:r>
        <w:rPr>
          <w:rFonts w:hint="eastAsia"/>
          <w:kern w:val="0"/>
          <w:sz w:val="28"/>
          <w:szCs w:val="28"/>
        </w:rPr>
        <w:t>。</w:t>
      </w:r>
    </w:p>
    <w:p w14:paraId="2C86CD51">
      <w:pPr>
        <w:widowControl/>
        <w:spacing w:line="360" w:lineRule="auto"/>
        <w:ind w:firstLine="560" w:firstLineChars="200"/>
        <w:rPr>
          <w:kern w:val="0"/>
          <w:sz w:val="28"/>
          <w:szCs w:val="28"/>
        </w:rPr>
      </w:pPr>
      <w:r>
        <w:rPr>
          <w:rFonts w:hint="eastAsia"/>
          <w:kern w:val="0"/>
          <w:sz w:val="28"/>
          <w:szCs w:val="28"/>
        </w:rPr>
        <w:t>拟建排土场、拟建办公生活区、拟建截洪沟、拟建矿区道路、工业场地，生物</w:t>
      </w:r>
      <w:r>
        <w:rPr>
          <w:kern w:val="0"/>
          <w:sz w:val="28"/>
          <w:szCs w:val="28"/>
        </w:rPr>
        <w:t>栖息地完全破坏，物种大幅减少，因此判定</w:t>
      </w:r>
      <w:r>
        <w:rPr>
          <w:rFonts w:hint="eastAsia"/>
          <w:kern w:val="0"/>
          <w:sz w:val="28"/>
          <w:szCs w:val="28"/>
        </w:rPr>
        <w:t>上述场地</w:t>
      </w:r>
      <w:r>
        <w:rPr>
          <w:kern w:val="0"/>
          <w:sz w:val="28"/>
          <w:szCs w:val="28"/>
        </w:rPr>
        <w:t>对生物多样性丧失程度为“严重”</w:t>
      </w:r>
      <w:r>
        <w:rPr>
          <w:rFonts w:hint="eastAsia"/>
          <w:kern w:val="0"/>
          <w:sz w:val="28"/>
          <w:szCs w:val="28"/>
        </w:rPr>
        <w:t>。</w:t>
      </w:r>
    </w:p>
    <w:p w14:paraId="4A7F543F">
      <w:pPr>
        <w:widowControl/>
        <w:spacing w:line="360" w:lineRule="auto"/>
        <w:ind w:firstLine="560" w:firstLineChars="200"/>
        <w:rPr>
          <w:kern w:val="0"/>
          <w:sz w:val="28"/>
          <w:szCs w:val="28"/>
        </w:rPr>
      </w:pPr>
      <w:r>
        <w:rPr>
          <w:sz w:val="28"/>
          <w:szCs w:val="28"/>
        </w:rPr>
        <w:t>露天采场</w:t>
      </w:r>
      <w:r>
        <w:rPr>
          <w:rFonts w:hint="eastAsia"/>
          <w:sz w:val="28"/>
          <w:szCs w:val="28"/>
        </w:rPr>
        <w:t>（矿区外）整体植被覆盖度低于</w:t>
      </w:r>
      <w:r>
        <w:rPr>
          <w:rFonts w:hint="eastAsia" w:ascii="宋体" w:hAnsi="宋体" w:cs="宋体"/>
          <w:spacing w:val="13"/>
          <w:sz w:val="32"/>
          <w:szCs w:val="32"/>
        </w:rPr>
        <w:t>***</w:t>
      </w:r>
      <w:r>
        <w:rPr>
          <w:sz w:val="28"/>
          <w:szCs w:val="28"/>
        </w:rPr>
        <w:t>%</w:t>
      </w:r>
      <w:r>
        <w:rPr>
          <w:rFonts w:hint="eastAsia"/>
          <w:sz w:val="28"/>
          <w:szCs w:val="28"/>
        </w:rPr>
        <w:t>，</w:t>
      </w:r>
      <w:r>
        <w:rPr>
          <w:kern w:val="0"/>
          <w:sz w:val="28"/>
          <w:szCs w:val="28"/>
        </w:rPr>
        <w:t>导致栖息地完全破坏，物种大幅减少，因此判定</w:t>
      </w:r>
      <w:r>
        <w:rPr>
          <w:sz w:val="28"/>
          <w:szCs w:val="28"/>
        </w:rPr>
        <w:t>露天采场</w:t>
      </w:r>
      <w:r>
        <w:rPr>
          <w:rFonts w:hint="eastAsia"/>
          <w:sz w:val="28"/>
          <w:szCs w:val="28"/>
        </w:rPr>
        <w:t>（矿区外）</w:t>
      </w:r>
      <w:r>
        <w:rPr>
          <w:kern w:val="0"/>
          <w:sz w:val="28"/>
          <w:szCs w:val="28"/>
        </w:rPr>
        <w:t>对生物多样性丧失程度为“严重”</w:t>
      </w:r>
      <w:r>
        <w:rPr>
          <w:rFonts w:hint="eastAsia"/>
          <w:kern w:val="0"/>
          <w:sz w:val="28"/>
          <w:szCs w:val="28"/>
        </w:rPr>
        <w:t>。</w:t>
      </w:r>
    </w:p>
    <w:p w14:paraId="11CFDB18">
      <w:pPr>
        <w:widowControl/>
        <w:spacing w:line="360" w:lineRule="auto"/>
        <w:ind w:firstLine="560" w:firstLineChars="200"/>
        <w:rPr>
          <w:kern w:val="0"/>
          <w:sz w:val="28"/>
          <w:szCs w:val="28"/>
        </w:rPr>
      </w:pPr>
      <w:r>
        <w:rPr>
          <w:kern w:val="0"/>
          <w:sz w:val="28"/>
          <w:szCs w:val="28"/>
        </w:rPr>
        <w:t>（4）水土流失程度预测</w:t>
      </w:r>
    </w:p>
    <w:p w14:paraId="6E14D1E7">
      <w:pPr>
        <w:spacing w:line="360" w:lineRule="auto"/>
        <w:ind w:firstLine="560" w:firstLineChars="200"/>
        <w:rPr>
          <w:kern w:val="0"/>
          <w:sz w:val="28"/>
          <w:szCs w:val="28"/>
        </w:rPr>
      </w:pPr>
      <w:r>
        <w:rPr>
          <w:rFonts w:hint="eastAsia"/>
          <w:kern w:val="0"/>
          <w:sz w:val="28"/>
          <w:szCs w:val="28"/>
        </w:rPr>
        <w:t>拟建排土场、拟建矿区道路对原生植被造成挖损破坏，</w:t>
      </w:r>
      <w:r>
        <w:rPr>
          <w:kern w:val="0"/>
          <w:sz w:val="28"/>
          <w:szCs w:val="28"/>
        </w:rPr>
        <w:t>导致水土流失侵蚀模数剧增，因此判定</w:t>
      </w:r>
      <w:r>
        <w:rPr>
          <w:rFonts w:hint="eastAsia"/>
          <w:kern w:val="0"/>
          <w:sz w:val="28"/>
          <w:szCs w:val="28"/>
        </w:rPr>
        <w:t>拟建排土场、拟建矿区道路</w:t>
      </w:r>
      <w:r>
        <w:rPr>
          <w:kern w:val="0"/>
          <w:sz w:val="28"/>
          <w:szCs w:val="28"/>
        </w:rPr>
        <w:t>对水土流失程度为“严重”。</w:t>
      </w:r>
    </w:p>
    <w:p w14:paraId="2FC56EE0">
      <w:pPr>
        <w:spacing w:line="360" w:lineRule="auto"/>
        <w:ind w:firstLine="560" w:firstLineChars="200"/>
        <w:rPr>
          <w:kern w:val="0"/>
          <w:sz w:val="28"/>
          <w:szCs w:val="28"/>
        </w:rPr>
      </w:pPr>
      <w:r>
        <w:rPr>
          <w:kern w:val="0"/>
          <w:sz w:val="28"/>
          <w:szCs w:val="28"/>
        </w:rPr>
        <w:t>拟建</w:t>
      </w:r>
      <w:r>
        <w:rPr>
          <w:rFonts w:hint="eastAsia"/>
          <w:kern w:val="0"/>
          <w:sz w:val="28"/>
          <w:szCs w:val="28"/>
        </w:rPr>
        <w:t>露天采场、</w:t>
      </w:r>
      <w:r>
        <w:rPr>
          <w:sz w:val="28"/>
          <w:szCs w:val="28"/>
        </w:rPr>
        <w:t>露天采场</w:t>
      </w:r>
      <w:r>
        <w:rPr>
          <w:rFonts w:hint="eastAsia"/>
          <w:sz w:val="28"/>
          <w:szCs w:val="28"/>
        </w:rPr>
        <w:t>（矿区外）</w:t>
      </w:r>
      <w:r>
        <w:rPr>
          <w:rFonts w:hint="eastAsia"/>
          <w:kern w:val="0"/>
          <w:sz w:val="28"/>
          <w:szCs w:val="28"/>
        </w:rPr>
        <w:t>开采对原生植被造成挖损破坏，</w:t>
      </w:r>
      <w:r>
        <w:rPr>
          <w:rFonts w:hint="eastAsia"/>
          <w:sz w:val="28"/>
          <w:szCs w:val="28"/>
        </w:rPr>
        <w:t>地表基岩裸露，无土层覆盖，可侵蚀的土壤物质较少，土壤流失模数较低；但岩体风化破碎，坡面陡峭，降雨形成地表径流冲刷岩面及风化岩屑，易引发岩屑流失与坡面冲刷，侵蚀物质以岩粉、碎石碎屑为主。</w:t>
      </w:r>
      <w:r>
        <w:rPr>
          <w:rFonts w:hint="eastAsia"/>
          <w:kern w:val="0"/>
          <w:sz w:val="28"/>
          <w:szCs w:val="28"/>
        </w:rPr>
        <w:t>因此认为上述场地对水土流失问题为“较严重”。</w:t>
      </w:r>
    </w:p>
    <w:p w14:paraId="443B46D7">
      <w:pPr>
        <w:spacing w:line="360" w:lineRule="auto"/>
        <w:ind w:firstLine="560" w:firstLineChars="200"/>
        <w:rPr>
          <w:kern w:val="0"/>
          <w:sz w:val="28"/>
          <w:szCs w:val="28"/>
        </w:rPr>
      </w:pPr>
      <w:r>
        <w:rPr>
          <w:rFonts w:hint="eastAsia"/>
          <w:kern w:val="0"/>
          <w:sz w:val="28"/>
          <w:szCs w:val="28"/>
        </w:rPr>
        <w:t>拟建办公生活区、拟建截洪沟、工业场地，建设前对原生植被造成挖损破坏，但建成后将对场地进行硬化，可有效缓解水土流失侵蚀模数</w:t>
      </w:r>
      <w:r>
        <w:rPr>
          <w:kern w:val="0"/>
          <w:sz w:val="28"/>
          <w:szCs w:val="28"/>
        </w:rPr>
        <w:t>因此判定</w:t>
      </w:r>
      <w:r>
        <w:rPr>
          <w:rFonts w:hint="eastAsia"/>
          <w:kern w:val="0"/>
          <w:sz w:val="28"/>
          <w:szCs w:val="28"/>
        </w:rPr>
        <w:t>拟建办公生活区、拟建截洪沟、工业场地</w:t>
      </w:r>
      <w:r>
        <w:rPr>
          <w:kern w:val="0"/>
          <w:sz w:val="28"/>
          <w:szCs w:val="28"/>
        </w:rPr>
        <w:t>对水土流失程度为“</w:t>
      </w:r>
      <w:r>
        <w:rPr>
          <w:rFonts w:hint="eastAsia"/>
          <w:kern w:val="0"/>
          <w:sz w:val="28"/>
          <w:szCs w:val="28"/>
        </w:rPr>
        <w:t>较轻</w:t>
      </w:r>
      <w:r>
        <w:rPr>
          <w:kern w:val="0"/>
          <w:sz w:val="28"/>
          <w:szCs w:val="28"/>
        </w:rPr>
        <w:t>”。</w:t>
      </w:r>
    </w:p>
    <w:p w14:paraId="31197A2D">
      <w:pPr>
        <w:widowControl/>
        <w:spacing w:line="360" w:lineRule="auto"/>
        <w:ind w:firstLine="560" w:firstLineChars="200"/>
        <w:rPr>
          <w:kern w:val="0"/>
          <w:sz w:val="28"/>
          <w:szCs w:val="28"/>
        </w:rPr>
      </w:pPr>
      <w:r>
        <w:rPr>
          <w:kern w:val="0"/>
          <w:sz w:val="28"/>
          <w:szCs w:val="28"/>
        </w:rPr>
        <w:t>（5）水环境污染程度预测</w:t>
      </w:r>
    </w:p>
    <w:p w14:paraId="3970E28B">
      <w:pPr>
        <w:widowControl/>
        <w:spacing w:line="360" w:lineRule="auto"/>
        <w:ind w:firstLine="560" w:firstLineChars="200"/>
        <w:rPr>
          <w:kern w:val="0"/>
          <w:sz w:val="28"/>
          <w:szCs w:val="28"/>
        </w:rPr>
      </w:pPr>
      <w:r>
        <w:rPr>
          <w:kern w:val="0"/>
          <w:sz w:val="28"/>
          <w:szCs w:val="28"/>
        </w:rPr>
        <w:t>矿山定期对矿山水源井、周边存在水源井等矿区周边水源进行检测，通过历史的检测结果，矿区水质无污染。</w:t>
      </w:r>
    </w:p>
    <w:p w14:paraId="3AAFD24D">
      <w:pPr>
        <w:widowControl/>
        <w:spacing w:line="360" w:lineRule="auto"/>
        <w:ind w:firstLine="560" w:firstLineChars="200"/>
        <w:rPr>
          <w:kern w:val="0"/>
          <w:sz w:val="28"/>
          <w:szCs w:val="28"/>
        </w:rPr>
      </w:pPr>
      <w:r>
        <w:rPr>
          <w:kern w:val="0"/>
          <w:sz w:val="28"/>
          <w:szCs w:val="28"/>
        </w:rPr>
        <w:t>矿区后期生产继续沿用露天开采方式，开采方式与开采矿种均不变，预测矿区未来开采不会对矿区水质及周边水源造成污染。</w:t>
      </w:r>
    </w:p>
    <w:p w14:paraId="0623ABB8">
      <w:pPr>
        <w:widowControl/>
        <w:spacing w:line="360" w:lineRule="auto"/>
        <w:ind w:firstLine="560" w:firstLineChars="200"/>
        <w:rPr>
          <w:kern w:val="0"/>
          <w:sz w:val="28"/>
          <w:szCs w:val="28"/>
        </w:rPr>
      </w:pPr>
      <w:r>
        <w:rPr>
          <w:kern w:val="0"/>
          <w:sz w:val="28"/>
          <w:szCs w:val="28"/>
        </w:rPr>
        <w:t>因此预测矿区水环境污染程度属于“较轻”</w:t>
      </w:r>
    </w:p>
    <w:p w14:paraId="217F59DC">
      <w:pPr>
        <w:widowControl/>
        <w:spacing w:line="360" w:lineRule="auto"/>
        <w:ind w:firstLine="560" w:firstLineChars="200"/>
        <w:rPr>
          <w:sz w:val="28"/>
          <w:szCs w:val="28"/>
        </w:rPr>
      </w:pPr>
      <w:r>
        <w:rPr>
          <w:rFonts w:hint="eastAsia"/>
          <w:sz w:val="28"/>
          <w:szCs w:val="28"/>
        </w:rPr>
        <w:t>其余</w:t>
      </w:r>
      <w:r>
        <w:rPr>
          <w:sz w:val="28"/>
          <w:szCs w:val="28"/>
        </w:rPr>
        <w:t>已形成的工程场地中</w:t>
      </w:r>
      <w:r>
        <w:rPr>
          <w:rFonts w:hint="eastAsia"/>
          <w:sz w:val="28"/>
          <w:szCs w:val="28"/>
        </w:rPr>
        <w:t>废石场1、废石场2、废石场3、办公区、生活区、门卫、钻机平台、矿区道路</w:t>
      </w:r>
      <w:r>
        <w:rPr>
          <w:rFonts w:eastAsiaTheme="minorEastAsia"/>
          <w:snapToGrid w:val="0"/>
          <w:sz w:val="28"/>
          <w:szCs w:val="28"/>
        </w:rPr>
        <w:t>单元，</w:t>
      </w:r>
      <w:r>
        <w:rPr>
          <w:sz w:val="28"/>
          <w:szCs w:val="28"/>
        </w:rPr>
        <w:t>预测各个单元对矿区生态系统受损程度评价结果与现状一致，不再重复赘述。</w:t>
      </w:r>
    </w:p>
    <w:p w14:paraId="2DA70040">
      <w:pPr>
        <w:widowControl/>
        <w:spacing w:line="360" w:lineRule="auto"/>
        <w:ind w:firstLine="560" w:firstLineChars="200"/>
        <w:rPr>
          <w:sz w:val="28"/>
          <w:szCs w:val="28"/>
        </w:rPr>
      </w:pPr>
    </w:p>
    <w:p w14:paraId="7AC15AFB">
      <w:pPr>
        <w:widowControl/>
        <w:spacing w:line="360" w:lineRule="auto"/>
        <w:ind w:firstLine="562" w:firstLineChars="200"/>
        <w:rPr>
          <w:b/>
          <w:bCs/>
          <w:sz w:val="28"/>
          <w:szCs w:val="28"/>
        </w:rPr>
      </w:pPr>
      <w:r>
        <w:rPr>
          <w:b/>
          <w:bCs/>
          <w:sz w:val="28"/>
          <w:szCs w:val="28"/>
        </w:rPr>
        <w:t>3、生态系统受损预测综合评价</w:t>
      </w:r>
    </w:p>
    <w:p w14:paraId="66CC572D">
      <w:pPr>
        <w:widowControl/>
        <w:spacing w:line="360" w:lineRule="auto"/>
        <w:ind w:firstLine="560" w:firstLineChars="200"/>
        <w:rPr>
          <w:sz w:val="28"/>
          <w:szCs w:val="28"/>
        </w:rPr>
      </w:pPr>
      <w:r>
        <w:rPr>
          <w:sz w:val="28"/>
          <w:szCs w:val="28"/>
        </w:rPr>
        <w:t>参照《金属矿土地复垦与生态修复技术规范》（GB/T 43933-2024）中6.2.3条款等相关规范，评估认为矿区生态环境影响程度见表3</w:t>
      </w:r>
      <w:r>
        <w:rPr>
          <w:sz w:val="28"/>
          <w:szCs w:val="28"/>
        </w:rPr>
        <w:noBreakHyphen/>
      </w:r>
      <w:r>
        <w:rPr>
          <w:rFonts w:hint="eastAsia"/>
          <w:sz w:val="28"/>
          <w:szCs w:val="28"/>
        </w:rPr>
        <w:t>50</w:t>
      </w:r>
      <w:r>
        <w:rPr>
          <w:sz w:val="28"/>
          <w:szCs w:val="28"/>
        </w:rPr>
        <w:t>。</w:t>
      </w:r>
    </w:p>
    <w:p w14:paraId="48394D43">
      <w:pPr>
        <w:ind w:firstLine="480"/>
        <w:jc w:val="center"/>
        <w:rPr>
          <w:rFonts w:eastAsia="黑体"/>
          <w:bCs/>
          <w:sz w:val="24"/>
          <w:szCs w:val="24"/>
        </w:rPr>
      </w:pPr>
      <w:r>
        <w:rPr>
          <w:rFonts w:eastAsia="黑体"/>
          <w:bCs/>
          <w:sz w:val="24"/>
          <w:szCs w:val="24"/>
        </w:rPr>
        <w:t>表3-</w:t>
      </w:r>
      <w:r>
        <w:rPr>
          <w:rFonts w:hint="eastAsia" w:eastAsia="黑体"/>
          <w:bCs/>
          <w:sz w:val="24"/>
          <w:szCs w:val="24"/>
        </w:rPr>
        <w:t>50</w:t>
      </w:r>
      <w:r>
        <w:rPr>
          <w:rFonts w:eastAsia="黑体"/>
          <w:bCs/>
          <w:sz w:val="24"/>
          <w:szCs w:val="24"/>
        </w:rPr>
        <w:t xml:space="preserve"> 矿区生态受损程度预测综合评价表</w:t>
      </w:r>
    </w:p>
    <w:p w14:paraId="5955DD1A">
      <w:pPr>
        <w:ind w:firstLine="480"/>
        <w:jc w:val="center"/>
        <w:rPr>
          <w:rFonts w:eastAsia="黑体"/>
          <w:bCs/>
          <w:sz w:val="24"/>
          <w:szCs w:val="24"/>
        </w:rPr>
      </w:pPr>
    </w:p>
    <w:p w14:paraId="4E101F83">
      <w:pPr>
        <w:adjustRightInd w:val="0"/>
        <w:snapToGrid w:val="0"/>
        <w:spacing w:line="360" w:lineRule="auto"/>
        <w:ind w:firstLine="562" w:firstLineChars="200"/>
        <w:outlineLvl w:val="2"/>
        <w:rPr>
          <w:b/>
          <w:bCs/>
          <w:snapToGrid w:val="0"/>
          <w:sz w:val="28"/>
          <w:szCs w:val="28"/>
        </w:rPr>
      </w:pPr>
      <w:r>
        <w:rPr>
          <w:b/>
          <w:bCs/>
          <w:snapToGrid w:val="0"/>
          <w:sz w:val="28"/>
          <w:szCs w:val="28"/>
        </w:rPr>
        <w:t>四、问题诊断评价结论</w:t>
      </w:r>
    </w:p>
    <w:p w14:paraId="5B95C219">
      <w:pPr>
        <w:pStyle w:val="88"/>
        <w:spacing w:line="360" w:lineRule="auto"/>
        <w:ind w:firstLine="562" w:firstLineChars="200"/>
        <w:jc w:val="both"/>
        <w:rPr>
          <w:rFonts w:ascii="Times New Roman" w:cs="Times New Roman"/>
          <w:b/>
          <w:bCs/>
          <w:color w:val="auto"/>
          <w:sz w:val="28"/>
          <w:szCs w:val="28"/>
          <w:shd w:val="clear" w:color="auto" w:fill="FFFFFF"/>
        </w:rPr>
      </w:pPr>
      <w:r>
        <w:rPr>
          <w:rFonts w:ascii="Times New Roman" w:cs="Times New Roman"/>
          <w:b/>
          <w:bCs/>
          <w:color w:val="auto"/>
          <w:sz w:val="28"/>
          <w:szCs w:val="28"/>
          <w:shd w:val="clear" w:color="auto" w:fill="FFFFFF"/>
        </w:rPr>
        <w:t>（一）生态修复受损程度评价原则</w:t>
      </w:r>
    </w:p>
    <w:p w14:paraId="1B442D4C">
      <w:pPr>
        <w:pStyle w:val="88"/>
        <w:spacing w:line="360" w:lineRule="auto"/>
        <w:ind w:firstLine="560" w:firstLineChars="200"/>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本次矿区生态修复主要侧重于矿山开采后对矿区地质环境、生态环境有影响的工业场地等重点部位进行恢复治理或保护，根据矿山开采设计、规划、矿区地质环境及生态环境问题的类型、规模和危害程度，矿区生态修复受损程度评价遵循以下原则：</w:t>
      </w:r>
    </w:p>
    <w:p w14:paraId="218A8BE3">
      <w:pPr>
        <w:pStyle w:val="88"/>
        <w:spacing w:line="360" w:lineRule="auto"/>
        <w:ind w:firstLine="560" w:firstLineChars="200"/>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①矿区生态修复受损程度评价包括整个矿区地质环境、土地资源问题、生态环境影响的评价范围；</w:t>
      </w:r>
    </w:p>
    <w:p w14:paraId="5B253DAF">
      <w:pPr>
        <w:pStyle w:val="88"/>
        <w:spacing w:line="360" w:lineRule="auto"/>
        <w:ind w:firstLine="560" w:firstLineChars="200"/>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②矿区生态修复因素包括矿山地质灾害、采矿活动对含水层的影响、采矿活动对地形地貌景观的破坏、土地损毁、采矿活动对水土环境污染的影响、采矿活动对生态破坏等，依据上述因素的危害或影响程度进行分区评价；</w:t>
      </w:r>
    </w:p>
    <w:p w14:paraId="3EBC4195">
      <w:pPr>
        <w:pStyle w:val="88"/>
        <w:spacing w:line="360" w:lineRule="auto"/>
        <w:ind w:firstLine="560" w:firstLineChars="200"/>
        <w:jc w:val="both"/>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③</w:t>
      </w:r>
      <w:r>
        <w:rPr>
          <w:rFonts w:hint="eastAsia" w:ascii="Times New Roman" w:cs="Times New Roman"/>
          <w:color w:val="auto"/>
          <w:sz w:val="28"/>
          <w:szCs w:val="28"/>
          <w:shd w:val="clear" w:color="auto" w:fill="FFFFFF"/>
        </w:rPr>
        <w:t>分析已损毁土地被重复损毁的可能性，</w:t>
      </w:r>
      <w:r>
        <w:rPr>
          <w:rFonts w:ascii="Times New Roman" w:cs="Times New Roman"/>
          <w:color w:val="auto"/>
          <w:sz w:val="28"/>
          <w:szCs w:val="28"/>
          <w:shd w:val="clear" w:color="auto" w:fill="FFFFFF"/>
        </w:rPr>
        <w:t>坚持“就高不就低、区内相似、区间相异”的原则；</w:t>
      </w:r>
    </w:p>
    <w:p w14:paraId="572CD741">
      <w:pPr>
        <w:pStyle w:val="88"/>
        <w:spacing w:line="360" w:lineRule="auto"/>
        <w:ind w:firstLine="560" w:firstLineChars="200"/>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④坚持定性和定量相结合的原则；</w:t>
      </w:r>
    </w:p>
    <w:p w14:paraId="6E4AC88E">
      <w:pPr>
        <w:pStyle w:val="88"/>
        <w:spacing w:line="360" w:lineRule="auto"/>
        <w:ind w:firstLine="560" w:firstLineChars="200"/>
        <w:jc w:val="both"/>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⑤依据《生态修复方案编制指南》，样表7的要求，评估区划分为矿区损毁程度重度、中度、轻度。</w:t>
      </w:r>
    </w:p>
    <w:p w14:paraId="45FCD7A9">
      <w:pPr>
        <w:pStyle w:val="88"/>
        <w:spacing w:line="360" w:lineRule="auto"/>
        <w:ind w:firstLine="562" w:firstLineChars="200"/>
        <w:jc w:val="both"/>
        <w:rPr>
          <w:rFonts w:ascii="Times New Roman" w:cs="Times New Roman"/>
          <w:color w:val="auto"/>
          <w:sz w:val="28"/>
          <w:szCs w:val="28"/>
          <w:shd w:val="clear" w:color="auto" w:fill="FFFFFF"/>
        </w:rPr>
      </w:pPr>
      <w:r>
        <w:rPr>
          <w:rFonts w:ascii="Times New Roman" w:cs="Times New Roman"/>
          <w:b/>
          <w:bCs/>
          <w:color w:val="auto"/>
          <w:sz w:val="28"/>
          <w:szCs w:val="28"/>
          <w:shd w:val="clear" w:color="auto" w:fill="FFFFFF"/>
        </w:rPr>
        <w:t>（二）评价结果</w:t>
      </w:r>
    </w:p>
    <w:p w14:paraId="0FEA53C7">
      <w:pPr>
        <w:pStyle w:val="88"/>
        <w:spacing w:line="360" w:lineRule="auto"/>
        <w:ind w:firstLine="560" w:firstLineChars="200"/>
        <w:jc w:val="both"/>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矿区生态修复分区应根据矿区地质环境影响与生态环境影响现状评估和预测评估结果，参照《矿区生态修复方案编制指南》（样表7），划分重度、中度、轻度。综合评价结果见表3-</w:t>
      </w:r>
      <w:r>
        <w:rPr>
          <w:rFonts w:hint="eastAsia" w:ascii="Times New Roman" w:cs="Times New Roman"/>
          <w:color w:val="auto"/>
          <w:sz w:val="28"/>
          <w:szCs w:val="28"/>
          <w:shd w:val="clear" w:color="auto" w:fill="FFFFFF"/>
        </w:rPr>
        <w:t>51</w:t>
      </w:r>
      <w:r>
        <w:rPr>
          <w:rFonts w:ascii="Times New Roman" w:cs="Times New Roman"/>
          <w:color w:val="auto"/>
          <w:sz w:val="28"/>
          <w:szCs w:val="28"/>
          <w:shd w:val="clear" w:color="auto" w:fill="FFFFFF"/>
        </w:rPr>
        <w:t>。矿区生态破坏程度综合评价图见图3-</w:t>
      </w:r>
      <w:r>
        <w:rPr>
          <w:rFonts w:hint="eastAsia" w:ascii="Times New Roman" w:cs="Times New Roman"/>
          <w:color w:val="auto"/>
          <w:sz w:val="28"/>
          <w:szCs w:val="28"/>
          <w:shd w:val="clear" w:color="auto" w:fill="FFFFFF"/>
        </w:rPr>
        <w:t>3</w:t>
      </w:r>
      <w:r>
        <w:rPr>
          <w:rFonts w:ascii="Times New Roman" w:cs="Times New Roman"/>
          <w:color w:val="auto"/>
          <w:sz w:val="28"/>
          <w:szCs w:val="28"/>
          <w:shd w:val="clear" w:color="auto" w:fill="FFFFFF"/>
        </w:rPr>
        <w:t>。</w:t>
      </w:r>
    </w:p>
    <w:p w14:paraId="2B9CA38E">
      <w:pPr>
        <w:jc w:val="center"/>
        <w:rPr>
          <w:rFonts w:eastAsia="黑体"/>
          <w:sz w:val="24"/>
          <w:szCs w:val="24"/>
        </w:rPr>
        <w:sectPr>
          <w:headerReference r:id="rId17" w:type="default"/>
          <w:footerReference r:id="rId18" w:type="default"/>
          <w:pgSz w:w="11906" w:h="16838"/>
          <w:pgMar w:top="1219" w:right="1797" w:bottom="1440" w:left="1797" w:header="851" w:footer="992" w:gutter="0"/>
          <w:cols w:space="720" w:num="1"/>
          <w:docGrid w:linePitch="312" w:charSpace="0"/>
        </w:sectPr>
      </w:pPr>
      <w:bookmarkStart w:id="115" w:name="_Hlk223453085"/>
    </w:p>
    <w:p w14:paraId="333B4325">
      <w:pPr>
        <w:jc w:val="center"/>
        <w:rPr>
          <w:rFonts w:eastAsia="黑体"/>
          <w:sz w:val="24"/>
          <w:szCs w:val="24"/>
        </w:rPr>
      </w:pPr>
      <w:r>
        <w:rPr>
          <w:rFonts w:eastAsia="黑体"/>
          <w:sz w:val="24"/>
          <w:szCs w:val="24"/>
        </w:rPr>
        <w:t>表3-</w:t>
      </w:r>
      <w:r>
        <w:rPr>
          <w:rFonts w:hint="eastAsia" w:eastAsia="黑体"/>
          <w:sz w:val="24"/>
          <w:szCs w:val="24"/>
        </w:rPr>
        <w:t>51</w:t>
      </w:r>
      <w:r>
        <w:rPr>
          <w:rFonts w:eastAsia="黑体"/>
          <w:sz w:val="24"/>
          <w:szCs w:val="24"/>
        </w:rPr>
        <w:t xml:space="preserve">   损毁程度综合评价表</w:t>
      </w:r>
    </w:p>
    <w:p w14:paraId="038BC401">
      <w:pPr>
        <w:jc w:val="center"/>
        <w:rPr>
          <w:rFonts w:eastAsia="黑体"/>
          <w:sz w:val="24"/>
          <w:szCs w:val="24"/>
        </w:rPr>
      </w:pPr>
    </w:p>
    <w:p w14:paraId="23EAFA82">
      <w:pPr>
        <w:jc w:val="center"/>
      </w:pPr>
      <w:r>
        <w:rPr>
          <w:rFonts w:eastAsia="黑体"/>
          <w:sz w:val="24"/>
          <w:szCs w:val="24"/>
        </w:rPr>
        <w:t>图3-</w:t>
      </w:r>
      <w:r>
        <w:rPr>
          <w:rFonts w:hint="eastAsia" w:eastAsia="黑体"/>
          <w:sz w:val="24"/>
          <w:szCs w:val="24"/>
        </w:rPr>
        <w:t>3</w:t>
      </w:r>
      <w:r>
        <w:rPr>
          <w:rFonts w:eastAsia="黑体"/>
          <w:sz w:val="24"/>
          <w:szCs w:val="24"/>
        </w:rPr>
        <w:t xml:space="preserve">  受损程度综合评价图</w:t>
      </w:r>
      <w:bookmarkEnd w:id="115"/>
      <w:bookmarkStart w:id="116" w:name="_Toc547"/>
    </w:p>
    <w:p w14:paraId="08992426">
      <w:pPr>
        <w:pStyle w:val="4"/>
        <w:spacing w:before="120" w:beforeLines="50"/>
        <w:rPr>
          <w:rFonts w:ascii="Times New Roman" w:hAnsi="Times New Roman"/>
        </w:rPr>
      </w:pPr>
      <w:r>
        <w:rPr>
          <w:rFonts w:ascii="Times New Roman" w:hAnsi="Times New Roman"/>
        </w:rPr>
        <w:t>第二节  生态修复可行性分析</w:t>
      </w:r>
      <w:bookmarkEnd w:id="116"/>
    </w:p>
    <w:p w14:paraId="760C6DE3">
      <w:pPr>
        <w:spacing w:line="360" w:lineRule="auto"/>
        <w:ind w:firstLine="562" w:firstLineChars="200"/>
        <w:outlineLvl w:val="2"/>
        <w:rPr>
          <w:b/>
          <w:bCs/>
          <w:sz w:val="28"/>
          <w:szCs w:val="28"/>
        </w:rPr>
      </w:pPr>
      <w:r>
        <w:rPr>
          <w:b/>
          <w:bCs/>
          <w:sz w:val="28"/>
          <w:szCs w:val="28"/>
        </w:rPr>
        <w:t>一、技术经济可行性分析</w:t>
      </w:r>
    </w:p>
    <w:p w14:paraId="55E0A47C">
      <w:pPr>
        <w:spacing w:line="360" w:lineRule="auto"/>
        <w:ind w:firstLine="562" w:firstLineChars="200"/>
        <w:outlineLvl w:val="3"/>
        <w:rPr>
          <w:rFonts w:eastAsiaTheme="minorEastAsia"/>
          <w:b/>
          <w:bCs/>
          <w:sz w:val="28"/>
          <w:szCs w:val="28"/>
        </w:rPr>
      </w:pPr>
      <w:r>
        <w:rPr>
          <w:rFonts w:eastAsiaTheme="minorEastAsia"/>
          <w:b/>
          <w:bCs/>
          <w:sz w:val="28"/>
          <w:szCs w:val="28"/>
        </w:rPr>
        <w:t>（一）地质环境治理可行性分析</w:t>
      </w:r>
    </w:p>
    <w:p w14:paraId="26130F2D">
      <w:pPr>
        <w:spacing w:line="360" w:lineRule="auto"/>
        <w:ind w:firstLine="560" w:firstLineChars="200"/>
        <w:rPr>
          <w:rFonts w:eastAsiaTheme="minorEastAsia"/>
          <w:sz w:val="28"/>
          <w:szCs w:val="28"/>
        </w:rPr>
      </w:pPr>
      <w:r>
        <w:rPr>
          <w:rFonts w:eastAsiaTheme="minorEastAsia"/>
          <w:sz w:val="28"/>
          <w:szCs w:val="28"/>
        </w:rPr>
        <w:t>1、地质灾害防治可行性分析</w:t>
      </w:r>
    </w:p>
    <w:p w14:paraId="4439FAED">
      <w:pPr>
        <w:spacing w:line="360" w:lineRule="auto"/>
        <w:ind w:firstLine="560" w:firstLineChars="200"/>
        <w:rPr>
          <w:rFonts w:eastAsiaTheme="minorEastAsia"/>
          <w:sz w:val="28"/>
          <w:szCs w:val="28"/>
        </w:rPr>
      </w:pPr>
      <w:r>
        <w:rPr>
          <w:rFonts w:hint="eastAsia" w:eastAsiaTheme="minorEastAsia"/>
          <w:sz w:val="28"/>
          <w:szCs w:val="28"/>
        </w:rPr>
        <w:t>矿山历史上形成的露天采场，《开发利用方案》设计开采方式为露天开采，矿山开采期间应严格按开采设计方案进行开采并定期进行巡查工作。定期监测，发现问题及时处理，露天采场边坡崩塌主要处理措施为及时清理边坡危岩体，对于结构面较破碎的位置应采取边坡打锚、挂网、喷浆护坡。</w:t>
      </w:r>
    </w:p>
    <w:p w14:paraId="7F5C3E2B">
      <w:pPr>
        <w:spacing w:line="360" w:lineRule="auto"/>
        <w:ind w:firstLine="560" w:firstLineChars="200"/>
        <w:rPr>
          <w:rFonts w:eastAsiaTheme="minorEastAsia"/>
          <w:sz w:val="28"/>
          <w:szCs w:val="28"/>
        </w:rPr>
      </w:pPr>
      <w:r>
        <w:rPr>
          <w:rFonts w:hint="eastAsia" w:eastAsiaTheme="minorEastAsia"/>
          <w:sz w:val="28"/>
          <w:szCs w:val="28"/>
        </w:rPr>
        <w:t>矿山地质灾害预防、治理、监测、预警技术成熟可行，在技术上是有保障的、可行的。</w:t>
      </w:r>
    </w:p>
    <w:p w14:paraId="10CA034A">
      <w:pPr>
        <w:spacing w:line="360" w:lineRule="auto"/>
        <w:ind w:firstLine="560" w:firstLineChars="200"/>
        <w:rPr>
          <w:rFonts w:eastAsiaTheme="minorEastAsia"/>
          <w:sz w:val="28"/>
          <w:szCs w:val="28"/>
        </w:rPr>
      </w:pPr>
      <w:r>
        <w:rPr>
          <w:rFonts w:hint="eastAsia" w:eastAsiaTheme="minorEastAsia"/>
          <w:sz w:val="28"/>
          <w:szCs w:val="28"/>
        </w:rPr>
        <w:t>2、地形地貌景观防治技术可行性分析</w:t>
      </w:r>
    </w:p>
    <w:p w14:paraId="30ECF78A">
      <w:pPr>
        <w:spacing w:line="360" w:lineRule="auto"/>
        <w:ind w:firstLine="560" w:firstLineChars="200"/>
        <w:rPr>
          <w:rFonts w:eastAsiaTheme="minorEastAsia"/>
          <w:sz w:val="28"/>
          <w:szCs w:val="28"/>
        </w:rPr>
      </w:pPr>
      <w:r>
        <w:rPr>
          <w:rFonts w:hint="eastAsia" w:eastAsiaTheme="minorEastAsia"/>
          <w:sz w:val="28"/>
          <w:szCs w:val="28"/>
        </w:rPr>
        <w:t>根据前文叙述，评估区不涉及各类自然保护区、人文景观和风景旅游区。矿山生产活动对原生的地形地貌景观影响和破坏程度较大，开采区对现有地表地形地貌景观影响严重。</w:t>
      </w:r>
    </w:p>
    <w:p w14:paraId="0DE131D1">
      <w:pPr>
        <w:spacing w:line="360" w:lineRule="auto"/>
        <w:ind w:firstLine="560" w:firstLineChars="200"/>
        <w:rPr>
          <w:rFonts w:eastAsiaTheme="minorEastAsia"/>
          <w:sz w:val="28"/>
          <w:szCs w:val="28"/>
        </w:rPr>
      </w:pPr>
      <w:r>
        <w:rPr>
          <w:rFonts w:hint="eastAsia" w:eastAsiaTheme="minorEastAsia"/>
          <w:sz w:val="28"/>
          <w:szCs w:val="28"/>
        </w:rPr>
        <w:t>地形地貌景观的主要修复措施为：</w:t>
      </w:r>
    </w:p>
    <w:p w14:paraId="1340D9BF">
      <w:pPr>
        <w:spacing w:line="360" w:lineRule="auto"/>
        <w:ind w:firstLine="560" w:firstLineChars="200"/>
        <w:rPr>
          <w:rFonts w:eastAsiaTheme="minorEastAsia"/>
          <w:sz w:val="28"/>
          <w:szCs w:val="28"/>
        </w:rPr>
      </w:pPr>
      <w:r>
        <w:rPr>
          <w:rFonts w:hint="eastAsia" w:eastAsiaTheme="minorEastAsia"/>
          <w:sz w:val="28"/>
          <w:szCs w:val="28"/>
        </w:rPr>
        <w:t>①对露天采场、钻机平台进行回填、石方整平、覆土、平整；</w:t>
      </w:r>
    </w:p>
    <w:p w14:paraId="39EE3E6B">
      <w:pPr>
        <w:spacing w:line="360" w:lineRule="auto"/>
        <w:ind w:firstLine="560" w:firstLineChars="200"/>
        <w:rPr>
          <w:rFonts w:eastAsiaTheme="minorEastAsia"/>
          <w:sz w:val="28"/>
          <w:szCs w:val="28"/>
        </w:rPr>
      </w:pPr>
      <w:r>
        <w:rPr>
          <w:rFonts w:hint="eastAsia" w:eastAsiaTheme="minorEastAsia"/>
          <w:sz w:val="28"/>
          <w:szCs w:val="28"/>
        </w:rPr>
        <w:t>②对生活区、办公区、门卫进行拆除、覆土、平整；</w:t>
      </w:r>
    </w:p>
    <w:p w14:paraId="03DD5409">
      <w:pPr>
        <w:spacing w:line="360" w:lineRule="auto"/>
        <w:ind w:firstLine="560" w:firstLineChars="200"/>
        <w:rPr>
          <w:rFonts w:eastAsiaTheme="minorEastAsia"/>
          <w:sz w:val="28"/>
          <w:szCs w:val="28"/>
        </w:rPr>
      </w:pPr>
      <w:r>
        <w:rPr>
          <w:rFonts w:hint="eastAsia" w:eastAsiaTheme="minorEastAsia"/>
          <w:sz w:val="28"/>
          <w:szCs w:val="28"/>
        </w:rPr>
        <w:t>③对废石场1、废石场2、废石场3进行边坡规整取直，覆土；</w:t>
      </w:r>
    </w:p>
    <w:p w14:paraId="5CED837B">
      <w:pPr>
        <w:spacing w:line="360" w:lineRule="auto"/>
        <w:ind w:firstLine="560" w:firstLineChars="200"/>
        <w:rPr>
          <w:rFonts w:eastAsiaTheme="minorEastAsia"/>
          <w:sz w:val="28"/>
          <w:szCs w:val="28"/>
        </w:rPr>
      </w:pPr>
      <w:r>
        <w:rPr>
          <w:rFonts w:hint="eastAsia" w:eastAsiaTheme="minorEastAsia"/>
          <w:sz w:val="28"/>
          <w:szCs w:val="28"/>
        </w:rPr>
        <w:t>④对道路切坡进行垫坡、石方整平、覆土、平整。</w:t>
      </w:r>
    </w:p>
    <w:p w14:paraId="1ED9F7F4">
      <w:pPr>
        <w:spacing w:line="360" w:lineRule="auto"/>
        <w:ind w:firstLine="560" w:firstLineChars="200"/>
        <w:rPr>
          <w:rFonts w:eastAsiaTheme="minorEastAsia"/>
          <w:sz w:val="28"/>
          <w:szCs w:val="28"/>
        </w:rPr>
      </w:pPr>
      <w:r>
        <w:rPr>
          <w:rFonts w:hint="eastAsia" w:eastAsiaTheme="minorEastAsia"/>
          <w:sz w:val="28"/>
          <w:szCs w:val="28"/>
        </w:rPr>
        <w:t>上述地形地貌景观损毁防治措施切实可行，同类矿山已有很多比较成熟的矿区生态修复技术与方法，因此，矿区地形地貌景观（地质遗迹、人文景观）治理技术可行。</w:t>
      </w:r>
    </w:p>
    <w:p w14:paraId="2B09FF31">
      <w:pPr>
        <w:widowControl/>
        <w:spacing w:line="360" w:lineRule="auto"/>
        <w:ind w:firstLine="560" w:firstLineChars="200"/>
        <w:rPr>
          <w:kern w:val="0"/>
          <w:sz w:val="28"/>
          <w:szCs w:val="28"/>
        </w:rPr>
      </w:pPr>
      <w:r>
        <w:rPr>
          <w:rFonts w:hint="eastAsia"/>
          <w:kern w:val="0"/>
          <w:sz w:val="28"/>
          <w:szCs w:val="28"/>
        </w:rPr>
        <w:t>3</w:t>
      </w:r>
      <w:r>
        <w:rPr>
          <w:kern w:val="0"/>
          <w:sz w:val="28"/>
          <w:szCs w:val="28"/>
        </w:rPr>
        <w:t>、地质环境治理经济可行性分析</w:t>
      </w:r>
    </w:p>
    <w:p w14:paraId="398FD371">
      <w:pPr>
        <w:widowControl/>
        <w:spacing w:line="360" w:lineRule="auto"/>
        <w:ind w:firstLine="560" w:firstLineChars="200"/>
        <w:rPr>
          <w:rFonts w:eastAsiaTheme="minorEastAsia"/>
          <w:sz w:val="28"/>
          <w:szCs w:val="28"/>
        </w:rPr>
      </w:pPr>
      <w:r>
        <w:rPr>
          <w:kern w:val="0"/>
          <w:sz w:val="28"/>
          <w:szCs w:val="28"/>
        </w:rPr>
        <w:t>经估算，矿山地质环境治理总费用为99.7648万元，</w:t>
      </w:r>
      <w:r>
        <w:rPr>
          <w:rFonts w:hint="eastAsia"/>
          <w:kern w:val="0"/>
          <w:sz w:val="28"/>
          <w:szCs w:val="28"/>
        </w:rPr>
        <w:t>其中石方</w:t>
      </w:r>
      <w:r>
        <w:rPr>
          <w:kern w:val="0"/>
          <w:sz w:val="28"/>
          <w:szCs w:val="28"/>
        </w:rPr>
        <w:t>工程92.5655</w:t>
      </w:r>
      <w:r>
        <w:rPr>
          <w:rFonts w:hint="eastAsia"/>
          <w:kern w:val="0"/>
          <w:sz w:val="28"/>
          <w:szCs w:val="28"/>
        </w:rPr>
        <w:t>万元，砌体</w:t>
      </w:r>
      <w:r>
        <w:rPr>
          <w:kern w:val="0"/>
          <w:sz w:val="28"/>
          <w:szCs w:val="28"/>
        </w:rPr>
        <w:t>工程7.1993</w:t>
      </w:r>
      <w:r>
        <w:rPr>
          <w:rFonts w:hint="eastAsia"/>
          <w:kern w:val="0"/>
          <w:sz w:val="28"/>
          <w:szCs w:val="28"/>
        </w:rPr>
        <w:t>万元，</w:t>
      </w:r>
      <w:r>
        <w:rPr>
          <w:rFonts w:eastAsiaTheme="minorEastAsia"/>
          <w:sz w:val="28"/>
          <w:szCs w:val="28"/>
        </w:rPr>
        <w:t>经费全部由矿山企业自筹。</w:t>
      </w:r>
      <w:r>
        <w:rPr>
          <w:rFonts w:hint="eastAsia" w:eastAsiaTheme="minorEastAsia"/>
          <w:sz w:val="28"/>
          <w:szCs w:val="28"/>
        </w:rPr>
        <w:t>根据《开发利用方案》，矿山达产年营业收入</w:t>
      </w:r>
      <w:r>
        <w:rPr>
          <w:rFonts w:hint="eastAsia" w:ascii="宋体" w:hAnsi="宋体" w:cs="宋体"/>
          <w:spacing w:val="13"/>
          <w:sz w:val="32"/>
          <w:szCs w:val="32"/>
        </w:rPr>
        <w:t>***</w:t>
      </w:r>
      <w:r>
        <w:rPr>
          <w:rFonts w:hint="eastAsia" w:eastAsiaTheme="minorEastAsia"/>
          <w:sz w:val="28"/>
          <w:szCs w:val="28"/>
        </w:rPr>
        <w:t>万元/a，实现利润总额</w:t>
      </w:r>
      <w:r>
        <w:rPr>
          <w:rFonts w:hint="eastAsia" w:ascii="宋体" w:hAnsi="宋体" w:cs="宋体"/>
          <w:spacing w:val="13"/>
          <w:sz w:val="32"/>
          <w:szCs w:val="32"/>
        </w:rPr>
        <w:t>***</w:t>
      </w:r>
      <w:r>
        <w:rPr>
          <w:rFonts w:hint="eastAsia" w:eastAsiaTheme="minorEastAsia"/>
          <w:sz w:val="28"/>
          <w:szCs w:val="28"/>
        </w:rPr>
        <w:t>万元/a，税后利润</w:t>
      </w:r>
      <w:r>
        <w:rPr>
          <w:rFonts w:hint="eastAsia" w:ascii="宋体" w:hAnsi="宋体" w:cs="宋体"/>
          <w:spacing w:val="13"/>
          <w:sz w:val="32"/>
          <w:szCs w:val="32"/>
        </w:rPr>
        <w:t>***</w:t>
      </w:r>
      <w:r>
        <w:rPr>
          <w:rFonts w:hint="eastAsia" w:eastAsiaTheme="minorEastAsia"/>
          <w:sz w:val="28"/>
          <w:szCs w:val="28"/>
        </w:rPr>
        <w:t>万元/a。</w:t>
      </w:r>
      <w:r>
        <w:rPr>
          <w:rFonts w:eastAsiaTheme="minorEastAsia"/>
          <w:sz w:val="28"/>
          <w:szCs w:val="28"/>
        </w:rPr>
        <w:t>矿山地质环境治理工程在项目总投资中占比不大，建设投资回收期较短，矿山企业有能力实施该工程。</w:t>
      </w:r>
    </w:p>
    <w:p w14:paraId="5DAF6B51">
      <w:pPr>
        <w:spacing w:line="360" w:lineRule="auto"/>
        <w:ind w:firstLine="562" w:firstLineChars="200"/>
        <w:outlineLvl w:val="3"/>
        <w:rPr>
          <w:rFonts w:eastAsiaTheme="minorEastAsia"/>
          <w:b/>
          <w:bCs/>
          <w:sz w:val="28"/>
          <w:szCs w:val="28"/>
        </w:rPr>
      </w:pPr>
      <w:r>
        <w:rPr>
          <w:rFonts w:eastAsiaTheme="minorEastAsia"/>
          <w:b/>
          <w:bCs/>
          <w:sz w:val="28"/>
          <w:szCs w:val="28"/>
        </w:rPr>
        <w:t>（二）土地复垦可行性分析</w:t>
      </w:r>
    </w:p>
    <w:p w14:paraId="2DB4F764">
      <w:pPr>
        <w:widowControl/>
        <w:spacing w:line="360" w:lineRule="auto"/>
        <w:ind w:firstLine="560" w:firstLineChars="200"/>
        <w:rPr>
          <w:kern w:val="0"/>
          <w:sz w:val="28"/>
          <w:szCs w:val="28"/>
          <w:lang w:bidi="ar"/>
        </w:rPr>
      </w:pPr>
      <w:r>
        <w:rPr>
          <w:rFonts w:hint="eastAsia"/>
          <w:kern w:val="0"/>
          <w:sz w:val="28"/>
          <w:szCs w:val="28"/>
          <w:lang w:bidi="ar"/>
        </w:rPr>
        <w:t>结合前文土地损毁问题诊断评价结果，本次矿山土地损毁涉及多个区域，具体包括拟建露天采场、拟建排土场、拟建办公生活区、拟建截洪沟、拟建矿区道路、工业场地、露天采场（矿区外）、废石场1、废石场2、废石场3、办公区、</w:t>
      </w:r>
      <w:r>
        <w:rPr>
          <w:rFonts w:hint="eastAsia"/>
          <w:sz w:val="28"/>
          <w:szCs w:val="28"/>
        </w:rPr>
        <w:t>生活区、门卫、钻机平台、矿区道路</w:t>
      </w:r>
      <w:r>
        <w:rPr>
          <w:rFonts w:eastAsiaTheme="minorEastAsia"/>
          <w:snapToGrid w:val="0"/>
          <w:sz w:val="28"/>
          <w:szCs w:val="28"/>
        </w:rPr>
        <w:t>等单元</w:t>
      </w:r>
      <w:r>
        <w:rPr>
          <w:rFonts w:hint="eastAsia" w:eastAsiaTheme="minorEastAsia"/>
          <w:snapToGrid w:val="0"/>
          <w:sz w:val="28"/>
          <w:szCs w:val="28"/>
        </w:rPr>
        <w:t>，</w:t>
      </w:r>
      <w:r>
        <w:rPr>
          <w:rFonts w:hint="eastAsia"/>
          <w:kern w:val="0"/>
          <w:sz w:val="28"/>
          <w:szCs w:val="28"/>
          <w:lang w:bidi="ar"/>
        </w:rPr>
        <w:t>上述区域表层土壤结构均遭受不同程度损毁，部分区域土壤结构被彻底破坏，部分区域仅表层土壤被长期压占但未彻底损毁。基于此，具体如下：</w:t>
      </w:r>
    </w:p>
    <w:p w14:paraId="12837F90">
      <w:pPr>
        <w:widowControl/>
        <w:spacing w:line="360" w:lineRule="auto"/>
        <w:ind w:firstLine="560" w:firstLineChars="200"/>
        <w:rPr>
          <w:kern w:val="0"/>
          <w:sz w:val="28"/>
          <w:szCs w:val="28"/>
          <w:lang w:bidi="ar"/>
        </w:rPr>
      </w:pPr>
      <w:r>
        <w:rPr>
          <w:rFonts w:hint="eastAsia"/>
          <w:kern w:val="0"/>
          <w:sz w:val="28"/>
          <w:szCs w:val="28"/>
          <w:lang w:bidi="ar"/>
        </w:rPr>
        <w:t>1、土地复垦质量要求：严格按照国家及地方矿山土地复垦相关标准、规范执行，确保复垦后土壤肥力、植被覆盖率、土地利用功能达到规定要求，兼顾生态效益与可持续利用需求，最终实现损毁土地向可利用土地的转化。</w:t>
      </w:r>
    </w:p>
    <w:p w14:paraId="59C16EAF">
      <w:pPr>
        <w:widowControl/>
        <w:spacing w:line="360" w:lineRule="auto"/>
        <w:ind w:firstLine="560" w:firstLineChars="200"/>
        <w:rPr>
          <w:kern w:val="0"/>
          <w:sz w:val="28"/>
          <w:szCs w:val="28"/>
          <w:lang w:bidi="ar"/>
        </w:rPr>
      </w:pPr>
      <w:r>
        <w:rPr>
          <w:rFonts w:hint="eastAsia"/>
          <w:kern w:val="0"/>
          <w:sz w:val="28"/>
          <w:szCs w:val="28"/>
          <w:lang w:bidi="ar"/>
        </w:rPr>
        <w:t>2、水土资源条件可行性分析：结合矿区当地水资源分布、土壤类型特点，复垦工程实施过程中合理调配水资源，配套必要的水土保持措施，避免复垦过程中产生新的水土流失；土壤重构过程中优化土壤配比，适配当地水资源条件，保障植被生长所需水土资源，确保复垦方案与水土资源条件相匹配。</w:t>
      </w:r>
    </w:p>
    <w:p w14:paraId="6CC01254">
      <w:pPr>
        <w:widowControl/>
        <w:spacing w:line="360" w:lineRule="auto"/>
        <w:ind w:firstLine="560" w:firstLineChars="200"/>
        <w:rPr>
          <w:kern w:val="0"/>
          <w:sz w:val="28"/>
          <w:szCs w:val="28"/>
          <w:lang w:bidi="ar"/>
        </w:rPr>
      </w:pPr>
      <w:r>
        <w:rPr>
          <w:rFonts w:hint="eastAsia"/>
          <w:kern w:val="0"/>
          <w:sz w:val="28"/>
          <w:szCs w:val="28"/>
          <w:lang w:bidi="ar"/>
        </w:rPr>
        <w:t>3、土资源平衡分析：统筹规划复垦所需土壤来源，优先利用矿区内可利用的优质表土，合理调配覆土工程量，确保复垦区域土壤供给充足、质量达标；同时，妥善处理复垦过程中产生的多余土壤，避免土壤浪费，实现土资源的平衡利用。</w:t>
      </w:r>
    </w:p>
    <w:p w14:paraId="1F8C09CB">
      <w:pPr>
        <w:widowControl/>
        <w:spacing w:line="360" w:lineRule="auto"/>
        <w:ind w:firstLine="560" w:firstLineChars="200"/>
        <w:rPr>
          <w:kern w:val="0"/>
          <w:sz w:val="28"/>
          <w:szCs w:val="28"/>
          <w:lang w:bidi="ar"/>
        </w:rPr>
      </w:pPr>
      <w:r>
        <w:rPr>
          <w:rFonts w:hint="eastAsia"/>
          <w:kern w:val="0"/>
          <w:sz w:val="28"/>
          <w:szCs w:val="28"/>
          <w:lang w:bidi="ar"/>
        </w:rPr>
        <w:t>4、土地复垦经济可行性分析：</w:t>
      </w:r>
      <w:r>
        <w:rPr>
          <w:kern w:val="0"/>
          <w:sz w:val="28"/>
          <w:szCs w:val="28"/>
        </w:rPr>
        <w:t>通过上述</w:t>
      </w:r>
      <w:r>
        <w:rPr>
          <w:kern w:val="0"/>
          <w:sz w:val="28"/>
          <w:szCs w:val="28"/>
          <w:lang w:bidi="ar"/>
        </w:rPr>
        <w:t>土地复垦</w:t>
      </w:r>
      <w:r>
        <w:rPr>
          <w:kern w:val="0"/>
          <w:sz w:val="28"/>
          <w:szCs w:val="28"/>
        </w:rPr>
        <w:t>治理工程，经估算，矿山</w:t>
      </w:r>
      <w:r>
        <w:rPr>
          <w:kern w:val="0"/>
          <w:sz w:val="28"/>
          <w:szCs w:val="28"/>
          <w:lang w:bidi="ar"/>
        </w:rPr>
        <w:t>土地复垦</w:t>
      </w:r>
      <w:r>
        <w:rPr>
          <w:kern w:val="0"/>
          <w:sz w:val="28"/>
          <w:szCs w:val="28"/>
        </w:rPr>
        <w:t>总费用为</w:t>
      </w:r>
      <w:r>
        <w:rPr>
          <w:rFonts w:hint="eastAsia" w:ascii="宋体" w:hAnsi="宋体" w:cs="宋体"/>
          <w:spacing w:val="13"/>
          <w:sz w:val="32"/>
          <w:szCs w:val="32"/>
        </w:rPr>
        <w:t>***</w:t>
      </w:r>
      <w:r>
        <w:rPr>
          <w:kern w:val="0"/>
          <w:sz w:val="28"/>
          <w:szCs w:val="28"/>
        </w:rPr>
        <w:t>万元，</w:t>
      </w:r>
      <w:r>
        <w:rPr>
          <w:rFonts w:hint="eastAsia"/>
          <w:kern w:val="0"/>
          <w:sz w:val="28"/>
          <w:szCs w:val="28"/>
        </w:rPr>
        <w:t>其中</w:t>
      </w:r>
      <w:r>
        <w:rPr>
          <w:kern w:val="0"/>
          <w:sz w:val="28"/>
          <w:szCs w:val="28"/>
        </w:rPr>
        <w:t>土壤重构工程</w:t>
      </w:r>
      <w:r>
        <w:rPr>
          <w:rFonts w:hint="eastAsia" w:ascii="宋体" w:hAnsi="宋体" w:cs="宋体"/>
          <w:spacing w:val="13"/>
          <w:sz w:val="32"/>
          <w:szCs w:val="32"/>
        </w:rPr>
        <w:t>***</w:t>
      </w:r>
      <w:r>
        <w:rPr>
          <w:rFonts w:hint="eastAsia"/>
          <w:kern w:val="0"/>
          <w:sz w:val="28"/>
          <w:szCs w:val="28"/>
        </w:rPr>
        <w:t>万元，</w:t>
      </w:r>
      <w:r>
        <w:rPr>
          <w:kern w:val="0"/>
          <w:sz w:val="28"/>
          <w:szCs w:val="28"/>
        </w:rPr>
        <w:t>植被重建工程</w:t>
      </w:r>
      <w:r>
        <w:rPr>
          <w:rFonts w:hint="eastAsia" w:ascii="宋体" w:hAnsi="宋体" w:cs="宋体"/>
          <w:spacing w:val="13"/>
          <w:sz w:val="32"/>
          <w:szCs w:val="32"/>
        </w:rPr>
        <w:t>***</w:t>
      </w:r>
      <w:r>
        <w:rPr>
          <w:rFonts w:hint="eastAsia"/>
          <w:kern w:val="0"/>
          <w:sz w:val="28"/>
          <w:szCs w:val="28"/>
        </w:rPr>
        <w:t>万元，</w:t>
      </w:r>
      <w:r>
        <w:rPr>
          <w:rFonts w:eastAsiaTheme="minorEastAsia"/>
          <w:sz w:val="28"/>
          <w:szCs w:val="28"/>
        </w:rPr>
        <w:t>经费全部由矿山企业自筹。</w:t>
      </w:r>
      <w:r>
        <w:rPr>
          <w:rFonts w:hint="eastAsia" w:eastAsiaTheme="minorEastAsia"/>
          <w:sz w:val="28"/>
          <w:szCs w:val="28"/>
        </w:rPr>
        <w:t>根据《开发利用方案》，矿山达产年营业收入</w:t>
      </w:r>
      <w:r>
        <w:rPr>
          <w:rFonts w:hint="eastAsia" w:ascii="宋体" w:hAnsi="宋体" w:cs="宋体"/>
          <w:spacing w:val="13"/>
          <w:sz w:val="32"/>
          <w:szCs w:val="32"/>
        </w:rPr>
        <w:t>***</w:t>
      </w:r>
      <w:r>
        <w:rPr>
          <w:rFonts w:hint="eastAsia" w:eastAsiaTheme="minorEastAsia"/>
          <w:sz w:val="28"/>
          <w:szCs w:val="28"/>
        </w:rPr>
        <w:t>万元/a，实现利润总额</w:t>
      </w:r>
      <w:r>
        <w:rPr>
          <w:rFonts w:hint="eastAsia" w:ascii="宋体" w:hAnsi="宋体" w:cs="宋体"/>
          <w:spacing w:val="13"/>
          <w:sz w:val="32"/>
          <w:szCs w:val="32"/>
        </w:rPr>
        <w:t>***</w:t>
      </w:r>
      <w:r>
        <w:rPr>
          <w:rFonts w:hint="eastAsia" w:eastAsiaTheme="minorEastAsia"/>
          <w:sz w:val="28"/>
          <w:szCs w:val="28"/>
        </w:rPr>
        <w:t>万元/a，税后利润</w:t>
      </w:r>
      <w:r>
        <w:rPr>
          <w:rFonts w:hint="eastAsia" w:ascii="宋体" w:hAnsi="宋体" w:cs="宋体"/>
          <w:spacing w:val="13"/>
          <w:sz w:val="32"/>
          <w:szCs w:val="32"/>
        </w:rPr>
        <w:t>***</w:t>
      </w:r>
      <w:r>
        <w:rPr>
          <w:rFonts w:hint="eastAsia" w:eastAsiaTheme="minorEastAsia"/>
          <w:sz w:val="28"/>
          <w:szCs w:val="28"/>
        </w:rPr>
        <w:t>万元/a。</w:t>
      </w:r>
      <w:r>
        <w:rPr>
          <w:rFonts w:eastAsiaTheme="minorEastAsia"/>
          <w:sz w:val="28"/>
          <w:szCs w:val="28"/>
        </w:rPr>
        <w:t>矿山</w:t>
      </w:r>
      <w:r>
        <w:rPr>
          <w:rFonts w:hint="eastAsia" w:eastAsiaTheme="minorEastAsia"/>
          <w:sz w:val="28"/>
          <w:szCs w:val="28"/>
        </w:rPr>
        <w:t>土地复垦</w:t>
      </w:r>
      <w:r>
        <w:rPr>
          <w:rFonts w:eastAsiaTheme="minorEastAsia"/>
          <w:sz w:val="28"/>
          <w:szCs w:val="28"/>
        </w:rPr>
        <w:t>治理工程在项目总投资中占比不大，建设投资回收期较短，矿山企业有能力实施该工程。</w:t>
      </w:r>
      <w:r>
        <w:rPr>
          <w:rFonts w:hint="eastAsia"/>
          <w:kern w:val="0"/>
          <w:sz w:val="28"/>
          <w:szCs w:val="28"/>
          <w:lang w:bidi="ar"/>
        </w:rPr>
        <w:t>从长期效益来看，土地复垦完成后，可恢复区域土地利用功能，提升土地价值，同时减少水土流失、改善生态环境，降低矿山生态治理后续投入；结合矿山企业自身资金实力及项目投资回报情况，本次复垦工程的投入与产出效益匹配，经济上具备可行性。</w:t>
      </w:r>
    </w:p>
    <w:p w14:paraId="5A606C2A">
      <w:pPr>
        <w:spacing w:line="360" w:lineRule="auto"/>
        <w:ind w:firstLine="562" w:firstLineChars="200"/>
        <w:outlineLvl w:val="3"/>
        <w:rPr>
          <w:rFonts w:eastAsiaTheme="minorEastAsia"/>
          <w:b/>
          <w:bCs/>
          <w:sz w:val="28"/>
          <w:szCs w:val="28"/>
        </w:rPr>
      </w:pPr>
      <w:bookmarkStart w:id="117" w:name="_Hlk221370182"/>
      <w:r>
        <w:rPr>
          <w:rFonts w:eastAsiaTheme="minorEastAsia"/>
          <w:b/>
          <w:bCs/>
          <w:sz w:val="28"/>
          <w:szCs w:val="28"/>
        </w:rPr>
        <w:t>（三）生态系统修复</w:t>
      </w:r>
      <w:bookmarkEnd w:id="117"/>
      <w:r>
        <w:rPr>
          <w:rFonts w:eastAsiaTheme="minorEastAsia"/>
          <w:b/>
          <w:bCs/>
          <w:sz w:val="28"/>
          <w:szCs w:val="28"/>
        </w:rPr>
        <w:t>可行性分析</w:t>
      </w:r>
    </w:p>
    <w:p w14:paraId="402262AC">
      <w:pPr>
        <w:widowControl/>
        <w:spacing w:line="360" w:lineRule="auto"/>
        <w:ind w:firstLine="560" w:firstLineChars="200"/>
        <w:jc w:val="left"/>
        <w:rPr>
          <w:sz w:val="28"/>
          <w:szCs w:val="28"/>
        </w:rPr>
      </w:pPr>
      <w:r>
        <w:rPr>
          <w:kern w:val="0"/>
          <w:sz w:val="28"/>
          <w:szCs w:val="28"/>
          <w:lang w:bidi="ar"/>
        </w:rPr>
        <w:t>结合矿区生态损毁现状、周边自然条件及同类矿山修复案例，围绕植被恢复、土壤重构、生物多样性保护、水土流失治理、水土环境污染防治、土壤环境污染防治及经济合理性等方面，对矿区生态系统修复可行性进行全面分析，具体如下：</w:t>
      </w:r>
    </w:p>
    <w:p w14:paraId="02302B0B">
      <w:pPr>
        <w:widowControl/>
        <w:spacing w:line="360" w:lineRule="auto"/>
        <w:ind w:firstLine="560" w:firstLineChars="200"/>
        <w:jc w:val="left"/>
        <w:rPr>
          <w:sz w:val="28"/>
          <w:szCs w:val="28"/>
        </w:rPr>
      </w:pPr>
      <w:r>
        <w:rPr>
          <w:sz w:val="28"/>
          <w:szCs w:val="28"/>
        </w:rPr>
        <w:t>1、植被恢复技术可行性分析</w:t>
      </w:r>
    </w:p>
    <w:p w14:paraId="0CEFEE36">
      <w:pPr>
        <w:widowControl/>
        <w:spacing w:line="360" w:lineRule="auto"/>
        <w:ind w:firstLine="560" w:firstLineChars="200"/>
        <w:rPr>
          <w:sz w:val="28"/>
          <w:szCs w:val="28"/>
        </w:rPr>
      </w:pPr>
      <w:r>
        <w:rPr>
          <w:kern w:val="0"/>
          <w:sz w:val="28"/>
          <w:szCs w:val="28"/>
          <w:lang w:bidi="ar"/>
        </w:rPr>
        <w:t>生态修复范围损毁地类主要包括林地、草地及采矿用地，结合矿山及周边矿山生态修复成功案例，综合考量区域地形地貌特征，矿山开采结束后，通过地貌重塑、土壤重构工程对损毁区域进行预处理，可有效改善区域土壤条件和地貌环境，完全能够满足恢复耕地、林地的基础要求，植被恢复技术成熟、可操作性强，技术层面具备可行性。</w:t>
      </w:r>
    </w:p>
    <w:p w14:paraId="6B923D59">
      <w:pPr>
        <w:widowControl/>
        <w:spacing w:line="360" w:lineRule="auto"/>
        <w:ind w:firstLine="560" w:firstLineChars="200"/>
        <w:jc w:val="left"/>
        <w:rPr>
          <w:sz w:val="28"/>
          <w:szCs w:val="28"/>
        </w:rPr>
      </w:pPr>
      <w:r>
        <w:rPr>
          <w:sz w:val="28"/>
          <w:szCs w:val="28"/>
        </w:rPr>
        <w:t>2、土壤重构工程可行性分析</w:t>
      </w:r>
    </w:p>
    <w:p w14:paraId="644864D9">
      <w:pPr>
        <w:widowControl/>
        <w:spacing w:line="360" w:lineRule="auto"/>
        <w:ind w:firstLine="560" w:firstLineChars="200"/>
        <w:jc w:val="left"/>
        <w:rPr>
          <w:sz w:val="28"/>
          <w:szCs w:val="28"/>
        </w:rPr>
      </w:pPr>
      <w:r>
        <w:rPr>
          <w:kern w:val="0"/>
          <w:sz w:val="28"/>
          <w:szCs w:val="28"/>
          <w:lang w:bidi="ar"/>
        </w:rPr>
        <w:t>土壤重构是生态系统修复的核心基础，针对评估区不同损毁程度的土壤，采用针对性重构措施：对表层土壤彻底破坏区域，实施覆土、施肥改良等工程，补充土壤养分、改善理化性质；对表层土壤未彻底破坏但被压占、板结区域，实施翻耕、疏松处理，恢复土壤透气性和透水性。上述措施均为矿山生态修复常规成熟技术，施工工艺简单、操作便捷，所需材料易获取，结合同类矿山实践经验，土壤重构工程实施切实可行。</w:t>
      </w:r>
    </w:p>
    <w:p w14:paraId="4851CE8B">
      <w:pPr>
        <w:widowControl/>
        <w:spacing w:line="360" w:lineRule="auto"/>
        <w:ind w:firstLine="560" w:firstLineChars="200"/>
        <w:jc w:val="left"/>
        <w:rPr>
          <w:sz w:val="28"/>
          <w:szCs w:val="28"/>
        </w:rPr>
      </w:pPr>
      <w:r>
        <w:rPr>
          <w:sz w:val="28"/>
          <w:szCs w:val="28"/>
        </w:rPr>
        <w:t>3、生物多样性恢复可行性</w:t>
      </w:r>
    </w:p>
    <w:p w14:paraId="056D920D">
      <w:pPr>
        <w:widowControl/>
        <w:spacing w:line="360" w:lineRule="auto"/>
        <w:ind w:firstLine="560" w:firstLineChars="200"/>
        <w:jc w:val="left"/>
        <w:rPr>
          <w:sz w:val="28"/>
          <w:szCs w:val="28"/>
        </w:rPr>
      </w:pPr>
      <w:r>
        <w:rPr>
          <w:kern w:val="0"/>
          <w:sz w:val="28"/>
          <w:szCs w:val="28"/>
          <w:lang w:bidi="ar"/>
        </w:rPr>
        <w:t>通过矿区植被重建工程辅以人工养护，优先选用本地耐贫瘠、适应性强的乡土乔木、灌木及草本植物，结合科学种植管理，预计3-5年内可形成稳定的植被覆盖层，逐步提升区域物种丰富度。同时，构建生态廊道，连接被道路、矿坑隔断的栖息地，有效促进物种迁移与交流，降低栖息地隔离带来的负面影响。</w:t>
      </w:r>
    </w:p>
    <w:p w14:paraId="5788B13F">
      <w:pPr>
        <w:widowControl/>
        <w:spacing w:line="360" w:lineRule="auto"/>
        <w:ind w:firstLine="560" w:firstLineChars="200"/>
        <w:jc w:val="left"/>
        <w:rPr>
          <w:sz w:val="28"/>
          <w:szCs w:val="28"/>
        </w:rPr>
      </w:pPr>
      <w:r>
        <w:rPr>
          <w:kern w:val="0"/>
          <w:sz w:val="28"/>
          <w:szCs w:val="28"/>
          <w:lang w:bidi="ar"/>
        </w:rPr>
        <w:t>土壤改良作为植被恢复和生物多样性提升的基础，通过施加有机肥改善土壤肥力、使用石灰中和酸性土壤，并种植特定超富集植物，为各类植物定植创造有利条件。此外，定期评估物种丰富度、群落结构等生态指标，可根据实际情况动态调整修复策略，保障生态系统恢复的稳定性和可持续性。</w:t>
      </w:r>
    </w:p>
    <w:p w14:paraId="3204A464">
      <w:pPr>
        <w:widowControl/>
        <w:spacing w:line="360" w:lineRule="auto"/>
        <w:ind w:firstLine="560" w:firstLineChars="200"/>
        <w:jc w:val="left"/>
        <w:rPr>
          <w:sz w:val="28"/>
          <w:szCs w:val="28"/>
        </w:rPr>
      </w:pPr>
      <w:r>
        <w:rPr>
          <w:kern w:val="0"/>
          <w:sz w:val="28"/>
          <w:szCs w:val="28"/>
          <w:lang w:bidi="ar"/>
        </w:rPr>
        <w:t>上述生物多样性恢复相关技术均已成熟、可操作性强，结合区域自然条件，矿区生物多样性恢复具备充分可行性。</w:t>
      </w:r>
    </w:p>
    <w:p w14:paraId="77235662">
      <w:pPr>
        <w:widowControl/>
        <w:spacing w:line="360" w:lineRule="auto"/>
        <w:ind w:firstLine="560" w:firstLineChars="200"/>
        <w:jc w:val="left"/>
        <w:rPr>
          <w:sz w:val="28"/>
          <w:szCs w:val="28"/>
        </w:rPr>
      </w:pPr>
      <w:r>
        <w:rPr>
          <w:sz w:val="28"/>
          <w:szCs w:val="28"/>
        </w:rPr>
        <w:t>4、水土流失恢复可行性</w:t>
      </w:r>
    </w:p>
    <w:p w14:paraId="21B5E770">
      <w:pPr>
        <w:widowControl/>
        <w:spacing w:line="360" w:lineRule="auto"/>
        <w:ind w:firstLine="560" w:firstLineChars="200"/>
        <w:rPr>
          <w:sz w:val="28"/>
          <w:szCs w:val="28"/>
        </w:rPr>
      </w:pPr>
      <w:r>
        <w:rPr>
          <w:kern w:val="0"/>
          <w:sz w:val="28"/>
          <w:szCs w:val="28"/>
          <w:lang w:bidi="ar"/>
        </w:rPr>
        <w:t>针对矿区水土流失问题，采用工程措施、生物措施与管理措施相结合的方式，形成全方位的水土流失治理体系，具体措施如下：</w:t>
      </w:r>
    </w:p>
    <w:p w14:paraId="5A7C74A6">
      <w:pPr>
        <w:widowControl/>
        <w:spacing w:line="360" w:lineRule="auto"/>
        <w:ind w:firstLine="560" w:firstLineChars="200"/>
        <w:rPr>
          <w:sz w:val="28"/>
          <w:szCs w:val="28"/>
        </w:rPr>
      </w:pPr>
      <w:r>
        <w:rPr>
          <w:kern w:val="0"/>
          <w:sz w:val="28"/>
          <w:szCs w:val="28"/>
          <w:lang w:bidi="ar"/>
        </w:rPr>
        <w:t>工程措施作为快速控制侵蚀的基础，对不稳定边坡进行加固、削坡和垫坡处理，采用喷播技术将草籽、粘合剂、肥料等混合喷覆于坡面，实现坡面快速绿化覆盖；同时建设完善的排水系统，有效减少地表径流对土壤的冲刷，引导水流有序排放，从源头控制水土流失。</w:t>
      </w:r>
    </w:p>
    <w:p w14:paraId="7393F0A6">
      <w:pPr>
        <w:spacing w:line="360" w:lineRule="auto"/>
        <w:ind w:firstLine="560" w:firstLineChars="200"/>
        <w:rPr>
          <w:sz w:val="28"/>
          <w:szCs w:val="28"/>
        </w:rPr>
      </w:pPr>
      <w:r>
        <w:rPr>
          <w:kern w:val="0"/>
          <w:sz w:val="28"/>
          <w:szCs w:val="28"/>
          <w:lang w:bidi="ar"/>
        </w:rPr>
        <w:t>生物措施核心在于利用植被固土保水，种植具有发达深根系的植物，增强土壤抗侵蚀能力；在地表覆盖枯枝落叶、秸秆等有机物，减少水分蒸发，缓冲雨滴对土壤的直接冲击，进一步抑制土壤流失。</w:t>
      </w:r>
    </w:p>
    <w:p w14:paraId="0D84032C">
      <w:pPr>
        <w:widowControl/>
        <w:spacing w:line="360" w:lineRule="auto"/>
        <w:ind w:firstLine="560" w:firstLineChars="200"/>
        <w:rPr>
          <w:sz w:val="28"/>
          <w:szCs w:val="28"/>
        </w:rPr>
      </w:pPr>
      <w:r>
        <w:rPr>
          <w:kern w:val="0"/>
          <w:sz w:val="28"/>
          <w:szCs w:val="28"/>
          <w:lang w:bidi="ar"/>
        </w:rPr>
        <w:t>管理措施强调科学规划与长期维护，划分生态恢复优先区域，建立长效维护机制，定期巡查工程设施有效性，及时开展维护工作。</w:t>
      </w:r>
    </w:p>
    <w:p w14:paraId="1C7A73FF">
      <w:pPr>
        <w:widowControl/>
        <w:spacing w:line="360" w:lineRule="auto"/>
        <w:ind w:firstLine="560" w:firstLineChars="200"/>
        <w:rPr>
          <w:sz w:val="28"/>
          <w:szCs w:val="28"/>
        </w:rPr>
      </w:pPr>
      <w:r>
        <w:rPr>
          <w:kern w:val="0"/>
          <w:sz w:val="28"/>
          <w:szCs w:val="28"/>
          <w:lang w:bidi="ar"/>
        </w:rPr>
        <w:t>上述水土流失治理技术成熟、可操作性强，且相关维护工作是矿山日常生产的重要组成部分，能够保障治理措施持续落地，因此矿区水土流失恢复具备可行性。</w:t>
      </w:r>
    </w:p>
    <w:p w14:paraId="20C0BC47">
      <w:pPr>
        <w:widowControl/>
        <w:spacing w:line="360" w:lineRule="auto"/>
        <w:ind w:firstLine="560" w:firstLineChars="200"/>
        <w:jc w:val="left"/>
        <w:rPr>
          <w:sz w:val="28"/>
          <w:szCs w:val="28"/>
        </w:rPr>
      </w:pPr>
      <w:r>
        <w:rPr>
          <w:sz w:val="28"/>
          <w:szCs w:val="28"/>
        </w:rPr>
        <w:t>5、水环境污染防治可行性</w:t>
      </w:r>
    </w:p>
    <w:p w14:paraId="1D03C3F1">
      <w:pPr>
        <w:widowControl/>
        <w:spacing w:line="360" w:lineRule="auto"/>
        <w:ind w:firstLine="560" w:firstLineChars="200"/>
        <w:jc w:val="left"/>
        <w:rPr>
          <w:sz w:val="28"/>
          <w:szCs w:val="28"/>
        </w:rPr>
      </w:pPr>
      <w:r>
        <w:rPr>
          <w:kern w:val="0"/>
          <w:sz w:val="28"/>
          <w:szCs w:val="28"/>
          <w:lang w:bidi="ar"/>
        </w:rPr>
        <w:t>矿区产生的废水主要为员工生活废水，经处理后由当地居民清掏肥田，实现资源化利用且不外排；正常大气降水由截排水沟截留沉淀后，用于矿区及道路降尘洒水、周边林地绿化；暴雨期间，初期降水经截排水沟截留处理，后期清排雨水进入山沟，不会对生态修复范围内的地表水系造成影响。矿山产生的废石统一运往废石场集中堆放，各类固体废弃物均得到妥善处置。</w:t>
      </w:r>
    </w:p>
    <w:p w14:paraId="3480A75A">
      <w:pPr>
        <w:widowControl/>
        <w:spacing w:line="360" w:lineRule="auto"/>
        <w:ind w:firstLine="560" w:firstLineChars="200"/>
        <w:jc w:val="left"/>
        <w:rPr>
          <w:sz w:val="28"/>
          <w:szCs w:val="28"/>
        </w:rPr>
      </w:pPr>
      <w:r>
        <w:rPr>
          <w:kern w:val="0"/>
          <w:sz w:val="28"/>
          <w:szCs w:val="28"/>
          <w:lang w:bidi="ar"/>
        </w:rPr>
        <w:t>上述水环境污染防治技术成熟、可操作性强，且水土环境监测工作是矿山日常生产不可分割的一部分，能够及时跟踪污染变化、优化防治措施，因此矿山水土环境污染防治措施及修复工程，技术上具备可行性。水土环境污染防治以预防和监测为核心，所采取的废石综合利用、废水处理等保护措施均属于矿山主体工程范畴，技术成熟可靠。</w:t>
      </w:r>
    </w:p>
    <w:p w14:paraId="46A10761">
      <w:pPr>
        <w:widowControl/>
        <w:spacing w:line="360" w:lineRule="auto"/>
        <w:ind w:firstLine="560" w:firstLineChars="200"/>
        <w:jc w:val="left"/>
        <w:rPr>
          <w:sz w:val="28"/>
          <w:szCs w:val="28"/>
        </w:rPr>
      </w:pPr>
      <w:r>
        <w:rPr>
          <w:sz w:val="28"/>
          <w:szCs w:val="28"/>
        </w:rPr>
        <w:t>6、土壤环境污染防治可行性</w:t>
      </w:r>
    </w:p>
    <w:p w14:paraId="2AA4EC5B">
      <w:pPr>
        <w:widowControl/>
        <w:spacing w:line="360" w:lineRule="auto"/>
        <w:ind w:firstLine="560" w:firstLineChars="200"/>
        <w:jc w:val="left"/>
        <w:rPr>
          <w:sz w:val="28"/>
          <w:szCs w:val="28"/>
        </w:rPr>
      </w:pPr>
      <w:r>
        <w:rPr>
          <w:kern w:val="0"/>
          <w:sz w:val="28"/>
          <w:szCs w:val="28"/>
          <w:lang w:bidi="ar"/>
        </w:rPr>
        <w:t>结合矿山开采特点，矿区土壤污染主要来源于扬尘沉降、废石堆渗滤及少量生产活动影响，污染范围有限、程度较轻。针对此类污染，采用“预防为主、治理为辅、全程监测”的防治思路，具体措施如下：加强矿山扬尘控制，减少扬尘沉降对土壤的污染；防止废石渗滤物污染土壤；定期对矿区土壤进行监测，重点检测重金属、pH值等指标，及时掌握土壤污染状况。</w:t>
      </w:r>
    </w:p>
    <w:p w14:paraId="140C29EA">
      <w:pPr>
        <w:widowControl/>
        <w:spacing w:line="360" w:lineRule="auto"/>
        <w:ind w:firstLine="560" w:firstLineChars="200"/>
        <w:jc w:val="left"/>
        <w:rPr>
          <w:sz w:val="28"/>
          <w:szCs w:val="28"/>
        </w:rPr>
      </w:pPr>
      <w:r>
        <w:rPr>
          <w:kern w:val="0"/>
          <w:sz w:val="28"/>
          <w:szCs w:val="28"/>
          <w:lang w:bidi="ar"/>
        </w:rPr>
        <w:t>若发现局部土壤存在轻度污染，采用施加改良剂、种植超富集植物等原位修复技术，可有效改善土壤质量，达到污染防治目标。上述土壤环境污染防治技术均为行业内常规成熟技术，操作便捷、治理效果稳定，所需设备和材料易获取，结合矿山日常管理工作，能够保障防治措施有效落地，因此土壤环境污染防治具备可行性。</w:t>
      </w:r>
    </w:p>
    <w:p w14:paraId="31B0BB18">
      <w:pPr>
        <w:widowControl/>
        <w:spacing w:line="360" w:lineRule="auto"/>
        <w:ind w:firstLine="560" w:firstLineChars="200"/>
        <w:jc w:val="left"/>
        <w:rPr>
          <w:sz w:val="28"/>
          <w:szCs w:val="28"/>
        </w:rPr>
      </w:pPr>
      <w:r>
        <w:rPr>
          <w:sz w:val="28"/>
          <w:szCs w:val="28"/>
        </w:rPr>
        <w:t>7、矿区生态系统恢复经济可行性</w:t>
      </w:r>
    </w:p>
    <w:p w14:paraId="64064D53">
      <w:pPr>
        <w:widowControl/>
        <w:spacing w:line="360" w:lineRule="auto"/>
        <w:ind w:firstLine="560" w:firstLineChars="200"/>
        <w:rPr>
          <w:sz w:val="28"/>
          <w:szCs w:val="28"/>
        </w:rPr>
      </w:pPr>
      <w:r>
        <w:rPr>
          <w:kern w:val="0"/>
          <w:sz w:val="28"/>
          <w:szCs w:val="28"/>
          <w:lang w:bidi="ar"/>
        </w:rPr>
        <w:t>经调研咨询，参考同类矿山生态修复成本标准，初步估算矿区生态修复成本约</w:t>
      </w:r>
      <w:r>
        <w:rPr>
          <w:rFonts w:hint="eastAsia" w:ascii="宋体" w:hAnsi="宋体" w:cs="宋体"/>
          <w:spacing w:val="13"/>
          <w:sz w:val="32"/>
          <w:szCs w:val="32"/>
        </w:rPr>
        <w:t>***</w:t>
      </w:r>
      <w:r>
        <w:rPr>
          <w:kern w:val="0"/>
          <w:sz w:val="28"/>
          <w:szCs w:val="28"/>
          <w:lang w:bidi="ar"/>
        </w:rPr>
        <w:t>-</w:t>
      </w:r>
      <w:r>
        <w:rPr>
          <w:rFonts w:hint="eastAsia" w:ascii="宋体" w:hAnsi="宋体" w:cs="宋体"/>
          <w:spacing w:val="13"/>
          <w:sz w:val="32"/>
          <w:szCs w:val="32"/>
        </w:rPr>
        <w:t>***</w:t>
      </w:r>
      <w:r>
        <w:rPr>
          <w:kern w:val="0"/>
          <w:sz w:val="28"/>
          <w:szCs w:val="28"/>
          <w:lang w:bidi="ar"/>
        </w:rPr>
        <w:t>万元/公顷</w:t>
      </w:r>
      <w:r>
        <w:rPr>
          <w:rFonts w:hint="eastAsia"/>
          <w:kern w:val="0"/>
          <w:sz w:val="28"/>
          <w:szCs w:val="28"/>
          <w:lang w:bidi="ar"/>
        </w:rPr>
        <w:t>，本次按</w:t>
      </w:r>
      <w:r>
        <w:rPr>
          <w:rFonts w:hint="eastAsia" w:ascii="宋体" w:hAnsi="宋体" w:cs="宋体"/>
          <w:spacing w:val="13"/>
          <w:sz w:val="32"/>
          <w:szCs w:val="32"/>
        </w:rPr>
        <w:t>***</w:t>
      </w:r>
      <w:r>
        <w:rPr>
          <w:rFonts w:hint="eastAsia"/>
          <w:kern w:val="0"/>
          <w:sz w:val="28"/>
          <w:szCs w:val="28"/>
          <w:lang w:bidi="ar"/>
        </w:rPr>
        <w:t>万元/公顷计</w:t>
      </w:r>
      <w:r>
        <w:rPr>
          <w:kern w:val="0"/>
          <w:sz w:val="28"/>
          <w:szCs w:val="28"/>
          <w:lang w:bidi="ar"/>
        </w:rPr>
        <w:t>，本次矿区生态系统恢复总面积为</w:t>
      </w:r>
      <w:r>
        <w:rPr>
          <w:rFonts w:hint="eastAsia" w:ascii="宋体" w:hAnsi="宋体" w:cs="宋体"/>
          <w:spacing w:val="13"/>
          <w:sz w:val="32"/>
          <w:szCs w:val="32"/>
        </w:rPr>
        <w:t>***</w:t>
      </w:r>
      <w:r>
        <w:rPr>
          <w:rFonts w:hint="eastAsia"/>
          <w:kern w:val="0"/>
          <w:sz w:val="28"/>
          <w:szCs w:val="28"/>
          <w:lang w:bidi="ar"/>
        </w:rPr>
        <w:t>公顷</w:t>
      </w:r>
      <w:r>
        <w:rPr>
          <w:kern w:val="0"/>
          <w:sz w:val="28"/>
          <w:szCs w:val="28"/>
          <w:lang w:bidi="ar"/>
        </w:rPr>
        <w:t>，据此测算，矿区生态系统恢复总费用为</w:t>
      </w:r>
      <w:r>
        <w:rPr>
          <w:rFonts w:hint="eastAsia" w:ascii="宋体" w:hAnsi="宋体" w:cs="宋体"/>
          <w:spacing w:val="13"/>
          <w:sz w:val="32"/>
          <w:szCs w:val="32"/>
        </w:rPr>
        <w:t>***</w:t>
      </w:r>
      <w:r>
        <w:rPr>
          <w:kern w:val="0"/>
          <w:sz w:val="28"/>
          <w:szCs w:val="28"/>
          <w:lang w:bidi="ar"/>
        </w:rPr>
        <w:t>万元，该笔经费全部由矿山企业自筹解决。</w:t>
      </w:r>
    </w:p>
    <w:p w14:paraId="60D15F8A">
      <w:pPr>
        <w:widowControl/>
        <w:spacing w:line="360" w:lineRule="auto"/>
        <w:ind w:firstLine="560" w:firstLineChars="200"/>
        <w:rPr>
          <w:sz w:val="28"/>
          <w:szCs w:val="28"/>
        </w:rPr>
      </w:pPr>
      <w:r>
        <w:rPr>
          <w:kern w:val="0"/>
          <w:sz w:val="28"/>
          <w:szCs w:val="28"/>
          <w:lang w:bidi="ar"/>
        </w:rPr>
        <w:t>从经济层面分析，矿区生态系统恢复工程在项目总投资中占比合理，且项目建设投资回收期较短，矿山企业具备充足的资金实力，能够全面保障生态修复工程的规划、施工、维护等全流程资金需求，因此矿区生态系统恢复工程在经济上具备可行性。</w:t>
      </w:r>
    </w:p>
    <w:p w14:paraId="5B4B0AAC">
      <w:pPr>
        <w:spacing w:line="360" w:lineRule="auto"/>
        <w:ind w:firstLine="562" w:firstLineChars="200"/>
        <w:outlineLvl w:val="2"/>
        <w:rPr>
          <w:b/>
          <w:bCs/>
          <w:sz w:val="28"/>
          <w:szCs w:val="28"/>
        </w:rPr>
      </w:pPr>
      <w:r>
        <w:rPr>
          <w:b/>
          <w:bCs/>
          <w:sz w:val="28"/>
          <w:szCs w:val="28"/>
        </w:rPr>
        <w:t>二、目标方向可行性分析</w:t>
      </w:r>
    </w:p>
    <w:p w14:paraId="68E544A5">
      <w:pPr>
        <w:spacing w:line="360" w:lineRule="auto"/>
        <w:ind w:firstLine="562" w:firstLineChars="200"/>
        <w:outlineLvl w:val="3"/>
        <w:rPr>
          <w:sz w:val="28"/>
          <w:szCs w:val="28"/>
        </w:rPr>
      </w:pPr>
      <w:r>
        <w:rPr>
          <w:b/>
          <w:bCs/>
          <w:sz w:val="28"/>
          <w:szCs w:val="28"/>
        </w:rPr>
        <w:t>（一）参照生态系统确定</w:t>
      </w:r>
    </w:p>
    <w:p w14:paraId="3E8757D1">
      <w:pPr>
        <w:spacing w:line="360" w:lineRule="auto"/>
        <w:ind w:firstLine="560" w:firstLineChars="200"/>
        <w:rPr>
          <w:sz w:val="28"/>
          <w:szCs w:val="28"/>
        </w:rPr>
      </w:pPr>
      <w:r>
        <w:rPr>
          <w:sz w:val="28"/>
          <w:szCs w:val="28"/>
        </w:rPr>
        <w:t>1、矿区自然条件分析</w:t>
      </w:r>
    </w:p>
    <w:p w14:paraId="6940B9A6">
      <w:pPr>
        <w:spacing w:line="360" w:lineRule="auto"/>
        <w:ind w:firstLine="560" w:firstLineChars="200"/>
        <w:rPr>
          <w:sz w:val="28"/>
          <w:szCs w:val="28"/>
        </w:rPr>
      </w:pPr>
      <w:r>
        <w:rPr>
          <w:sz w:val="28"/>
          <w:szCs w:val="28"/>
        </w:rPr>
        <w:t>（1）气候与地形</w:t>
      </w:r>
    </w:p>
    <w:p w14:paraId="731F1581">
      <w:pPr>
        <w:spacing w:line="360" w:lineRule="auto"/>
        <w:ind w:firstLine="560" w:firstLineChars="200"/>
        <w:rPr>
          <w:kern w:val="0"/>
          <w:sz w:val="28"/>
          <w:szCs w:val="28"/>
        </w:rPr>
      </w:pPr>
      <w:r>
        <w:rPr>
          <w:rFonts w:hint="eastAsia"/>
          <w:sz w:val="28"/>
          <w:szCs w:val="28"/>
        </w:rPr>
        <w:t>本区属中温带内陆季风气候，冬季寒冷，夏季燥热，春秋多风沙。根据国家气象站（赤峰站）多年统计资料，2016-2025年降水量</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mm，年平均降水量</w:t>
      </w:r>
      <w:r>
        <w:rPr>
          <w:rFonts w:hint="eastAsia" w:ascii="宋体" w:hAnsi="宋体" w:cs="宋体"/>
          <w:spacing w:val="13"/>
          <w:sz w:val="32"/>
          <w:szCs w:val="32"/>
        </w:rPr>
        <w:t>***</w:t>
      </w:r>
      <w:r>
        <w:rPr>
          <w:rFonts w:hint="eastAsia"/>
          <w:sz w:val="28"/>
          <w:szCs w:val="28"/>
        </w:rPr>
        <w:t>mm。</w:t>
      </w:r>
      <w:r>
        <w:rPr>
          <w:rFonts w:hint="eastAsia"/>
          <w:kern w:val="0"/>
          <w:sz w:val="28"/>
          <w:szCs w:val="28"/>
        </w:rPr>
        <w:t>矿区位于低山区，地形坡度总体为</w:t>
      </w:r>
      <w:r>
        <w:rPr>
          <w:rFonts w:hint="eastAsia" w:ascii="宋体" w:hAnsi="宋体" w:cs="宋体"/>
          <w:spacing w:val="13"/>
          <w:sz w:val="32"/>
          <w:szCs w:val="32"/>
        </w:rPr>
        <w:t>***</w:t>
      </w:r>
      <w:r>
        <w:rPr>
          <w:rFonts w:hint="eastAsia"/>
          <w:kern w:val="0"/>
          <w:sz w:val="28"/>
          <w:szCs w:val="28"/>
        </w:rPr>
        <w:t>°，海拔</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kern w:val="0"/>
          <w:sz w:val="28"/>
          <w:szCs w:val="28"/>
        </w:rPr>
        <w:t>m，相对高差</w:t>
      </w:r>
      <w:r>
        <w:rPr>
          <w:rFonts w:hint="eastAsia" w:ascii="宋体" w:hAnsi="宋体" w:cs="宋体"/>
          <w:spacing w:val="13"/>
          <w:sz w:val="32"/>
          <w:szCs w:val="32"/>
        </w:rPr>
        <w:t>***</w:t>
      </w:r>
      <w:r>
        <w:rPr>
          <w:rFonts w:hint="eastAsia"/>
          <w:kern w:val="0"/>
          <w:sz w:val="28"/>
          <w:szCs w:val="28"/>
        </w:rPr>
        <w:t>m，矿区全区基岩裸露。最高点位于矿区南东部，海拔高度</w:t>
      </w:r>
      <w:r>
        <w:rPr>
          <w:rFonts w:hint="eastAsia" w:ascii="宋体" w:hAnsi="宋体" w:cs="宋体"/>
          <w:spacing w:val="13"/>
          <w:sz w:val="32"/>
          <w:szCs w:val="32"/>
        </w:rPr>
        <w:t>***</w:t>
      </w:r>
      <w:r>
        <w:rPr>
          <w:rFonts w:hint="eastAsia"/>
          <w:kern w:val="0"/>
          <w:sz w:val="28"/>
          <w:szCs w:val="28"/>
        </w:rPr>
        <w:t>m，最低点位于矿区南西部，海拔高度</w:t>
      </w:r>
      <w:r>
        <w:rPr>
          <w:rFonts w:hint="eastAsia" w:ascii="宋体" w:hAnsi="宋体" w:cs="宋体"/>
          <w:spacing w:val="13"/>
          <w:sz w:val="32"/>
          <w:szCs w:val="32"/>
        </w:rPr>
        <w:t>***</w:t>
      </w:r>
      <w:r>
        <w:rPr>
          <w:rFonts w:hint="eastAsia"/>
          <w:kern w:val="0"/>
          <w:sz w:val="28"/>
          <w:szCs w:val="28"/>
        </w:rPr>
        <w:t>m。</w:t>
      </w:r>
    </w:p>
    <w:p w14:paraId="0A88EDE7">
      <w:pPr>
        <w:spacing w:line="360" w:lineRule="auto"/>
        <w:ind w:firstLine="560" w:firstLineChars="200"/>
        <w:rPr>
          <w:sz w:val="28"/>
          <w:szCs w:val="28"/>
        </w:rPr>
      </w:pPr>
      <w:r>
        <w:rPr>
          <w:sz w:val="28"/>
          <w:szCs w:val="28"/>
        </w:rPr>
        <w:t>（2）矿区植被</w:t>
      </w:r>
    </w:p>
    <w:p w14:paraId="421B6A18">
      <w:pPr>
        <w:adjustRightInd w:val="0"/>
        <w:snapToGrid w:val="0"/>
        <w:spacing w:line="360" w:lineRule="auto"/>
        <w:ind w:firstLine="560" w:firstLineChars="200"/>
        <w:rPr>
          <w:sz w:val="28"/>
          <w:szCs w:val="28"/>
        </w:rPr>
      </w:pPr>
      <w:r>
        <w:rPr>
          <w:sz w:val="28"/>
          <w:szCs w:val="28"/>
        </w:rPr>
        <w:t>调查区植被类型属于半干旱草原灌草植被。</w:t>
      </w:r>
      <w:r>
        <w:rPr>
          <w:rFonts w:hint="eastAsia"/>
          <w:sz w:val="28"/>
          <w:szCs w:val="28"/>
        </w:rPr>
        <w:t>矿区植被类型多样，涵盖了从华北植物区系到东北植物区系的过渡地带，有森林、草原等多样的生态系统。</w:t>
      </w:r>
      <w:r>
        <w:rPr>
          <w:sz w:val="28"/>
          <w:szCs w:val="28"/>
        </w:rPr>
        <w:t>所调查的</w:t>
      </w:r>
      <w:r>
        <w:rPr>
          <w:rFonts w:hint="eastAsia" w:ascii="宋体" w:hAnsi="宋体" w:cs="宋体"/>
          <w:spacing w:val="13"/>
          <w:sz w:val="32"/>
          <w:szCs w:val="32"/>
        </w:rPr>
        <w:t>***</w:t>
      </w:r>
      <w:r>
        <w:rPr>
          <w:rFonts w:hint="eastAsia"/>
          <w:sz w:val="28"/>
          <w:szCs w:val="28"/>
        </w:rPr>
        <w:t>h</w:t>
      </w:r>
      <w:r>
        <w:rPr>
          <w:sz w:val="28"/>
          <w:szCs w:val="28"/>
        </w:rPr>
        <w:t>m</w:t>
      </w:r>
      <w:r>
        <w:rPr>
          <w:sz w:val="28"/>
          <w:szCs w:val="28"/>
          <w:vertAlign w:val="superscript"/>
        </w:rPr>
        <w:t>2</w:t>
      </w:r>
      <w:r>
        <w:rPr>
          <w:sz w:val="28"/>
          <w:szCs w:val="28"/>
        </w:rPr>
        <w:t>范围内，</w:t>
      </w:r>
      <w:r>
        <w:rPr>
          <w:rFonts w:hint="eastAsia"/>
          <w:sz w:val="28"/>
          <w:szCs w:val="28"/>
        </w:rPr>
        <w:t>植物种类丰富，常见乔木主要为杨树、松树等，灌木主要有山杏，成片分布于矿区内部及周边，草本植物以针茅、羊草、蒿类等为主。</w:t>
      </w:r>
    </w:p>
    <w:p w14:paraId="30C1F6E2">
      <w:pPr>
        <w:spacing w:line="360" w:lineRule="auto"/>
        <w:ind w:firstLine="544" w:firstLineChars="200"/>
        <w:rPr>
          <w:sz w:val="28"/>
          <w:szCs w:val="28"/>
        </w:rPr>
      </w:pPr>
      <w:r>
        <w:rPr>
          <w:spacing w:val="-4"/>
          <w:sz w:val="28"/>
          <w:szCs w:val="28"/>
        </w:rPr>
        <w:t>矿区整体植被发育较</w:t>
      </w:r>
      <w:r>
        <w:rPr>
          <w:rFonts w:hint="eastAsia"/>
          <w:spacing w:val="-4"/>
          <w:sz w:val="28"/>
          <w:szCs w:val="28"/>
        </w:rPr>
        <w:t>差</w:t>
      </w:r>
      <w:r>
        <w:rPr>
          <w:spacing w:val="-4"/>
          <w:sz w:val="28"/>
          <w:szCs w:val="28"/>
        </w:rPr>
        <w:t>，</w:t>
      </w:r>
      <w:r>
        <w:rPr>
          <w:sz w:val="28"/>
          <w:szCs w:val="28"/>
        </w:rPr>
        <w:t>根据遥感估算植被覆盖度，</w:t>
      </w:r>
      <w:r>
        <w:rPr>
          <w:sz w:val="28"/>
          <w:szCs w:val="28"/>
          <w:lang w:bidi="en-US"/>
        </w:rPr>
        <w:t>矿区整体</w:t>
      </w:r>
      <w:r>
        <w:rPr>
          <w:sz w:val="28"/>
          <w:szCs w:val="28"/>
        </w:rPr>
        <w:t>覆盖度</w:t>
      </w:r>
      <w:r>
        <w:rPr>
          <w:rFonts w:hint="eastAsia"/>
          <w:sz w:val="28"/>
          <w:szCs w:val="28"/>
        </w:rPr>
        <w:t>2</w:t>
      </w:r>
      <w:r>
        <w:rPr>
          <w:sz w:val="28"/>
          <w:szCs w:val="28"/>
        </w:rPr>
        <w:t>0-</w:t>
      </w:r>
      <w:r>
        <w:rPr>
          <w:rFonts w:hint="eastAsia"/>
          <w:sz w:val="28"/>
          <w:szCs w:val="28"/>
        </w:rPr>
        <w:t>3</w:t>
      </w:r>
      <w:r>
        <w:rPr>
          <w:sz w:val="28"/>
          <w:szCs w:val="28"/>
        </w:rPr>
        <w:t>0%。</w:t>
      </w:r>
    </w:p>
    <w:p w14:paraId="1C28FF9D">
      <w:pPr>
        <w:spacing w:line="360" w:lineRule="auto"/>
        <w:ind w:firstLine="560" w:firstLineChars="200"/>
        <w:rPr>
          <w:sz w:val="28"/>
          <w:szCs w:val="28"/>
        </w:rPr>
      </w:pPr>
      <w:r>
        <w:rPr>
          <w:sz w:val="28"/>
          <w:szCs w:val="28"/>
        </w:rPr>
        <w:t>（3）土壤环境</w:t>
      </w:r>
    </w:p>
    <w:p w14:paraId="6BE2F6C2">
      <w:pPr>
        <w:spacing w:line="360" w:lineRule="auto"/>
        <w:ind w:firstLine="560" w:firstLineChars="200"/>
        <w:rPr>
          <w:sz w:val="28"/>
          <w:szCs w:val="28"/>
        </w:rPr>
      </w:pPr>
      <w:r>
        <w:rPr>
          <w:rFonts w:hint="eastAsia"/>
          <w:sz w:val="28"/>
          <w:szCs w:val="28"/>
        </w:rPr>
        <w:t>项目区位于低山区，地表被黄土和风成砂覆盖，土层厚度</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m，黄土层中的上部多见碎石、砾石、砂砾夹层，土壤质地为沙壌，土壤容重在</w:t>
      </w:r>
      <w:r>
        <w:rPr>
          <w:rFonts w:hint="eastAsia" w:ascii="宋体" w:hAnsi="宋体" w:cs="宋体"/>
          <w:spacing w:val="13"/>
          <w:sz w:val="32"/>
          <w:szCs w:val="32"/>
        </w:rPr>
        <w:t>***</w:t>
      </w:r>
      <w:r>
        <w:rPr>
          <w:rFonts w:hint="eastAsia"/>
          <w:sz w:val="28"/>
          <w:szCs w:val="28"/>
        </w:rPr>
        <w:t>g/cm</w:t>
      </w:r>
      <w:r>
        <w:rPr>
          <w:rFonts w:hint="eastAsia"/>
          <w:sz w:val="28"/>
          <w:szCs w:val="28"/>
          <w:vertAlign w:val="superscript"/>
        </w:rPr>
        <w:t>3</w:t>
      </w:r>
      <w:r>
        <w:rPr>
          <w:rFonts w:hint="eastAsia"/>
          <w:sz w:val="28"/>
          <w:szCs w:val="28"/>
        </w:rPr>
        <w:t>左右，有机质含量</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％，pH在</w:t>
      </w:r>
      <w:r>
        <w:rPr>
          <w:rFonts w:hint="eastAsia" w:ascii="宋体" w:hAnsi="宋体" w:cs="宋体"/>
          <w:spacing w:val="13"/>
          <w:sz w:val="32"/>
          <w:szCs w:val="32"/>
        </w:rPr>
        <w:t>***</w:t>
      </w:r>
      <w:r>
        <w:rPr>
          <w:rFonts w:hint="eastAsia"/>
          <w:sz w:val="28"/>
          <w:szCs w:val="28"/>
        </w:rPr>
        <w:t>左右，土壤质地疏松、多孔，胶结物质、粘粒成分含量较低，土壤的抗蚀性和抗冲性较弱，肥力一般</w:t>
      </w:r>
      <w:r>
        <w:rPr>
          <w:sz w:val="28"/>
          <w:szCs w:val="28"/>
        </w:rPr>
        <w:t>。</w:t>
      </w:r>
    </w:p>
    <w:p w14:paraId="7D2170AD">
      <w:pPr>
        <w:spacing w:line="360" w:lineRule="auto"/>
        <w:ind w:firstLine="560" w:firstLineChars="200"/>
        <w:rPr>
          <w:sz w:val="28"/>
          <w:szCs w:val="28"/>
        </w:rPr>
      </w:pPr>
      <w:r>
        <w:rPr>
          <w:sz w:val="28"/>
          <w:szCs w:val="28"/>
        </w:rPr>
        <w:t>2、矿区周边的生态系统特征</w:t>
      </w:r>
    </w:p>
    <w:p w14:paraId="06EC94F6">
      <w:pPr>
        <w:spacing w:line="360" w:lineRule="auto"/>
        <w:ind w:firstLine="560" w:firstLineChars="200"/>
        <w:rPr>
          <w:sz w:val="28"/>
          <w:szCs w:val="28"/>
        </w:rPr>
      </w:pPr>
      <w:r>
        <w:rPr>
          <w:sz w:val="28"/>
          <w:szCs w:val="28"/>
        </w:rPr>
        <w:t>矿区周边未受损生态系统主要为草地生态系统</w:t>
      </w:r>
      <w:r>
        <w:rPr>
          <w:rFonts w:hint="eastAsia"/>
          <w:sz w:val="28"/>
          <w:szCs w:val="28"/>
        </w:rPr>
        <w:t>、人工</w:t>
      </w:r>
      <w:r>
        <w:rPr>
          <w:sz w:val="28"/>
          <w:szCs w:val="28"/>
        </w:rPr>
        <w:t>林生态系统，根据《赤峰市国土空间总体规划（2021-2035年）》、《松山区国土空间总体规划（2021-2035年）》等相关规划，矿山及周边为矿业生产活动区，土地类型以草地</w:t>
      </w:r>
      <w:r>
        <w:rPr>
          <w:rFonts w:hint="eastAsia"/>
          <w:sz w:val="28"/>
          <w:szCs w:val="28"/>
        </w:rPr>
        <w:t>、</w:t>
      </w:r>
      <w:r>
        <w:rPr>
          <w:sz w:val="28"/>
          <w:szCs w:val="28"/>
        </w:rPr>
        <w:t>林地为主（生态系统典型照片见照片3-</w:t>
      </w:r>
      <w:r>
        <w:rPr>
          <w:rFonts w:hint="eastAsia"/>
          <w:sz w:val="28"/>
          <w:szCs w:val="28"/>
        </w:rPr>
        <w:t>15</w:t>
      </w:r>
      <w:r>
        <w:rPr>
          <w:sz w:val="28"/>
          <w:szCs w:val="28"/>
        </w:rPr>
        <w:t>至3-</w:t>
      </w:r>
      <w:r>
        <w:rPr>
          <w:rFonts w:hint="eastAsia"/>
          <w:sz w:val="28"/>
          <w:szCs w:val="28"/>
        </w:rPr>
        <w:t>16</w:t>
      </w:r>
      <w:r>
        <w:rPr>
          <w:sz w:val="28"/>
          <w:szCs w:val="28"/>
        </w:rPr>
        <w:t>），根据季节变化主要植物群落相应变化，生态结构较为单一。区内无珍贵动物栖息地，无动物迁徙路线途经本区。</w:t>
      </w:r>
    </w:p>
    <w:p w14:paraId="3D1B5B70">
      <w:pPr>
        <w:spacing w:line="360" w:lineRule="auto"/>
        <w:ind w:firstLine="560" w:firstLineChars="200"/>
        <w:rPr>
          <w:sz w:val="28"/>
          <w:szCs w:val="28"/>
        </w:rPr>
      </w:pPr>
      <w:r>
        <w:rPr>
          <w:sz w:val="28"/>
          <w:szCs w:val="28"/>
        </w:rPr>
        <w:t>经现场实地调查，矿区周边未受损的生态系统主要为草地生态系统、</w:t>
      </w:r>
      <w:r>
        <w:rPr>
          <w:rFonts w:hint="eastAsia"/>
          <w:sz w:val="28"/>
          <w:szCs w:val="28"/>
        </w:rPr>
        <w:t>人工林</w:t>
      </w:r>
      <w:r>
        <w:rPr>
          <w:sz w:val="28"/>
          <w:szCs w:val="28"/>
        </w:rPr>
        <w:t>生态系统。</w:t>
      </w:r>
    </w:p>
    <w:p w14:paraId="5D8FA8C2">
      <w:pPr>
        <w:spacing w:line="360" w:lineRule="auto"/>
        <w:ind w:firstLine="560" w:firstLineChars="200"/>
        <w:rPr>
          <w:sz w:val="28"/>
          <w:szCs w:val="28"/>
        </w:rPr>
      </w:pPr>
      <w:r>
        <w:rPr>
          <w:sz w:val="28"/>
          <w:szCs w:val="28"/>
        </w:rPr>
        <w:t>（</w:t>
      </w:r>
      <w:r>
        <w:rPr>
          <w:rFonts w:hint="eastAsia"/>
          <w:sz w:val="28"/>
          <w:szCs w:val="28"/>
        </w:rPr>
        <w:t>1</w:t>
      </w:r>
      <w:r>
        <w:rPr>
          <w:sz w:val="28"/>
          <w:szCs w:val="28"/>
        </w:rPr>
        <w:t>）草地生态系统</w:t>
      </w:r>
    </w:p>
    <w:p w14:paraId="6B4A08D8">
      <w:pPr>
        <w:spacing w:line="360" w:lineRule="auto"/>
        <w:ind w:firstLine="560" w:firstLineChars="200"/>
        <w:rPr>
          <w:sz w:val="28"/>
          <w:szCs w:val="28"/>
        </w:rPr>
      </w:pPr>
      <w:r>
        <w:rPr>
          <w:sz w:val="28"/>
          <w:szCs w:val="28"/>
        </w:rPr>
        <w:t>草地生态系统属于典型的温性山地草甸草原与干旱草原复合生态系统，是赤峰市北方生态安全屏障的重要组成部分。草地主要分布于低山</w:t>
      </w:r>
      <w:r>
        <w:rPr>
          <w:rFonts w:hint="eastAsia"/>
          <w:sz w:val="28"/>
          <w:szCs w:val="28"/>
        </w:rPr>
        <w:t>山坡</w:t>
      </w:r>
      <w:r>
        <w:rPr>
          <w:sz w:val="28"/>
          <w:szCs w:val="28"/>
        </w:rPr>
        <w:t>地带，与</w:t>
      </w:r>
      <w:r>
        <w:rPr>
          <w:rFonts w:hint="eastAsia"/>
          <w:sz w:val="28"/>
          <w:szCs w:val="28"/>
        </w:rPr>
        <w:t>人工林</w:t>
      </w:r>
      <w:r>
        <w:rPr>
          <w:sz w:val="28"/>
          <w:szCs w:val="28"/>
        </w:rPr>
        <w:t>形成镶嵌式景观格局，</w:t>
      </w:r>
      <w:r>
        <w:rPr>
          <w:rFonts w:hint="eastAsia"/>
          <w:sz w:val="28"/>
          <w:szCs w:val="28"/>
        </w:rPr>
        <w:t>草地</w:t>
      </w:r>
      <w:r>
        <w:rPr>
          <w:sz w:val="28"/>
          <w:szCs w:val="28"/>
        </w:rPr>
        <w:t>植被盖度稳定在</w:t>
      </w:r>
      <w:r>
        <w:rPr>
          <w:rFonts w:hint="eastAsia" w:ascii="宋体" w:hAnsi="宋体" w:cs="宋体"/>
          <w:spacing w:val="13"/>
          <w:sz w:val="32"/>
          <w:szCs w:val="32"/>
        </w:rPr>
        <w:t>***</w:t>
      </w:r>
      <w:r>
        <w:rPr>
          <w:sz w:val="28"/>
          <w:szCs w:val="28"/>
        </w:rPr>
        <w:t>%以上，平均可食产草量干重</w:t>
      </w:r>
      <w:r>
        <w:rPr>
          <w:rFonts w:hint="eastAsia" w:ascii="宋体" w:hAnsi="宋体" w:cs="宋体"/>
          <w:spacing w:val="13"/>
          <w:sz w:val="32"/>
          <w:szCs w:val="32"/>
        </w:rPr>
        <w:t>***</w:t>
      </w:r>
      <w:r>
        <w:rPr>
          <w:sz w:val="28"/>
          <w:szCs w:val="28"/>
        </w:rPr>
        <w:t>kg/hm²。草地根系固持土壤，有效减少水土流失。</w:t>
      </w:r>
    </w:p>
    <w:p w14:paraId="124235AA">
      <w:pPr>
        <w:spacing w:line="360" w:lineRule="auto"/>
        <w:jc w:val="center"/>
        <w:rPr>
          <w:rFonts w:eastAsia="黑体"/>
          <w:sz w:val="28"/>
          <w:szCs w:val="28"/>
        </w:rPr>
      </w:pPr>
      <w:r>
        <w:rPr>
          <w:rFonts w:eastAsia="黑体"/>
          <w:sz w:val="24"/>
          <w:szCs w:val="24"/>
        </w:rPr>
        <w:t>照片3-</w:t>
      </w:r>
      <w:r>
        <w:rPr>
          <w:rFonts w:hint="eastAsia" w:eastAsia="黑体"/>
          <w:sz w:val="24"/>
          <w:szCs w:val="24"/>
        </w:rPr>
        <w:t>15</w:t>
      </w:r>
      <w:r>
        <w:rPr>
          <w:rFonts w:eastAsia="黑体"/>
          <w:sz w:val="24"/>
          <w:szCs w:val="24"/>
        </w:rPr>
        <w:t xml:space="preserve">  矿区草地生态系统典型照片</w:t>
      </w:r>
    </w:p>
    <w:p w14:paraId="11118384">
      <w:pPr>
        <w:spacing w:line="360" w:lineRule="auto"/>
        <w:ind w:firstLine="560" w:firstLineChars="200"/>
        <w:rPr>
          <w:sz w:val="28"/>
          <w:szCs w:val="28"/>
        </w:rPr>
      </w:pPr>
      <w:r>
        <w:rPr>
          <w:sz w:val="28"/>
          <w:szCs w:val="28"/>
        </w:rPr>
        <w:t>（</w:t>
      </w:r>
      <w:r>
        <w:rPr>
          <w:rFonts w:hint="eastAsia"/>
          <w:sz w:val="28"/>
          <w:szCs w:val="28"/>
        </w:rPr>
        <w:t>2</w:t>
      </w:r>
      <w:r>
        <w:rPr>
          <w:sz w:val="28"/>
          <w:szCs w:val="28"/>
        </w:rPr>
        <w:t>）</w:t>
      </w:r>
      <w:r>
        <w:rPr>
          <w:rFonts w:hint="eastAsia"/>
          <w:sz w:val="28"/>
          <w:szCs w:val="28"/>
        </w:rPr>
        <w:t>人工</w:t>
      </w:r>
      <w:r>
        <w:rPr>
          <w:sz w:val="28"/>
          <w:szCs w:val="28"/>
        </w:rPr>
        <w:t>林生态系统</w:t>
      </w:r>
    </w:p>
    <w:p w14:paraId="67EF20BD">
      <w:pPr>
        <w:spacing w:line="360" w:lineRule="auto"/>
        <w:ind w:firstLine="560" w:firstLineChars="200"/>
        <w:rPr>
          <w:b/>
          <w:bCs/>
          <w:sz w:val="28"/>
          <w:szCs w:val="28"/>
        </w:rPr>
      </w:pPr>
      <w:r>
        <w:rPr>
          <w:sz w:val="28"/>
          <w:szCs w:val="28"/>
        </w:rPr>
        <w:t>森林生态系统在矿区</w:t>
      </w:r>
      <w:r>
        <w:rPr>
          <w:rFonts w:hint="eastAsia"/>
          <w:sz w:val="28"/>
          <w:szCs w:val="28"/>
        </w:rPr>
        <w:t>零星</w:t>
      </w:r>
      <w:r>
        <w:rPr>
          <w:sz w:val="28"/>
          <w:szCs w:val="28"/>
        </w:rPr>
        <w:t>分布，植被具有森林植被向半干旱草原植被过渡的特征，植被系构成复杂，森林乔木树种主要有</w:t>
      </w:r>
      <w:r>
        <w:rPr>
          <w:rFonts w:hint="eastAsia"/>
          <w:sz w:val="28"/>
          <w:szCs w:val="28"/>
        </w:rPr>
        <w:t>杨树、松树</w:t>
      </w:r>
      <w:r>
        <w:rPr>
          <w:sz w:val="28"/>
          <w:szCs w:val="28"/>
        </w:rPr>
        <w:t>等。损毁土地复垦修复为林地后，林地发达的根系能固定土壤、减少水土流失，还能可净化周边空气，修复矿区自身生态，形成生态屏障。</w:t>
      </w:r>
    </w:p>
    <w:p w14:paraId="5BC7DEEE">
      <w:pPr>
        <w:spacing w:line="360" w:lineRule="auto"/>
        <w:jc w:val="center"/>
        <w:rPr>
          <w:rFonts w:eastAsia="黑体"/>
          <w:sz w:val="24"/>
          <w:szCs w:val="24"/>
        </w:rPr>
      </w:pPr>
      <w:r>
        <w:rPr>
          <w:rFonts w:eastAsia="黑体"/>
          <w:sz w:val="24"/>
          <w:szCs w:val="24"/>
        </w:rPr>
        <w:t>照片3-</w:t>
      </w:r>
      <w:r>
        <w:rPr>
          <w:rFonts w:hint="eastAsia" w:eastAsia="黑体"/>
          <w:sz w:val="24"/>
          <w:szCs w:val="24"/>
        </w:rPr>
        <w:t>16</w:t>
      </w:r>
      <w:r>
        <w:rPr>
          <w:rFonts w:eastAsia="黑体"/>
          <w:sz w:val="24"/>
          <w:szCs w:val="24"/>
        </w:rPr>
        <w:t xml:space="preserve">   矿区</w:t>
      </w:r>
      <w:r>
        <w:rPr>
          <w:rFonts w:hint="eastAsia" w:eastAsia="黑体"/>
          <w:sz w:val="24"/>
          <w:szCs w:val="24"/>
        </w:rPr>
        <w:t>人工</w:t>
      </w:r>
      <w:r>
        <w:rPr>
          <w:rFonts w:eastAsia="黑体"/>
          <w:sz w:val="24"/>
          <w:szCs w:val="24"/>
        </w:rPr>
        <w:t>林山体生态系统典型照片</w:t>
      </w:r>
    </w:p>
    <w:p w14:paraId="1DC03C5C">
      <w:pPr>
        <w:spacing w:line="360" w:lineRule="auto"/>
        <w:ind w:firstLine="560" w:firstLineChars="200"/>
        <w:rPr>
          <w:sz w:val="28"/>
          <w:szCs w:val="28"/>
        </w:rPr>
      </w:pPr>
      <w:r>
        <w:rPr>
          <w:rFonts w:hint="eastAsia"/>
          <w:sz w:val="28"/>
          <w:szCs w:val="28"/>
        </w:rPr>
        <w:t>3</w:t>
      </w:r>
      <w:r>
        <w:rPr>
          <w:sz w:val="28"/>
          <w:szCs w:val="28"/>
        </w:rPr>
        <w:t>、</w:t>
      </w:r>
      <w:r>
        <w:rPr>
          <w:rFonts w:hint="eastAsia"/>
          <w:sz w:val="28"/>
          <w:szCs w:val="28"/>
        </w:rPr>
        <w:t>周边矿山生态修复工作案例分析</w:t>
      </w:r>
    </w:p>
    <w:p w14:paraId="72D85E79">
      <w:pPr>
        <w:spacing w:line="360" w:lineRule="auto"/>
        <w:ind w:firstLine="560" w:firstLineChars="200"/>
        <w:rPr>
          <w:sz w:val="28"/>
          <w:szCs w:val="28"/>
        </w:rPr>
      </w:pPr>
      <w:r>
        <w:rPr>
          <w:rFonts w:hint="eastAsia"/>
          <w:sz w:val="28"/>
          <w:szCs w:val="28"/>
        </w:rPr>
        <w:t>本方案根据开采矿种、开采方式、地理位置，选取赤峰市松山区大庙镇团结营玄武岩碎石矿为例，对地质环境治理与土地复垦方法、效果及资金投入情况进行对比分析，下面对案例进行分析。</w:t>
      </w:r>
    </w:p>
    <w:p w14:paraId="71AD4BFA">
      <w:pPr>
        <w:spacing w:line="360" w:lineRule="auto"/>
        <w:ind w:firstLine="560" w:firstLineChars="200"/>
        <w:rPr>
          <w:sz w:val="28"/>
          <w:szCs w:val="28"/>
        </w:rPr>
      </w:pPr>
      <w:r>
        <w:rPr>
          <w:rFonts w:hint="eastAsia"/>
          <w:sz w:val="28"/>
          <w:szCs w:val="28"/>
        </w:rPr>
        <w:t>（1）矿山概况</w:t>
      </w:r>
    </w:p>
    <w:p w14:paraId="2048B81F">
      <w:pPr>
        <w:spacing w:line="360" w:lineRule="auto"/>
        <w:ind w:firstLine="560" w:firstLineChars="200"/>
        <w:rPr>
          <w:sz w:val="28"/>
          <w:szCs w:val="28"/>
        </w:rPr>
      </w:pPr>
      <w:r>
        <w:rPr>
          <w:rFonts w:hint="eastAsia"/>
          <w:sz w:val="28"/>
          <w:szCs w:val="28"/>
        </w:rPr>
        <w:t>赤峰市松山区大庙镇团结营玄武岩碎石矿</w:t>
      </w:r>
      <w:r>
        <w:rPr>
          <w:sz w:val="28"/>
          <w:szCs w:val="28"/>
        </w:rPr>
        <w:t>隶属</w:t>
      </w:r>
      <w:r>
        <w:rPr>
          <w:rFonts w:hint="eastAsia"/>
          <w:sz w:val="28"/>
          <w:szCs w:val="28"/>
        </w:rPr>
        <w:t>赤峰市松山区大庙镇管辖</w:t>
      </w:r>
      <w:r>
        <w:rPr>
          <w:sz w:val="28"/>
          <w:szCs w:val="28"/>
        </w:rPr>
        <w:t>，矿区面积</w:t>
      </w:r>
      <w:r>
        <w:rPr>
          <w:rFonts w:hint="eastAsia" w:ascii="宋体" w:hAnsi="宋体" w:cs="宋体"/>
          <w:spacing w:val="13"/>
          <w:sz w:val="32"/>
          <w:szCs w:val="32"/>
        </w:rPr>
        <w:t>***</w:t>
      </w:r>
      <w:r>
        <w:rPr>
          <w:sz w:val="28"/>
          <w:szCs w:val="28"/>
        </w:rPr>
        <w:t>km</w:t>
      </w:r>
      <w:r>
        <w:rPr>
          <w:sz w:val="28"/>
          <w:szCs w:val="28"/>
          <w:vertAlign w:val="superscript"/>
        </w:rPr>
        <w:t>2</w:t>
      </w:r>
      <w:r>
        <w:rPr>
          <w:sz w:val="28"/>
          <w:szCs w:val="28"/>
        </w:rPr>
        <w:t>，开采矿种：</w:t>
      </w:r>
      <w:r>
        <w:rPr>
          <w:rFonts w:hint="eastAsia"/>
          <w:sz w:val="28"/>
          <w:szCs w:val="28"/>
        </w:rPr>
        <w:t>建筑用玄武岩</w:t>
      </w:r>
      <w:r>
        <w:rPr>
          <w:sz w:val="28"/>
          <w:szCs w:val="28"/>
        </w:rPr>
        <w:t>，开采方式：</w:t>
      </w:r>
      <w:r>
        <w:rPr>
          <w:rFonts w:hint="eastAsia"/>
          <w:sz w:val="28"/>
          <w:szCs w:val="28"/>
        </w:rPr>
        <w:t>露天开采</w:t>
      </w:r>
      <w:r>
        <w:rPr>
          <w:sz w:val="28"/>
          <w:szCs w:val="28"/>
        </w:rPr>
        <w:t>，生产规模：</w:t>
      </w:r>
      <w:r>
        <w:rPr>
          <w:rFonts w:hint="eastAsia" w:ascii="宋体" w:hAnsi="宋体" w:cs="宋体"/>
          <w:spacing w:val="13"/>
          <w:sz w:val="32"/>
          <w:szCs w:val="32"/>
        </w:rPr>
        <w:t>***</w:t>
      </w:r>
      <w:r>
        <w:rPr>
          <w:rFonts w:hint="eastAsia"/>
          <w:sz w:val="28"/>
          <w:szCs w:val="28"/>
        </w:rPr>
        <w:t>×10</w:t>
      </w:r>
      <w:r>
        <w:rPr>
          <w:rFonts w:hint="eastAsia"/>
          <w:sz w:val="28"/>
          <w:szCs w:val="28"/>
          <w:vertAlign w:val="superscript"/>
        </w:rPr>
        <w:t>4</w:t>
      </w:r>
      <w:r>
        <w:rPr>
          <w:rFonts w:hint="eastAsia"/>
          <w:sz w:val="28"/>
          <w:szCs w:val="28"/>
        </w:rPr>
        <w:t>m</w:t>
      </w:r>
      <w:r>
        <w:rPr>
          <w:rFonts w:hint="eastAsia"/>
          <w:sz w:val="28"/>
          <w:szCs w:val="28"/>
          <w:vertAlign w:val="superscript"/>
        </w:rPr>
        <w:t>3</w:t>
      </w:r>
      <w:r>
        <w:rPr>
          <w:sz w:val="28"/>
          <w:szCs w:val="28"/>
        </w:rPr>
        <w:t>/</w:t>
      </w:r>
      <w:r>
        <w:rPr>
          <w:rFonts w:hint="eastAsia"/>
          <w:sz w:val="28"/>
          <w:szCs w:val="28"/>
        </w:rPr>
        <w:t>年。</w:t>
      </w:r>
    </w:p>
    <w:p w14:paraId="20CC524F">
      <w:pPr>
        <w:spacing w:line="360" w:lineRule="auto"/>
        <w:ind w:firstLine="560" w:firstLineChars="200"/>
        <w:rPr>
          <w:sz w:val="28"/>
          <w:szCs w:val="28"/>
        </w:rPr>
      </w:pPr>
      <w:r>
        <w:rPr>
          <w:rFonts w:hint="eastAsia"/>
          <w:sz w:val="28"/>
          <w:szCs w:val="28"/>
        </w:rPr>
        <w:t>（2）已实施的治理工程</w:t>
      </w:r>
    </w:p>
    <w:p w14:paraId="597E5A65">
      <w:pPr>
        <w:spacing w:line="360" w:lineRule="auto"/>
        <w:ind w:firstLine="560" w:firstLineChars="200"/>
        <w:rPr>
          <w:sz w:val="28"/>
          <w:szCs w:val="28"/>
        </w:rPr>
      </w:pPr>
      <w:r>
        <w:rPr>
          <w:rFonts w:hint="eastAsia"/>
          <w:sz w:val="28"/>
          <w:szCs w:val="28"/>
        </w:rPr>
        <w:t>根据现场踏勘结果，矿山民采时已形成长约</w:t>
      </w:r>
      <w:r>
        <w:rPr>
          <w:rFonts w:hint="eastAsia" w:ascii="宋体" w:hAnsi="宋体" w:cs="宋体"/>
          <w:spacing w:val="13"/>
          <w:sz w:val="32"/>
          <w:szCs w:val="32"/>
        </w:rPr>
        <w:t>***</w:t>
      </w:r>
      <w:r>
        <w:rPr>
          <w:rFonts w:hint="eastAsia"/>
          <w:sz w:val="28"/>
          <w:szCs w:val="28"/>
        </w:rPr>
        <w:t>m，宽约</w:t>
      </w:r>
      <w:r>
        <w:rPr>
          <w:rFonts w:hint="eastAsia" w:ascii="宋体" w:hAnsi="宋体" w:cs="宋体"/>
          <w:spacing w:val="13"/>
          <w:sz w:val="32"/>
          <w:szCs w:val="32"/>
        </w:rPr>
        <w:t>***</w:t>
      </w:r>
      <w:r>
        <w:rPr>
          <w:rFonts w:hint="eastAsia"/>
          <w:sz w:val="28"/>
          <w:szCs w:val="28"/>
        </w:rPr>
        <w:t>m的采坑，采坑深</w:t>
      </w:r>
      <w:r>
        <w:rPr>
          <w:rFonts w:hint="eastAsia" w:ascii="宋体" w:hAnsi="宋体" w:cs="宋体"/>
          <w:spacing w:val="13"/>
          <w:sz w:val="32"/>
          <w:szCs w:val="32"/>
        </w:rPr>
        <w:t>***</w:t>
      </w:r>
      <w:r>
        <w:rPr>
          <w:rFonts w:hint="eastAsia"/>
          <w:sz w:val="28"/>
          <w:szCs w:val="28"/>
        </w:rPr>
        <w:t>m～</w:t>
      </w:r>
      <w:r>
        <w:rPr>
          <w:rFonts w:hint="eastAsia" w:ascii="宋体" w:hAnsi="宋体" w:cs="宋体"/>
          <w:spacing w:val="13"/>
          <w:sz w:val="32"/>
          <w:szCs w:val="32"/>
        </w:rPr>
        <w:t>***</w:t>
      </w:r>
      <w:r>
        <w:rPr>
          <w:rFonts w:hint="eastAsia"/>
          <w:sz w:val="28"/>
          <w:szCs w:val="28"/>
        </w:rPr>
        <w:t>m。矿山未进行治理，另外在进行地质普查工作期间开挖了</w:t>
      </w:r>
      <w:r>
        <w:rPr>
          <w:rFonts w:hint="eastAsia" w:ascii="宋体" w:hAnsi="宋体" w:cs="宋体"/>
          <w:spacing w:val="13"/>
          <w:sz w:val="32"/>
          <w:szCs w:val="32"/>
        </w:rPr>
        <w:t>***</w:t>
      </w:r>
      <w:r>
        <w:rPr>
          <w:rFonts w:hint="eastAsia"/>
          <w:sz w:val="28"/>
          <w:szCs w:val="28"/>
        </w:rPr>
        <w:t>条探槽，编录完成后随即进行了回填治理，治理效果较好，治理情况见照片3-17至3-19。</w:t>
      </w:r>
    </w:p>
    <w:p w14:paraId="5F5EA949">
      <w:pPr>
        <w:jc w:val="center"/>
        <w:rPr>
          <w:rFonts w:hint="eastAsia" w:hAnsi="宋体"/>
          <w:bCs/>
          <w:sz w:val="24"/>
          <w:szCs w:val="24"/>
        </w:rPr>
      </w:pPr>
    </w:p>
    <w:p w14:paraId="4D913221">
      <w:pPr>
        <w:jc w:val="center"/>
        <w:rPr>
          <w:rFonts w:hint="eastAsia" w:ascii="黑体" w:hAnsi="黑体" w:eastAsia="黑体"/>
          <w:color w:val="000000"/>
          <w:szCs w:val="21"/>
        </w:rPr>
      </w:pPr>
      <w:r>
        <w:rPr>
          <w:rFonts w:ascii="黑体" w:hAnsi="黑体" w:eastAsia="黑体"/>
          <w:color w:val="000000"/>
          <w:szCs w:val="21"/>
        </w:rPr>
        <w:t>照片</w:t>
      </w:r>
      <w:r>
        <w:rPr>
          <w:rFonts w:hint="eastAsia" w:ascii="黑体" w:hAnsi="黑体" w:eastAsia="黑体"/>
          <w:color w:val="000000"/>
          <w:szCs w:val="21"/>
        </w:rPr>
        <w:t>3-17</w:t>
      </w:r>
      <w:r>
        <w:rPr>
          <w:rFonts w:ascii="黑体" w:hAnsi="黑体" w:eastAsia="黑体"/>
          <w:color w:val="000000"/>
          <w:szCs w:val="21"/>
        </w:rPr>
        <w:t xml:space="preserve">  </w:t>
      </w:r>
      <w:r>
        <w:rPr>
          <w:rFonts w:hint="eastAsia" w:ascii="黑体" w:hAnsi="黑体" w:eastAsia="黑体"/>
          <w:color w:val="000000"/>
          <w:szCs w:val="21"/>
        </w:rPr>
        <w:t>TC301探槽回填</w:t>
      </w:r>
    </w:p>
    <w:p w14:paraId="563D094F">
      <w:pPr>
        <w:jc w:val="center"/>
        <w:rPr>
          <w:rFonts w:hint="eastAsia" w:ascii="黑体" w:hAnsi="黑体" w:eastAsia="黑体"/>
          <w:color w:val="000000"/>
          <w:szCs w:val="21"/>
        </w:rPr>
      </w:pPr>
    </w:p>
    <w:p w14:paraId="7E9AF60F">
      <w:pPr>
        <w:jc w:val="center"/>
        <w:rPr>
          <w:rFonts w:hint="eastAsia" w:ascii="黑体" w:hAnsi="黑体" w:eastAsia="黑体"/>
          <w:color w:val="000000"/>
          <w:szCs w:val="21"/>
        </w:rPr>
      </w:pPr>
      <w:r>
        <w:rPr>
          <w:rFonts w:ascii="黑体" w:hAnsi="黑体" w:eastAsia="黑体"/>
          <w:color w:val="000000"/>
          <w:szCs w:val="21"/>
        </w:rPr>
        <w:t>照片</w:t>
      </w:r>
      <w:r>
        <w:rPr>
          <w:rFonts w:hint="eastAsia" w:ascii="黑体" w:hAnsi="黑体" w:eastAsia="黑体"/>
          <w:color w:val="000000"/>
          <w:szCs w:val="21"/>
        </w:rPr>
        <w:t>3-18</w:t>
      </w:r>
      <w:r>
        <w:rPr>
          <w:rFonts w:ascii="黑体" w:hAnsi="黑体" w:eastAsia="黑体"/>
          <w:color w:val="000000"/>
          <w:szCs w:val="21"/>
        </w:rPr>
        <w:t xml:space="preserve">  </w:t>
      </w:r>
      <w:r>
        <w:rPr>
          <w:rFonts w:hint="eastAsia" w:ascii="黑体" w:hAnsi="黑体" w:eastAsia="黑体"/>
          <w:color w:val="000000"/>
          <w:szCs w:val="21"/>
        </w:rPr>
        <w:t>TC302探槽回填</w:t>
      </w:r>
    </w:p>
    <w:p w14:paraId="19DE9FE7">
      <w:pPr>
        <w:jc w:val="center"/>
        <w:rPr>
          <w:bCs/>
          <w:sz w:val="24"/>
          <w:szCs w:val="24"/>
        </w:rPr>
      </w:pPr>
    </w:p>
    <w:p w14:paraId="0CA91D8A">
      <w:pPr>
        <w:spacing w:line="360" w:lineRule="auto"/>
        <w:ind w:firstLine="2940" w:firstLineChars="1400"/>
        <w:rPr>
          <w:sz w:val="28"/>
          <w:szCs w:val="28"/>
        </w:rPr>
      </w:pPr>
      <w:r>
        <w:rPr>
          <w:rFonts w:ascii="黑体" w:hAnsi="黑体" w:eastAsia="黑体"/>
          <w:color w:val="000000"/>
          <w:szCs w:val="21"/>
        </w:rPr>
        <w:t>照片</w:t>
      </w:r>
      <w:r>
        <w:rPr>
          <w:rFonts w:hint="eastAsia" w:ascii="黑体" w:hAnsi="黑体" w:eastAsia="黑体"/>
          <w:color w:val="000000"/>
          <w:szCs w:val="21"/>
        </w:rPr>
        <w:t>3-19</w:t>
      </w:r>
      <w:r>
        <w:rPr>
          <w:rFonts w:ascii="黑体" w:hAnsi="黑体" w:eastAsia="黑体"/>
          <w:color w:val="000000"/>
          <w:szCs w:val="21"/>
        </w:rPr>
        <w:t xml:space="preserve">  </w:t>
      </w:r>
      <w:r>
        <w:rPr>
          <w:rFonts w:hint="eastAsia" w:ascii="黑体" w:hAnsi="黑体" w:eastAsia="黑体"/>
          <w:color w:val="000000"/>
          <w:szCs w:val="21"/>
        </w:rPr>
        <w:t>TC101探槽回填</w:t>
      </w:r>
    </w:p>
    <w:p w14:paraId="4EDEE896">
      <w:pPr>
        <w:spacing w:line="360" w:lineRule="auto"/>
        <w:ind w:firstLine="560" w:firstLineChars="200"/>
        <w:rPr>
          <w:sz w:val="28"/>
          <w:szCs w:val="28"/>
        </w:rPr>
      </w:pPr>
      <w:r>
        <w:rPr>
          <w:rFonts w:hint="eastAsia"/>
          <w:sz w:val="28"/>
          <w:szCs w:val="28"/>
        </w:rPr>
        <w:t>（4）工程亮点与参考经验</w:t>
      </w:r>
    </w:p>
    <w:p w14:paraId="588D97D6">
      <w:pPr>
        <w:spacing w:line="360" w:lineRule="auto"/>
        <w:ind w:firstLine="560" w:firstLineChars="200"/>
        <w:rPr>
          <w:sz w:val="28"/>
          <w:szCs w:val="28"/>
        </w:rPr>
      </w:pPr>
      <w:r>
        <w:rPr>
          <w:rFonts w:hint="eastAsia"/>
          <w:sz w:val="28"/>
          <w:szCs w:val="28"/>
        </w:rPr>
        <w:t>赤峰市松山区大庙镇团结营玄武岩碎石矿矿区自然气候、地理位置、地形地貌、土壤植被等相差不多，场地设置和施工条件类似。该矿区实施的对探槽的回填、整平治理、植被恢复工程的治理工程恢复效果良好，可作为亮点工程，有较强的参考价值。</w:t>
      </w:r>
    </w:p>
    <w:p w14:paraId="4B06C24F">
      <w:pPr>
        <w:spacing w:line="360" w:lineRule="auto"/>
        <w:ind w:firstLine="562" w:firstLineChars="200"/>
        <w:outlineLvl w:val="3"/>
        <w:rPr>
          <w:sz w:val="28"/>
          <w:szCs w:val="28"/>
        </w:rPr>
      </w:pPr>
      <w:r>
        <w:rPr>
          <w:b/>
          <w:bCs/>
          <w:sz w:val="28"/>
          <w:szCs w:val="28"/>
        </w:rPr>
        <w:t>（二）复垦修复方向</w:t>
      </w:r>
    </w:p>
    <w:p w14:paraId="5D593B2C">
      <w:pPr>
        <w:spacing w:line="360" w:lineRule="auto"/>
        <w:ind w:firstLine="560" w:firstLineChars="200"/>
        <w:rPr>
          <w:rFonts w:eastAsiaTheme="minorEastAsia"/>
          <w:sz w:val="28"/>
          <w:szCs w:val="28"/>
        </w:rPr>
      </w:pPr>
      <w:r>
        <w:rPr>
          <w:rFonts w:eastAsiaTheme="minorEastAsia"/>
          <w:sz w:val="28"/>
          <w:szCs w:val="28"/>
        </w:rPr>
        <w:t>1、土地复垦适宜性评价</w:t>
      </w:r>
    </w:p>
    <w:p w14:paraId="433FE518">
      <w:pPr>
        <w:spacing w:line="360" w:lineRule="auto"/>
        <w:ind w:firstLine="560" w:firstLineChars="200"/>
        <w:rPr>
          <w:rFonts w:eastAsiaTheme="minorEastAsia"/>
          <w:sz w:val="28"/>
          <w:szCs w:val="28"/>
        </w:rPr>
      </w:pPr>
      <w:r>
        <w:rPr>
          <w:rFonts w:eastAsiaTheme="minorEastAsia"/>
          <w:sz w:val="28"/>
          <w:szCs w:val="28"/>
        </w:rPr>
        <w:t>（1）评价原则</w:t>
      </w:r>
    </w:p>
    <w:p w14:paraId="0544A8F5">
      <w:pPr>
        <w:spacing w:line="360" w:lineRule="auto"/>
        <w:ind w:firstLine="560" w:firstLineChars="200"/>
        <w:rPr>
          <w:rFonts w:eastAsiaTheme="minorEastAsia"/>
          <w:sz w:val="28"/>
          <w:szCs w:val="28"/>
        </w:rPr>
      </w:pPr>
      <w:r>
        <w:rPr>
          <w:rFonts w:eastAsiaTheme="minorEastAsia"/>
          <w:sz w:val="28"/>
          <w:szCs w:val="28"/>
        </w:rPr>
        <w:t>①符合国土空间规划，并与其他规划相协调</w:t>
      </w:r>
    </w:p>
    <w:p w14:paraId="36126D4F">
      <w:pPr>
        <w:spacing w:line="360" w:lineRule="auto"/>
        <w:ind w:firstLine="560" w:firstLineChars="200"/>
        <w:rPr>
          <w:rFonts w:eastAsiaTheme="minorEastAsia"/>
          <w:sz w:val="28"/>
          <w:szCs w:val="28"/>
        </w:rPr>
      </w:pPr>
      <w:r>
        <w:rPr>
          <w:rFonts w:eastAsiaTheme="minorEastAsia"/>
          <w:sz w:val="28"/>
          <w:szCs w:val="28"/>
        </w:rPr>
        <w:t>恢复遭破坏土地资源的生态环境，需要符合国土空间规划及“三区三线”范围，同时与所在地的环境保护规划、生态建设规划相协调同时与所在地的环境保护规划、生态建设规划相协调。</w:t>
      </w:r>
    </w:p>
    <w:p w14:paraId="7BF85347">
      <w:pPr>
        <w:spacing w:line="360" w:lineRule="auto"/>
        <w:ind w:firstLine="560" w:firstLineChars="200"/>
        <w:rPr>
          <w:rFonts w:eastAsiaTheme="minorEastAsia"/>
          <w:sz w:val="28"/>
          <w:szCs w:val="28"/>
        </w:rPr>
      </w:pPr>
      <w:r>
        <w:rPr>
          <w:rFonts w:eastAsiaTheme="minorEastAsia"/>
          <w:sz w:val="28"/>
          <w:szCs w:val="28"/>
        </w:rPr>
        <w:t>通过套合松山区国土空间规划“三区三线”范围，以及参阅松山区国土空间生态修复规划（2021年-2035年）等相关资料可知，生态修复区内规划用地以林地、草地为主，为了实现土地资源的可持续使用，落实耕地保护政策，综合考虑项目所在地的实际情况，初步确定生态修复区主要的复垦方向为林地、草地。</w:t>
      </w:r>
    </w:p>
    <w:p w14:paraId="009FB3FF">
      <w:pPr>
        <w:spacing w:line="360" w:lineRule="auto"/>
        <w:ind w:firstLine="560" w:firstLineChars="200"/>
        <w:rPr>
          <w:rFonts w:eastAsiaTheme="minorEastAsia"/>
          <w:sz w:val="28"/>
          <w:szCs w:val="28"/>
        </w:rPr>
      </w:pPr>
      <w:r>
        <w:rPr>
          <w:rFonts w:eastAsiaTheme="minorEastAsia"/>
          <w:sz w:val="28"/>
          <w:szCs w:val="28"/>
        </w:rPr>
        <w:t>②因地制宜、农用地优先的原则</w:t>
      </w:r>
    </w:p>
    <w:p w14:paraId="09C8F204">
      <w:pPr>
        <w:spacing w:line="360" w:lineRule="auto"/>
        <w:ind w:firstLine="560" w:firstLineChars="200"/>
        <w:rPr>
          <w:rFonts w:eastAsiaTheme="minorEastAsia"/>
          <w:sz w:val="28"/>
          <w:szCs w:val="28"/>
        </w:rPr>
      </w:pPr>
      <w:r>
        <w:rPr>
          <w:rFonts w:eastAsiaTheme="minorEastAsia"/>
          <w:sz w:val="28"/>
          <w:szCs w:val="28"/>
        </w:rPr>
        <w:t>土地利用方式必须与周边生态环境特征相适应。根据被损毁前后土地拥有的基础设施，因地制宜，宜农则农，宜林则林，宜牧则牧。</w:t>
      </w:r>
    </w:p>
    <w:p w14:paraId="7CF935A7">
      <w:pPr>
        <w:spacing w:line="360" w:lineRule="auto"/>
        <w:ind w:firstLine="560" w:firstLineChars="200"/>
        <w:rPr>
          <w:rFonts w:eastAsiaTheme="minorEastAsia"/>
          <w:sz w:val="28"/>
          <w:szCs w:val="28"/>
        </w:rPr>
      </w:pPr>
      <w:r>
        <w:rPr>
          <w:rFonts w:eastAsiaTheme="minorEastAsia"/>
          <w:sz w:val="28"/>
          <w:szCs w:val="28"/>
        </w:rPr>
        <w:t>③综合效益最佳原则</w:t>
      </w:r>
    </w:p>
    <w:p w14:paraId="7F8C47D4">
      <w:pPr>
        <w:spacing w:line="360" w:lineRule="auto"/>
        <w:ind w:firstLine="560" w:firstLineChars="200"/>
        <w:rPr>
          <w:rFonts w:eastAsiaTheme="minorEastAsia"/>
          <w:sz w:val="28"/>
          <w:szCs w:val="28"/>
        </w:rPr>
      </w:pPr>
      <w:r>
        <w:rPr>
          <w:rFonts w:eastAsiaTheme="minorEastAsia"/>
          <w:sz w:val="28"/>
          <w:szCs w:val="28"/>
        </w:rPr>
        <w:t>在确定生态修复方向时，首先考虑可行性和综合效益，选择最佳的生态修复方向，根据生态状况是否适宜修复为某种用途的土地，或以最小的投入取得最佳的经济效益、社会效益和生态效益。考虑到生产建设项目对评估区及周围环境造成的影响，重点考虑生态效益，以恢复生态环境功能为主。</w:t>
      </w:r>
    </w:p>
    <w:p w14:paraId="43AC97DC">
      <w:pPr>
        <w:spacing w:line="360" w:lineRule="auto"/>
        <w:ind w:firstLine="560" w:firstLineChars="200"/>
        <w:rPr>
          <w:rFonts w:eastAsiaTheme="minorEastAsia"/>
          <w:sz w:val="28"/>
          <w:szCs w:val="28"/>
        </w:rPr>
      </w:pPr>
      <w:r>
        <w:rPr>
          <w:rFonts w:eastAsiaTheme="minorEastAsia"/>
          <w:sz w:val="28"/>
          <w:szCs w:val="28"/>
        </w:rPr>
        <w:t>④主导限制因素与综合平衡原则</w:t>
      </w:r>
    </w:p>
    <w:p w14:paraId="4F4AB8E6">
      <w:pPr>
        <w:spacing w:line="360" w:lineRule="auto"/>
        <w:ind w:firstLine="560" w:firstLineChars="200"/>
        <w:rPr>
          <w:rFonts w:eastAsiaTheme="minorEastAsia"/>
          <w:sz w:val="28"/>
          <w:szCs w:val="28"/>
        </w:rPr>
      </w:pPr>
      <w:r>
        <w:rPr>
          <w:rFonts w:eastAsiaTheme="minorEastAsia"/>
          <w:sz w:val="28"/>
          <w:szCs w:val="28"/>
        </w:rPr>
        <w:t>影响损毁土地生态修复的因素很多，如积水、土源、土壤肥力、坡度以及灌排条件等。根据评估区自然环境、土地利用现状和土地损毁情况，分析影响损毁土地生态修复的主导性限制因素，同时也应兼顾其他限制因素。</w:t>
      </w:r>
    </w:p>
    <w:p w14:paraId="00A43191">
      <w:pPr>
        <w:spacing w:line="360" w:lineRule="auto"/>
        <w:ind w:firstLine="560" w:firstLineChars="200"/>
        <w:rPr>
          <w:rFonts w:eastAsiaTheme="minorEastAsia"/>
          <w:sz w:val="28"/>
          <w:szCs w:val="28"/>
        </w:rPr>
      </w:pPr>
      <w:r>
        <w:rPr>
          <w:rFonts w:eastAsiaTheme="minorEastAsia"/>
          <w:sz w:val="28"/>
          <w:szCs w:val="28"/>
        </w:rPr>
        <w:t>⑤生态修复后土地可持续利用原则</w:t>
      </w:r>
    </w:p>
    <w:p w14:paraId="360E2B45">
      <w:pPr>
        <w:spacing w:line="360" w:lineRule="auto"/>
        <w:ind w:firstLine="560" w:firstLineChars="200"/>
        <w:rPr>
          <w:rFonts w:eastAsiaTheme="minorEastAsia"/>
          <w:sz w:val="28"/>
          <w:szCs w:val="28"/>
        </w:rPr>
      </w:pPr>
      <w:r>
        <w:rPr>
          <w:rFonts w:eastAsiaTheme="minorEastAsia"/>
          <w:sz w:val="28"/>
          <w:szCs w:val="28"/>
        </w:rPr>
        <w:t>土地损毁是一个动态过程，复垦修复的适宜性也随损毁等级与损毁过程而变化，具有动态性，在进行复垦修复土地的适宜性评价时，应考虑矿区工农业发展的前景、科技进步以及生产和生活水平所带来的社会需求的变化，确定复垦修复方向。复垦修复后的土地应既能满足保护生物多样性和生态环境的需要，又能满足人类对土地的需求，应保证生态安全和人类社会可持续发展。</w:t>
      </w:r>
    </w:p>
    <w:p w14:paraId="589EB442">
      <w:pPr>
        <w:spacing w:line="360" w:lineRule="auto"/>
        <w:ind w:firstLine="560" w:firstLineChars="200"/>
        <w:rPr>
          <w:rFonts w:eastAsiaTheme="minorEastAsia"/>
          <w:sz w:val="28"/>
          <w:szCs w:val="28"/>
        </w:rPr>
      </w:pPr>
      <w:r>
        <w:rPr>
          <w:rFonts w:eastAsiaTheme="minorEastAsia"/>
          <w:sz w:val="28"/>
          <w:szCs w:val="28"/>
        </w:rPr>
        <w:t>⑥经济可行与技术合理性原则</w:t>
      </w:r>
    </w:p>
    <w:p w14:paraId="5B762423">
      <w:pPr>
        <w:spacing w:line="360" w:lineRule="auto"/>
        <w:ind w:firstLine="560" w:firstLineChars="200"/>
        <w:rPr>
          <w:rFonts w:eastAsiaTheme="minorEastAsia"/>
          <w:sz w:val="28"/>
          <w:szCs w:val="28"/>
        </w:rPr>
      </w:pPr>
      <w:r>
        <w:rPr>
          <w:rFonts w:eastAsiaTheme="minorEastAsia"/>
          <w:sz w:val="28"/>
          <w:szCs w:val="28"/>
        </w:rPr>
        <w:t>复垦修复所需的费用应在保证修复目标完整、效果达到复垦修复标准的前提下，兼顾复垦修复成本，尽可能减轻企业负担。复垦修复技术应能满足复垦修复工作顺利开展、效果达到复垦修复标准的要求。</w:t>
      </w:r>
    </w:p>
    <w:p w14:paraId="5E553C96">
      <w:pPr>
        <w:spacing w:line="360" w:lineRule="auto"/>
        <w:ind w:firstLine="560" w:firstLineChars="200"/>
        <w:rPr>
          <w:rFonts w:eastAsiaTheme="minorEastAsia"/>
          <w:sz w:val="28"/>
          <w:szCs w:val="28"/>
        </w:rPr>
      </w:pPr>
      <w:r>
        <w:rPr>
          <w:rFonts w:eastAsiaTheme="minorEastAsia"/>
          <w:sz w:val="28"/>
          <w:szCs w:val="28"/>
        </w:rPr>
        <w:t>⑦社会因素和经济因素相结合原则</w:t>
      </w:r>
    </w:p>
    <w:p w14:paraId="07023996">
      <w:pPr>
        <w:spacing w:line="360" w:lineRule="auto"/>
        <w:ind w:firstLine="560" w:firstLineChars="200"/>
        <w:rPr>
          <w:rFonts w:eastAsiaTheme="minorEastAsia"/>
          <w:sz w:val="28"/>
          <w:szCs w:val="28"/>
        </w:rPr>
      </w:pPr>
      <w:r>
        <w:rPr>
          <w:rFonts w:eastAsiaTheme="minorEastAsia"/>
          <w:sz w:val="28"/>
          <w:szCs w:val="28"/>
        </w:rPr>
        <w:t>在进行生态修复适宜性评价时，既要考虑它的自然属性（如土壤、气候、地貌、水资源等），也要考虑它的社会经济属性（如种植习惯、业主意愿、社会需求、生产力水平和生产布局等）。</w:t>
      </w:r>
    </w:p>
    <w:p w14:paraId="7B67E2F7">
      <w:pPr>
        <w:spacing w:line="360" w:lineRule="auto"/>
        <w:ind w:firstLine="560" w:firstLineChars="200"/>
        <w:rPr>
          <w:rFonts w:eastAsiaTheme="minorEastAsia"/>
          <w:sz w:val="28"/>
          <w:szCs w:val="28"/>
        </w:rPr>
      </w:pPr>
      <w:r>
        <w:rPr>
          <w:rFonts w:eastAsiaTheme="minorEastAsia"/>
          <w:sz w:val="28"/>
          <w:szCs w:val="28"/>
        </w:rPr>
        <w:t>（2）复垦修复单元的划分</w:t>
      </w:r>
    </w:p>
    <w:p w14:paraId="5B7B15C4">
      <w:pPr>
        <w:spacing w:line="360" w:lineRule="auto"/>
        <w:ind w:firstLine="560" w:firstLineChars="200"/>
        <w:rPr>
          <w:rFonts w:eastAsiaTheme="minorEastAsia"/>
          <w:sz w:val="28"/>
          <w:szCs w:val="28"/>
        </w:rPr>
      </w:pPr>
      <w:r>
        <w:rPr>
          <w:rFonts w:eastAsiaTheme="minorEastAsia"/>
          <w:sz w:val="28"/>
          <w:szCs w:val="28"/>
        </w:rPr>
        <w:t>复垦修复单元是适宜性评价的基本单元，同一评价单元内的土地特征、复垦修复利用方向、复垦修复措施应基本一致。对农林牧业利用类型的适宜性和适宜程度及其地域分布状况，都是通过评价单元及其组合状况来反映的。评价单元的划分与确定应在遵循评价原则的前提下，根据评价区的具体情况来决定。</w:t>
      </w:r>
    </w:p>
    <w:p w14:paraId="1BFED9BF">
      <w:pPr>
        <w:spacing w:line="360" w:lineRule="auto"/>
        <w:ind w:firstLine="560" w:firstLineChars="200"/>
        <w:rPr>
          <w:rFonts w:eastAsiaTheme="minorEastAsia"/>
          <w:sz w:val="28"/>
          <w:szCs w:val="28"/>
        </w:rPr>
      </w:pPr>
      <w:r>
        <w:rPr>
          <w:rFonts w:eastAsiaTheme="minorEastAsia"/>
          <w:sz w:val="28"/>
          <w:szCs w:val="28"/>
        </w:rPr>
        <w:t>根据矿山实际情况，本项目复垦修复单元共有</w:t>
      </w:r>
      <w:r>
        <w:rPr>
          <w:rFonts w:hint="eastAsia"/>
          <w:kern w:val="0"/>
          <w:sz w:val="28"/>
          <w:szCs w:val="28"/>
          <w:lang w:bidi="ar"/>
        </w:rPr>
        <w:t>拟建露天采场、拟建排土场、拟建办公生活区、拟建截洪沟、拟建矿区道路、工业场地、露天采场（矿区外）、废石场1、废石场2、废石场3、办公区、</w:t>
      </w:r>
      <w:r>
        <w:rPr>
          <w:rFonts w:hint="eastAsia"/>
          <w:sz w:val="28"/>
          <w:szCs w:val="28"/>
        </w:rPr>
        <w:t>生活区、门卫、钻机平台、矿区道路，15个评价单元。</w:t>
      </w:r>
    </w:p>
    <w:p w14:paraId="1AF42A30">
      <w:pPr>
        <w:spacing w:line="360" w:lineRule="auto"/>
        <w:ind w:firstLine="560" w:firstLineChars="200"/>
        <w:rPr>
          <w:sz w:val="28"/>
          <w:szCs w:val="28"/>
        </w:rPr>
      </w:pPr>
      <w:r>
        <w:rPr>
          <w:sz w:val="28"/>
          <w:szCs w:val="28"/>
        </w:rPr>
        <w:t>通过上述定性分析，可以确定土地复垦初步方向为林地、草地。该复垦方向与当地自然生态环境相适应，与复垦区相关政策一致，具有经济、社会和群众基础，有利于最大限度的发挥该复垦项目的综合和长远效益，使经济效益、社会效益和环境效益相统一。评价单元的划分见表3-</w:t>
      </w:r>
      <w:r>
        <w:rPr>
          <w:rFonts w:hint="eastAsia"/>
          <w:sz w:val="28"/>
          <w:szCs w:val="28"/>
        </w:rPr>
        <w:t>52</w:t>
      </w:r>
      <w:r>
        <w:rPr>
          <w:sz w:val="28"/>
          <w:szCs w:val="28"/>
        </w:rPr>
        <w:t>。</w:t>
      </w:r>
    </w:p>
    <w:p w14:paraId="240336F3">
      <w:pPr>
        <w:pStyle w:val="115"/>
        <w:rPr>
          <w:rFonts w:ascii="Times New Roman" w:hAnsi="Times New Roman" w:eastAsia="黑体" w:cs="Times New Roman"/>
          <w:sz w:val="24"/>
          <w:szCs w:val="24"/>
        </w:rPr>
      </w:pPr>
      <w:r>
        <w:rPr>
          <w:rFonts w:ascii="Times New Roman" w:hAnsi="Times New Roman" w:eastAsia="黑体" w:cs="Times New Roman"/>
          <w:sz w:val="24"/>
          <w:szCs w:val="24"/>
        </w:rPr>
        <w:t>表3-</w:t>
      </w:r>
      <w:r>
        <w:rPr>
          <w:rFonts w:hint="eastAsia" w:ascii="Times New Roman" w:hAnsi="Times New Roman" w:eastAsia="黑体" w:cs="Times New Roman"/>
          <w:sz w:val="24"/>
          <w:szCs w:val="24"/>
        </w:rPr>
        <w:t>52</w:t>
      </w:r>
      <w:r>
        <w:rPr>
          <w:rFonts w:ascii="Times New Roman" w:hAnsi="Times New Roman" w:eastAsia="黑体" w:cs="Times New Roman"/>
          <w:sz w:val="24"/>
          <w:szCs w:val="24"/>
        </w:rPr>
        <w:t xml:space="preserve">  评价单元划分表</w:t>
      </w:r>
    </w:p>
    <w:p w14:paraId="2A5FD501">
      <w:pPr>
        <w:ind w:firstLine="422" w:firstLineChars="200"/>
        <w:rPr>
          <w:b/>
          <w:bCs/>
          <w:szCs w:val="21"/>
        </w:rPr>
      </w:pPr>
    </w:p>
    <w:p w14:paraId="397B6134">
      <w:pPr>
        <w:spacing w:line="360" w:lineRule="auto"/>
        <w:ind w:firstLine="560" w:firstLineChars="200"/>
        <w:rPr>
          <w:rFonts w:eastAsiaTheme="minorEastAsia"/>
          <w:sz w:val="28"/>
          <w:szCs w:val="28"/>
        </w:rPr>
      </w:pPr>
      <w:r>
        <w:rPr>
          <w:sz w:val="28"/>
          <w:szCs w:val="28"/>
        </w:rPr>
        <w:t>（3）评价因素等级标准的确定</w:t>
      </w:r>
    </w:p>
    <w:p w14:paraId="4D4CD990">
      <w:pPr>
        <w:spacing w:line="360" w:lineRule="auto"/>
        <w:ind w:firstLine="560" w:firstLineChars="200"/>
        <w:rPr>
          <w:sz w:val="28"/>
          <w:szCs w:val="28"/>
        </w:rPr>
      </w:pPr>
      <w:r>
        <w:rPr>
          <w:sz w:val="28"/>
          <w:szCs w:val="28"/>
        </w:rPr>
        <w:t>根据初步确定的复垦修复方向，结合复垦修复单元的特点，选取破坏后影响土地利用的主导因素，构建评价指标体系及标准。</w:t>
      </w:r>
    </w:p>
    <w:p w14:paraId="184342B4">
      <w:pPr>
        <w:spacing w:line="360" w:lineRule="auto"/>
        <w:ind w:firstLine="560" w:firstLineChars="200"/>
        <w:rPr>
          <w:sz w:val="28"/>
          <w:szCs w:val="28"/>
        </w:rPr>
      </w:pPr>
      <w:r>
        <w:rPr>
          <w:sz w:val="28"/>
          <w:szCs w:val="28"/>
        </w:rPr>
        <w:t>根据评估区自然环境特征，结合矿山土地破坏特点、地类等有关指标，本方案复垦修复适宜性评价限制因子选取主要考虑以下几个方面指标：矿区土地破坏类型和破坏程度、土地破坏前的土地利用状况、破坏土地复垦修复的客观条件。</w:t>
      </w:r>
    </w:p>
    <w:p w14:paraId="6762C19D">
      <w:pPr>
        <w:spacing w:line="360" w:lineRule="auto"/>
        <w:ind w:firstLine="560" w:firstLineChars="200"/>
        <w:rPr>
          <w:sz w:val="28"/>
          <w:szCs w:val="28"/>
        </w:rPr>
      </w:pPr>
      <w:r>
        <w:rPr>
          <w:sz w:val="28"/>
          <w:szCs w:val="28"/>
        </w:rPr>
        <w:t>根据《土地复垦质量控制标准》（TD/T 1036-2013）和相关政策法规，同时借鉴同类矿山土地复垦适宜性评价中参评因素属性及权重的确定方法，把土地复垦适宜性评价等级数确定为4级标准，分别定为：一级（比较适宜）、二级（勉强适宜）、三级（不适宜）、四级（难利用）。参评因素应选择对土地利用影响明显且相对稳定的因素。通过将参评因素状态值对农、林、牧的影响状况及改良程度的难易与各地区的自然条件进行比照，进一步对复垦区的土地适宜性影响明显的因子进行等级划分，得出各因子权重。</w:t>
      </w:r>
    </w:p>
    <w:p w14:paraId="52AA9626">
      <w:pPr>
        <w:pStyle w:val="113"/>
        <w:spacing w:line="360" w:lineRule="auto"/>
        <w:ind w:firstLine="560"/>
        <w:rPr>
          <w:rFonts w:eastAsia="宋体"/>
          <w:spacing w:val="-4"/>
          <w:szCs w:val="28"/>
        </w:rPr>
      </w:pPr>
      <w:r>
        <w:rPr>
          <w:rFonts w:eastAsia="宋体"/>
          <w:szCs w:val="28"/>
        </w:rPr>
        <w:t>本方案选出7项参评因子，包括地形坡度、排灌条件、有效土层厚度、土壤质地、损毁程度、降雨量、区位条件（交通条件）</w:t>
      </w:r>
      <w:r>
        <w:rPr>
          <w:rFonts w:eastAsia="宋体"/>
          <w:spacing w:val="-4"/>
          <w:szCs w:val="28"/>
        </w:rPr>
        <w:t>。各参评因素的分级指标见表</w:t>
      </w:r>
      <w:r>
        <w:rPr>
          <w:rFonts w:eastAsia="宋体"/>
          <w:spacing w:val="-4"/>
          <w:szCs w:val="28"/>
          <w:lang w:val="en-US"/>
        </w:rPr>
        <w:t>3-</w:t>
      </w:r>
      <w:r>
        <w:rPr>
          <w:rFonts w:hint="eastAsia" w:eastAsia="宋体"/>
          <w:spacing w:val="-4"/>
          <w:szCs w:val="28"/>
          <w:lang w:val="en-US"/>
        </w:rPr>
        <w:t>53</w:t>
      </w:r>
      <w:r>
        <w:rPr>
          <w:rFonts w:eastAsia="宋体"/>
          <w:spacing w:val="-4"/>
          <w:szCs w:val="28"/>
        </w:rPr>
        <w:t>。</w:t>
      </w:r>
    </w:p>
    <w:p w14:paraId="754F2224">
      <w:pPr>
        <w:pStyle w:val="115"/>
        <w:rPr>
          <w:rFonts w:ascii="Times New Roman" w:hAnsi="Times New Roman" w:eastAsia="黑体" w:cs="Times New Roman"/>
          <w:sz w:val="24"/>
          <w:szCs w:val="24"/>
        </w:rPr>
      </w:pPr>
      <w:r>
        <w:rPr>
          <w:rFonts w:ascii="Times New Roman" w:hAnsi="Times New Roman" w:eastAsia="黑体" w:cs="Times New Roman"/>
          <w:sz w:val="24"/>
          <w:szCs w:val="24"/>
        </w:rPr>
        <w:t>表3-</w:t>
      </w:r>
      <w:r>
        <w:rPr>
          <w:rFonts w:hint="eastAsia" w:ascii="Times New Roman" w:hAnsi="Times New Roman" w:eastAsia="黑体" w:cs="Times New Roman"/>
          <w:sz w:val="24"/>
          <w:szCs w:val="24"/>
        </w:rPr>
        <w:t>53</w:t>
      </w:r>
      <w:r>
        <w:rPr>
          <w:rFonts w:ascii="Times New Roman" w:hAnsi="Times New Roman" w:eastAsia="黑体" w:cs="Times New Roman"/>
          <w:sz w:val="24"/>
          <w:szCs w:val="24"/>
        </w:rPr>
        <w:t xml:space="preserve">  拟复垦土地适宜性评价的参评因子、权重及等级表</w:t>
      </w:r>
    </w:p>
    <w:p w14:paraId="77DDC652">
      <w:pPr>
        <w:pStyle w:val="113"/>
        <w:spacing w:before="240" w:beforeLines="100" w:line="360" w:lineRule="auto"/>
        <w:ind w:firstLine="560"/>
        <w:rPr>
          <w:rFonts w:hint="eastAsia" w:eastAsia="宋体"/>
          <w:szCs w:val="28"/>
          <w:lang w:eastAsia="zh-CN"/>
        </w:rPr>
      </w:pPr>
      <w:r>
        <w:rPr>
          <w:rFonts w:eastAsia="宋体"/>
          <w:szCs w:val="28"/>
        </w:rPr>
        <w:t>设每一评价单元有n个单因子加权评价指数，则加权指数和可表示为：</w:t>
      </w:r>
      <w:r>
        <w:rPr>
          <w:rFonts w:hint="eastAsia" w:eastAsia="宋体"/>
          <w:position w:val="-28"/>
          <w:szCs w:val="28"/>
          <w:lang w:eastAsia="zh-CN"/>
        </w:rPr>
        <w:t xml:space="preserve">    </w:t>
      </w:r>
    </w:p>
    <w:p w14:paraId="120E32C0">
      <w:pPr>
        <w:pStyle w:val="169"/>
        <w:ind w:firstLine="560"/>
        <w:rPr>
          <w:rFonts w:ascii="Times New Roman" w:hAnsi="Times New Roman"/>
          <w:sz w:val="28"/>
          <w:szCs w:val="28"/>
        </w:rPr>
      </w:pPr>
      <w:r>
        <w:rPr>
          <w:rFonts w:ascii="Times New Roman" w:hAnsi="Times New Roman"/>
          <w:sz w:val="28"/>
          <w:szCs w:val="28"/>
        </w:rPr>
        <w:t>其中：式中：</w:t>
      </w:r>
    </w:p>
    <w:p w14:paraId="45BDA613">
      <w:pPr>
        <w:pStyle w:val="169"/>
        <w:ind w:firstLine="560"/>
        <w:rPr>
          <w:rFonts w:ascii="Times New Roman" w:hAnsi="Times New Roman"/>
          <w:sz w:val="28"/>
          <w:szCs w:val="28"/>
        </w:rPr>
      </w:pPr>
      <w:r>
        <w:rPr>
          <w:rFonts w:hint="eastAsia" w:ascii="Times New Roman" w:hAnsi="Times New Roman"/>
          <w:sz w:val="28"/>
          <w:szCs w:val="28"/>
          <w:lang w:eastAsia="zh-CN"/>
        </w:rPr>
        <w:t xml:space="preserve">    </w:t>
      </w:r>
      <w:r>
        <w:rPr>
          <w:rFonts w:ascii="Times New Roman" w:hAnsi="Times New Roman"/>
          <w:sz w:val="28"/>
          <w:szCs w:val="28"/>
        </w:rPr>
        <w:t>—第</w:t>
      </w:r>
      <w:r>
        <w:rPr>
          <w:rFonts w:hint="eastAsia" w:ascii="Times New Roman" w:hAnsi="Times New Roman"/>
          <w:sz w:val="28"/>
          <w:szCs w:val="28"/>
          <w:lang w:eastAsia="zh-CN"/>
        </w:rPr>
        <w:t xml:space="preserve">    </w:t>
      </w:r>
      <w:r>
        <w:rPr>
          <w:rFonts w:ascii="Times New Roman" w:hAnsi="Times New Roman"/>
          <w:sz w:val="28"/>
          <w:szCs w:val="28"/>
        </w:rPr>
        <w:t>单元的综合得分；</w:t>
      </w:r>
    </w:p>
    <w:p w14:paraId="1798F4D5">
      <w:pPr>
        <w:pStyle w:val="169"/>
        <w:ind w:firstLine="560"/>
        <w:rPr>
          <w:rFonts w:ascii="Times New Roman" w:hAnsi="Times New Roman"/>
          <w:sz w:val="28"/>
          <w:szCs w:val="28"/>
        </w:rPr>
      </w:pPr>
      <w:r>
        <w:rPr>
          <w:rFonts w:hint="eastAsia" w:ascii="Times New Roman" w:hAnsi="Times New Roman"/>
          <w:sz w:val="28"/>
          <w:szCs w:val="28"/>
          <w:lang w:eastAsia="zh-CN"/>
        </w:rPr>
        <w:t xml:space="preserve">    </w:t>
      </w:r>
      <w:r>
        <w:rPr>
          <w:rFonts w:ascii="Times New Roman" w:hAnsi="Times New Roman"/>
          <w:sz w:val="28"/>
          <w:szCs w:val="28"/>
        </w:rPr>
        <w:t>—第</w:t>
      </w:r>
      <w:r>
        <w:rPr>
          <w:rFonts w:hint="eastAsia" w:ascii="Times New Roman" w:hAnsi="Times New Roman"/>
          <w:position w:val="-6"/>
          <w:sz w:val="28"/>
          <w:szCs w:val="28"/>
          <w:lang w:eastAsia="zh-CN"/>
        </w:rPr>
        <w:t xml:space="preserve">    </w:t>
      </w:r>
      <w:r>
        <w:rPr>
          <w:rFonts w:ascii="Times New Roman" w:hAnsi="Times New Roman"/>
          <w:sz w:val="28"/>
          <w:szCs w:val="28"/>
        </w:rPr>
        <w:t>个参评因子的等级指数；</w:t>
      </w:r>
    </w:p>
    <w:p w14:paraId="61F53F42">
      <w:pPr>
        <w:pStyle w:val="169"/>
        <w:ind w:firstLine="560"/>
        <w:rPr>
          <w:rFonts w:ascii="Times New Roman" w:hAnsi="Times New Roman"/>
          <w:sz w:val="28"/>
          <w:szCs w:val="28"/>
        </w:rPr>
      </w:pPr>
      <w:r>
        <w:rPr>
          <w:rFonts w:hint="eastAsia" w:ascii="Times New Roman" w:hAnsi="Times New Roman"/>
          <w:position w:val="-12"/>
          <w:sz w:val="28"/>
          <w:szCs w:val="28"/>
          <w:lang w:eastAsia="zh-CN"/>
        </w:rPr>
        <w:t xml:space="preserve">    </w:t>
      </w:r>
      <w:r>
        <w:rPr>
          <w:rFonts w:ascii="Times New Roman" w:hAnsi="Times New Roman"/>
          <w:sz w:val="28"/>
          <w:szCs w:val="28"/>
        </w:rPr>
        <w:t>—第</w:t>
      </w:r>
      <w:r>
        <w:rPr>
          <w:rFonts w:hint="eastAsia" w:ascii="Times New Roman" w:hAnsi="Times New Roman"/>
          <w:position w:val="-6"/>
          <w:sz w:val="28"/>
          <w:szCs w:val="28"/>
          <w:lang w:eastAsia="zh-CN"/>
        </w:rPr>
        <w:t xml:space="preserve">    </w:t>
      </w:r>
      <w:r>
        <w:rPr>
          <w:rFonts w:ascii="Times New Roman" w:hAnsi="Times New Roman"/>
          <w:sz w:val="28"/>
          <w:szCs w:val="28"/>
        </w:rPr>
        <w:t>个参评因子的权重值；</w:t>
      </w:r>
    </w:p>
    <w:p w14:paraId="1888A371">
      <w:pPr>
        <w:pStyle w:val="169"/>
        <w:ind w:firstLine="560"/>
        <w:rPr>
          <w:rFonts w:ascii="Times New Roman" w:hAnsi="Times New Roman"/>
          <w:sz w:val="28"/>
          <w:szCs w:val="28"/>
        </w:rPr>
      </w:pPr>
      <w:r>
        <w:rPr>
          <w:rFonts w:hint="eastAsia" w:ascii="Times New Roman" w:hAnsi="Times New Roman"/>
          <w:sz w:val="28"/>
          <w:szCs w:val="28"/>
          <w:lang w:eastAsia="zh-CN"/>
        </w:rPr>
        <w:t xml:space="preserve">    </w:t>
      </w:r>
      <w:r>
        <w:rPr>
          <w:rFonts w:ascii="Times New Roman" w:hAnsi="Times New Roman"/>
          <w:sz w:val="28"/>
          <w:szCs w:val="28"/>
        </w:rPr>
        <w:t>—参评因子的个数。</w:t>
      </w:r>
    </w:p>
    <w:p w14:paraId="4CF2DF12">
      <w:pPr>
        <w:pStyle w:val="113"/>
        <w:spacing w:line="360" w:lineRule="auto"/>
        <w:ind w:firstLine="560"/>
        <w:rPr>
          <w:rFonts w:eastAsia="宋体"/>
          <w:szCs w:val="28"/>
        </w:rPr>
      </w:pPr>
      <w:r>
        <w:rPr>
          <w:rFonts w:eastAsia="宋体"/>
          <w:szCs w:val="28"/>
        </w:rPr>
        <w:t>根据加权值与复垦方向对照表，确定拟复垦土地的复垦方向，加权值与复垦方向见表</w:t>
      </w:r>
      <w:r>
        <w:rPr>
          <w:rFonts w:eastAsia="宋体"/>
          <w:szCs w:val="28"/>
          <w:lang w:val="en-US"/>
        </w:rPr>
        <w:t>3-</w:t>
      </w:r>
      <w:r>
        <w:rPr>
          <w:rFonts w:hint="eastAsia" w:eastAsia="宋体"/>
          <w:szCs w:val="28"/>
          <w:lang w:val="en-US"/>
        </w:rPr>
        <w:t>54</w:t>
      </w:r>
      <w:r>
        <w:rPr>
          <w:rFonts w:eastAsia="宋体"/>
          <w:szCs w:val="28"/>
        </w:rPr>
        <w:t>。</w:t>
      </w:r>
    </w:p>
    <w:p w14:paraId="1C649826">
      <w:pPr>
        <w:pStyle w:val="115"/>
        <w:rPr>
          <w:rFonts w:ascii="Times New Roman" w:hAnsi="Times New Roman" w:eastAsia="黑体" w:cs="Times New Roman"/>
          <w:sz w:val="24"/>
          <w:szCs w:val="24"/>
        </w:rPr>
      </w:pPr>
      <w:r>
        <w:rPr>
          <w:rFonts w:ascii="Times New Roman" w:hAnsi="Times New Roman" w:eastAsia="黑体" w:cs="Times New Roman"/>
          <w:sz w:val="24"/>
          <w:szCs w:val="24"/>
        </w:rPr>
        <w:t>表3-</w:t>
      </w:r>
      <w:r>
        <w:rPr>
          <w:rFonts w:hint="eastAsia" w:ascii="Times New Roman" w:hAnsi="Times New Roman" w:eastAsia="黑体" w:cs="Times New Roman"/>
          <w:sz w:val="24"/>
          <w:szCs w:val="24"/>
        </w:rPr>
        <w:t>54</w:t>
      </w:r>
      <w:r>
        <w:rPr>
          <w:rFonts w:ascii="Times New Roman" w:hAnsi="Times New Roman" w:eastAsia="黑体" w:cs="Times New Roman"/>
          <w:sz w:val="24"/>
          <w:szCs w:val="24"/>
        </w:rPr>
        <w:t xml:space="preserve">  加权值与复垦方向对照表</w:t>
      </w:r>
    </w:p>
    <w:p w14:paraId="5A2D9EC7">
      <w:pPr>
        <w:pStyle w:val="115"/>
        <w:rPr>
          <w:rFonts w:ascii="Times New Roman" w:hAnsi="Times New Roman" w:eastAsia="黑体" w:cs="Times New Roman"/>
          <w:sz w:val="20"/>
        </w:rPr>
      </w:pPr>
    </w:p>
    <w:p w14:paraId="2331223E">
      <w:pPr>
        <w:spacing w:line="360" w:lineRule="auto"/>
        <w:ind w:firstLine="560" w:firstLineChars="200"/>
        <w:rPr>
          <w:rFonts w:eastAsiaTheme="minorEastAsia"/>
          <w:sz w:val="28"/>
          <w:szCs w:val="28"/>
        </w:rPr>
      </w:pPr>
      <w:r>
        <w:rPr>
          <w:sz w:val="28"/>
          <w:szCs w:val="28"/>
        </w:rPr>
        <w:t>（4）评价单元土地质量状况</w:t>
      </w:r>
    </w:p>
    <w:p w14:paraId="2EFB7838">
      <w:pPr>
        <w:spacing w:line="360" w:lineRule="auto"/>
        <w:ind w:firstLine="560" w:firstLineChars="200"/>
        <w:rPr>
          <w:sz w:val="28"/>
          <w:szCs w:val="28"/>
        </w:rPr>
      </w:pPr>
      <w:r>
        <w:rPr>
          <w:sz w:val="28"/>
          <w:szCs w:val="28"/>
        </w:rPr>
        <w:t>根据评价单元土地质量，对照拟复垦土地适宜性评价的参评因子、权重及等级表，计算出各评价单元的适宜性评价加权值，根据加权值对照表加权值与复垦方向对照表，确定各个评价单元的复垦方向。各评价单元土地质量见表3-</w:t>
      </w:r>
      <w:r>
        <w:rPr>
          <w:rFonts w:hint="eastAsia"/>
          <w:sz w:val="28"/>
          <w:szCs w:val="28"/>
        </w:rPr>
        <w:t>55</w:t>
      </w:r>
      <w:r>
        <w:rPr>
          <w:sz w:val="28"/>
          <w:szCs w:val="28"/>
        </w:rPr>
        <w:t>。</w:t>
      </w:r>
    </w:p>
    <w:p w14:paraId="003FD211">
      <w:pPr>
        <w:pStyle w:val="115"/>
        <w:rPr>
          <w:rFonts w:ascii="Times New Roman" w:hAnsi="Times New Roman" w:eastAsia="黑体" w:cs="Times New Roman"/>
          <w:sz w:val="24"/>
          <w:szCs w:val="24"/>
        </w:rPr>
      </w:pPr>
      <w:r>
        <w:rPr>
          <w:rFonts w:ascii="Times New Roman" w:hAnsi="Times New Roman" w:eastAsia="黑体" w:cs="Times New Roman"/>
          <w:sz w:val="24"/>
          <w:szCs w:val="24"/>
        </w:rPr>
        <w:t>表3-</w:t>
      </w:r>
      <w:r>
        <w:rPr>
          <w:rFonts w:hint="eastAsia" w:ascii="Times New Roman" w:hAnsi="Times New Roman" w:eastAsia="黑体" w:cs="Times New Roman"/>
          <w:sz w:val="24"/>
          <w:szCs w:val="24"/>
        </w:rPr>
        <w:t>55</w:t>
      </w:r>
      <w:r>
        <w:rPr>
          <w:rFonts w:ascii="Times New Roman" w:hAnsi="Times New Roman" w:eastAsia="黑体" w:cs="Times New Roman"/>
          <w:sz w:val="24"/>
          <w:szCs w:val="24"/>
        </w:rPr>
        <w:t xml:space="preserve">  各评价单元土地质量表</w:t>
      </w:r>
    </w:p>
    <w:p w14:paraId="2B6A81DC">
      <w:pPr>
        <w:pStyle w:val="115"/>
        <w:rPr>
          <w:rFonts w:ascii="Times New Roman" w:hAnsi="Times New Roman" w:eastAsia="黑体" w:cs="Times New Roman"/>
          <w:sz w:val="24"/>
          <w:szCs w:val="24"/>
        </w:rPr>
      </w:pPr>
    </w:p>
    <w:p w14:paraId="3004AACB">
      <w:pPr>
        <w:spacing w:line="360" w:lineRule="auto"/>
        <w:ind w:firstLine="548" w:firstLineChars="196"/>
        <w:rPr>
          <w:rFonts w:eastAsiaTheme="minorEastAsia"/>
          <w:sz w:val="28"/>
          <w:szCs w:val="28"/>
        </w:rPr>
      </w:pPr>
      <w:r>
        <w:rPr>
          <w:sz w:val="28"/>
          <w:szCs w:val="28"/>
        </w:rPr>
        <w:t>（5）评价等级及土地复垦适宜性评价结果</w:t>
      </w:r>
    </w:p>
    <w:p w14:paraId="3E18F5C1">
      <w:pPr>
        <w:spacing w:line="360" w:lineRule="auto"/>
        <w:ind w:firstLine="548" w:firstLineChars="196"/>
        <w:rPr>
          <w:sz w:val="28"/>
          <w:szCs w:val="28"/>
        </w:rPr>
      </w:pPr>
      <w:r>
        <w:rPr>
          <w:sz w:val="28"/>
          <w:szCs w:val="28"/>
        </w:rPr>
        <w:t>根据评价单元土地质量，对照拟复垦土地适宜性评价的参评因子、权重等级表，计算出各评价单元的适宜性评价加权值，对照加权值与复垦方向对照表，确定各个评价单元的复垦方向。再将各复垦土地评价单元的土地质量状况分别与复垦土地主要限制因素的农林牧等级标准对比，得到待复垦土地的农林草适宜性评价分因素明细表，见表3-</w:t>
      </w:r>
      <w:r>
        <w:rPr>
          <w:rFonts w:hint="eastAsia"/>
          <w:sz w:val="28"/>
          <w:szCs w:val="28"/>
        </w:rPr>
        <w:t>56</w:t>
      </w:r>
      <w:r>
        <w:rPr>
          <w:sz w:val="28"/>
          <w:szCs w:val="28"/>
        </w:rPr>
        <w:t>。</w:t>
      </w:r>
    </w:p>
    <w:p w14:paraId="5E98B5F1">
      <w:pPr>
        <w:pStyle w:val="115"/>
        <w:rPr>
          <w:rFonts w:ascii="Times New Roman" w:hAnsi="Times New Roman" w:eastAsia="黑体" w:cs="Times New Roman"/>
          <w:sz w:val="24"/>
          <w:szCs w:val="24"/>
        </w:rPr>
      </w:pPr>
      <w:r>
        <w:rPr>
          <w:rFonts w:ascii="Times New Roman" w:hAnsi="Times New Roman" w:eastAsia="黑体" w:cs="Times New Roman"/>
          <w:sz w:val="24"/>
          <w:szCs w:val="24"/>
        </w:rPr>
        <w:t>表3-</w:t>
      </w:r>
      <w:r>
        <w:rPr>
          <w:rFonts w:hint="eastAsia" w:ascii="Times New Roman" w:hAnsi="Times New Roman" w:eastAsia="黑体" w:cs="Times New Roman"/>
          <w:sz w:val="24"/>
          <w:szCs w:val="24"/>
        </w:rPr>
        <w:t>56</w:t>
      </w:r>
      <w:r>
        <w:rPr>
          <w:rFonts w:ascii="Times New Roman" w:hAnsi="Times New Roman" w:eastAsia="黑体" w:cs="Times New Roman"/>
          <w:sz w:val="24"/>
          <w:szCs w:val="24"/>
        </w:rPr>
        <w:t xml:space="preserve">  评价单元适宜性评价加权值及土地复垦结构调整表</w:t>
      </w:r>
    </w:p>
    <w:p w14:paraId="2388CDAC">
      <w:pPr>
        <w:ind w:firstLine="420" w:firstLineChars="200"/>
        <w:rPr>
          <w:rFonts w:eastAsiaTheme="minorEastAsia"/>
          <w:szCs w:val="21"/>
        </w:rPr>
      </w:pPr>
    </w:p>
    <w:p w14:paraId="52470145">
      <w:pPr>
        <w:spacing w:line="360" w:lineRule="auto"/>
        <w:ind w:firstLine="560" w:firstLineChars="200"/>
        <w:rPr>
          <w:rFonts w:eastAsiaTheme="minorEastAsia"/>
          <w:sz w:val="28"/>
          <w:szCs w:val="28"/>
        </w:rPr>
      </w:pPr>
      <w:r>
        <w:rPr>
          <w:rFonts w:eastAsiaTheme="minorEastAsia"/>
          <w:sz w:val="28"/>
          <w:szCs w:val="28"/>
        </w:rPr>
        <w:t>依据适宜性等级评定结果，对于多宜性的评价单元，综合分析复垦区自然条件和社会条件，结合公众意见和政策因素，并考虑工程施工难易程度以及技术可行性等方面的因素，结合采区的生态环境特点、植被类型，根据因地制宜的原则，复垦后土地可持续利用原则以及综合效益等原则，复垦方向为林地和草地。</w:t>
      </w:r>
    </w:p>
    <w:p w14:paraId="0908A057">
      <w:pPr>
        <w:pStyle w:val="113"/>
        <w:spacing w:line="360" w:lineRule="auto"/>
        <w:ind w:firstLine="560"/>
        <w:rPr>
          <w:rFonts w:eastAsia="宋体"/>
          <w:szCs w:val="28"/>
          <w:lang w:val="en-US"/>
        </w:rPr>
      </w:pPr>
      <w:r>
        <w:rPr>
          <w:rFonts w:eastAsia="宋体"/>
          <w:szCs w:val="28"/>
          <w:lang w:val="en-US"/>
        </w:rPr>
        <w:t>（6）最终复垦方向确定</w:t>
      </w:r>
    </w:p>
    <w:p w14:paraId="2AFBEF24">
      <w:pPr>
        <w:spacing w:line="360" w:lineRule="auto"/>
        <w:ind w:firstLine="560" w:firstLineChars="200"/>
        <w:rPr>
          <w:rFonts w:eastAsiaTheme="minorEastAsia"/>
          <w:snapToGrid w:val="0"/>
          <w:sz w:val="28"/>
          <w:szCs w:val="28"/>
        </w:rPr>
      </w:pPr>
      <w:r>
        <w:rPr>
          <w:rFonts w:eastAsiaTheme="minorEastAsia"/>
          <w:snapToGrid w:val="0"/>
          <w:sz w:val="28"/>
          <w:szCs w:val="28"/>
        </w:rPr>
        <w:t>根据选定的参照生态系统为目标，结合松山区国土空间规划、公众参与意见及当地社会经济因素等确定最终复垦修复方向。</w:t>
      </w:r>
    </w:p>
    <w:p w14:paraId="1E120123">
      <w:pPr>
        <w:spacing w:line="360" w:lineRule="auto"/>
        <w:ind w:firstLine="560" w:firstLineChars="200"/>
        <w:rPr>
          <w:rFonts w:eastAsiaTheme="minorEastAsia"/>
          <w:snapToGrid w:val="0"/>
          <w:sz w:val="28"/>
          <w:szCs w:val="28"/>
        </w:rPr>
      </w:pPr>
      <w:r>
        <w:rPr>
          <w:rFonts w:hint="eastAsia" w:eastAsiaTheme="minorEastAsia"/>
          <w:snapToGrid w:val="0"/>
          <w:sz w:val="28"/>
          <w:szCs w:val="28"/>
        </w:rPr>
        <w:t>①</w:t>
      </w:r>
      <w:r>
        <w:rPr>
          <w:rFonts w:eastAsiaTheme="minorEastAsia"/>
          <w:snapToGrid w:val="0"/>
          <w:sz w:val="28"/>
          <w:szCs w:val="28"/>
        </w:rPr>
        <w:t>国土空间规划</w:t>
      </w:r>
    </w:p>
    <w:p w14:paraId="33C25303">
      <w:pPr>
        <w:spacing w:line="360" w:lineRule="auto"/>
        <w:ind w:firstLine="560" w:firstLineChars="200"/>
        <w:rPr>
          <w:rFonts w:eastAsiaTheme="minorEastAsia"/>
          <w:snapToGrid w:val="0"/>
          <w:sz w:val="28"/>
          <w:szCs w:val="28"/>
        </w:rPr>
      </w:pPr>
      <w:r>
        <w:rPr>
          <w:rFonts w:eastAsiaTheme="minorEastAsia"/>
          <w:snapToGrid w:val="0"/>
          <w:sz w:val="28"/>
          <w:szCs w:val="28"/>
        </w:rPr>
        <w:t>经查阅《松山区国土空间总体规划（2021-2035年）》，叠加国土空间用地布局图，矿区周边用地布局规划多为林地和草地；叠加用地用海规划分区图，矿区周边规划分区多为林业发展区和矿产能源发展区。叠加生态系统保护规划图，矿区周边生态系统保护规划为水土保持。从国土空间规划角度考虑，复垦修复方向以林地、草地为主。</w:t>
      </w:r>
    </w:p>
    <w:p w14:paraId="40F775E1">
      <w:pPr>
        <w:spacing w:line="360" w:lineRule="auto"/>
        <w:ind w:firstLine="560" w:firstLineChars="200"/>
        <w:rPr>
          <w:rFonts w:eastAsiaTheme="minorEastAsia"/>
          <w:snapToGrid w:val="0"/>
          <w:sz w:val="28"/>
          <w:szCs w:val="28"/>
        </w:rPr>
      </w:pPr>
      <w:r>
        <w:rPr>
          <w:rFonts w:hint="eastAsia" w:eastAsiaTheme="minorEastAsia"/>
          <w:snapToGrid w:val="0"/>
          <w:sz w:val="28"/>
          <w:szCs w:val="28"/>
        </w:rPr>
        <w:t>②</w:t>
      </w:r>
      <w:r>
        <w:rPr>
          <w:rFonts w:eastAsiaTheme="minorEastAsia"/>
          <w:snapToGrid w:val="0"/>
          <w:sz w:val="28"/>
          <w:szCs w:val="28"/>
        </w:rPr>
        <w:t>公众参与意见</w:t>
      </w:r>
    </w:p>
    <w:p w14:paraId="7071FFC5">
      <w:pPr>
        <w:spacing w:line="360" w:lineRule="auto"/>
        <w:ind w:firstLine="560" w:firstLineChars="200"/>
        <w:rPr>
          <w:rFonts w:eastAsiaTheme="minorEastAsia"/>
          <w:snapToGrid w:val="0"/>
          <w:sz w:val="28"/>
          <w:szCs w:val="28"/>
        </w:rPr>
      </w:pPr>
      <w:r>
        <w:rPr>
          <w:rFonts w:eastAsiaTheme="minorEastAsia"/>
          <w:snapToGrid w:val="0"/>
          <w:sz w:val="28"/>
          <w:szCs w:val="28"/>
        </w:rPr>
        <w:t>根据对矿区所在地村民进行问卷调查，村民中多数人认为复垦修复方向应以生态利用、保持良好的生态环境为主，宜耕则耕，宜林则林，并与周边土地利用类型相一致，考虑公众参与意见，复垦修复方向以</w:t>
      </w:r>
      <w:r>
        <w:rPr>
          <w:rFonts w:hint="eastAsia" w:eastAsiaTheme="minorEastAsia"/>
          <w:snapToGrid w:val="0"/>
          <w:sz w:val="28"/>
          <w:szCs w:val="28"/>
        </w:rPr>
        <w:t>草</w:t>
      </w:r>
      <w:r>
        <w:rPr>
          <w:rFonts w:eastAsiaTheme="minorEastAsia"/>
          <w:snapToGrid w:val="0"/>
          <w:sz w:val="28"/>
          <w:szCs w:val="28"/>
        </w:rPr>
        <w:t>地、林地为主。</w:t>
      </w:r>
    </w:p>
    <w:p w14:paraId="606E09E6">
      <w:pPr>
        <w:pStyle w:val="113"/>
        <w:spacing w:line="360" w:lineRule="auto"/>
        <w:ind w:firstLine="560"/>
        <w:rPr>
          <w:rFonts w:eastAsiaTheme="minorEastAsia"/>
          <w:snapToGrid w:val="0"/>
          <w:szCs w:val="28"/>
        </w:rPr>
      </w:pPr>
      <w:r>
        <w:rPr>
          <w:rFonts w:eastAsiaTheme="minorEastAsia"/>
          <w:snapToGrid w:val="0"/>
          <w:szCs w:val="28"/>
        </w:rPr>
        <w:t>综合考虑以上因素，对于多宜性的评价单元，综合分析复垦区自然条件和社会条件，结合公众意见和政策因素，并考虑工程施工难易程度以及技术可行性等方面的因素，结合采区的生态环境特点、植被类型，根据因地制宜的原则，复垦后土地可持续利用原则以及综合效益等原则，各评估单元最终复垦方向见表3-</w:t>
      </w:r>
      <w:r>
        <w:rPr>
          <w:rFonts w:hint="eastAsia" w:eastAsiaTheme="minorEastAsia"/>
          <w:snapToGrid w:val="0"/>
          <w:szCs w:val="28"/>
        </w:rPr>
        <w:t>57</w:t>
      </w:r>
      <w:r>
        <w:rPr>
          <w:rFonts w:eastAsiaTheme="minorEastAsia"/>
          <w:snapToGrid w:val="0"/>
          <w:szCs w:val="28"/>
        </w:rPr>
        <w:t>。</w:t>
      </w:r>
    </w:p>
    <w:p w14:paraId="787E9498">
      <w:pPr>
        <w:pStyle w:val="115"/>
        <w:rPr>
          <w:rFonts w:ascii="Times New Roman" w:hAnsi="Times New Roman" w:eastAsia="黑体" w:cs="Times New Roman"/>
          <w:sz w:val="24"/>
          <w:szCs w:val="24"/>
        </w:rPr>
      </w:pPr>
      <w:r>
        <w:rPr>
          <w:rFonts w:ascii="Times New Roman" w:hAnsi="Times New Roman" w:eastAsia="黑体" w:cs="Times New Roman"/>
          <w:sz w:val="24"/>
          <w:szCs w:val="24"/>
        </w:rPr>
        <w:t>表3-</w:t>
      </w:r>
      <w:r>
        <w:rPr>
          <w:rFonts w:hint="eastAsia" w:ascii="Times New Roman" w:hAnsi="Times New Roman" w:eastAsia="黑体" w:cs="Times New Roman"/>
          <w:sz w:val="24"/>
          <w:szCs w:val="24"/>
        </w:rPr>
        <w:t>57</w:t>
      </w:r>
      <w:r>
        <w:rPr>
          <w:rFonts w:ascii="Times New Roman" w:hAnsi="Times New Roman" w:eastAsia="黑体" w:cs="Times New Roman"/>
          <w:sz w:val="24"/>
          <w:szCs w:val="24"/>
        </w:rPr>
        <w:t xml:space="preserve">  评价单元适宜性评价加权值及土地复垦结构调整表</w:t>
      </w:r>
    </w:p>
    <w:p w14:paraId="2B177578">
      <w:pPr>
        <w:pStyle w:val="115"/>
        <w:rPr>
          <w:rFonts w:ascii="Times New Roman" w:hAnsi="Times New Roman" w:eastAsia="黑体" w:cs="Times New Roman"/>
          <w:sz w:val="24"/>
          <w:szCs w:val="24"/>
        </w:rPr>
      </w:pPr>
    </w:p>
    <w:p w14:paraId="3E0245F3">
      <w:pPr>
        <w:pStyle w:val="113"/>
        <w:spacing w:line="360" w:lineRule="auto"/>
        <w:ind w:firstLine="560"/>
        <w:rPr>
          <w:rFonts w:eastAsiaTheme="minorEastAsia"/>
          <w:szCs w:val="28"/>
        </w:rPr>
      </w:pPr>
      <w:r>
        <w:rPr>
          <w:rFonts w:hint="eastAsia" w:eastAsia="宋体"/>
          <w:szCs w:val="28"/>
          <w:lang w:val="en-US"/>
        </w:rPr>
        <w:t>2</w:t>
      </w:r>
      <w:r>
        <w:rPr>
          <w:rFonts w:eastAsia="宋体"/>
          <w:szCs w:val="28"/>
          <w:lang w:val="en-US"/>
        </w:rPr>
        <w:t>、水土资源平衡分析</w:t>
      </w:r>
    </w:p>
    <w:p w14:paraId="78424E72">
      <w:pPr>
        <w:spacing w:line="360" w:lineRule="auto"/>
        <w:ind w:firstLine="420"/>
        <w:jc w:val="left"/>
        <w:rPr>
          <w:bCs/>
          <w:color w:val="000000"/>
          <w:sz w:val="28"/>
          <w:szCs w:val="28"/>
        </w:rPr>
      </w:pPr>
      <w:r>
        <w:rPr>
          <w:bCs/>
          <w:color w:val="000000"/>
          <w:sz w:val="28"/>
          <w:szCs w:val="28"/>
        </w:rPr>
        <w:t>（1）矿山土地复垦水资源平衡分析</w:t>
      </w:r>
    </w:p>
    <w:p w14:paraId="22C85D15">
      <w:pPr>
        <w:spacing w:line="360" w:lineRule="auto"/>
        <w:ind w:firstLine="560" w:firstLineChars="200"/>
        <w:rPr>
          <w:color w:val="000000"/>
          <w:sz w:val="28"/>
          <w:szCs w:val="28"/>
        </w:rPr>
      </w:pPr>
      <w:r>
        <w:rPr>
          <w:color w:val="000000"/>
          <w:sz w:val="28"/>
          <w:szCs w:val="28"/>
        </w:rPr>
        <w:t>本复垦区年均降水量为</w:t>
      </w:r>
      <w:r>
        <w:rPr>
          <w:rFonts w:hint="eastAsia" w:ascii="宋体" w:hAnsi="宋体" w:cs="宋体"/>
          <w:spacing w:val="13"/>
          <w:sz w:val="32"/>
          <w:szCs w:val="32"/>
        </w:rPr>
        <w:t>***</w:t>
      </w:r>
      <w:r>
        <w:rPr>
          <w:color w:val="000000"/>
          <w:sz w:val="28"/>
          <w:szCs w:val="28"/>
        </w:rPr>
        <w:t>mm左右，降水多集中在6-8月份。设计复垦的草地管护期后依靠自然降雨即可存活。</w:t>
      </w:r>
    </w:p>
    <w:p w14:paraId="7BA7B73B">
      <w:pPr>
        <w:spacing w:line="360" w:lineRule="auto"/>
        <w:ind w:firstLine="560" w:firstLineChars="200"/>
        <w:rPr>
          <w:color w:val="000000"/>
          <w:sz w:val="28"/>
          <w:szCs w:val="28"/>
        </w:rPr>
      </w:pPr>
      <w:r>
        <w:rPr>
          <w:color w:val="000000"/>
          <w:sz w:val="28"/>
          <w:szCs w:val="28"/>
        </w:rPr>
        <w:t>方案设计对复垦后的林地每年春季返青期及秋季进行2次灌溉，复垦的场地管护期间每公顷用水量每次</w:t>
      </w:r>
      <w:r>
        <w:rPr>
          <w:rFonts w:hint="eastAsia" w:ascii="宋体" w:hAnsi="宋体" w:cs="宋体"/>
          <w:spacing w:val="13"/>
          <w:sz w:val="32"/>
          <w:szCs w:val="32"/>
        </w:rPr>
        <w:t>***</w:t>
      </w:r>
      <w:r>
        <w:rPr>
          <w:color w:val="000000"/>
          <w:sz w:val="28"/>
          <w:szCs w:val="28"/>
        </w:rPr>
        <w:t>m</w:t>
      </w:r>
      <w:r>
        <w:rPr>
          <w:color w:val="000000"/>
          <w:sz w:val="28"/>
          <w:szCs w:val="28"/>
          <w:vertAlign w:val="superscript"/>
        </w:rPr>
        <w:t>3</w:t>
      </w:r>
      <w:r>
        <w:rPr>
          <w:color w:val="000000"/>
          <w:sz w:val="28"/>
          <w:szCs w:val="28"/>
        </w:rPr>
        <w:t>，恢复林地面积</w:t>
      </w:r>
      <w:r>
        <w:rPr>
          <w:rFonts w:hint="eastAsia" w:ascii="宋体" w:hAnsi="宋体" w:cs="宋体"/>
          <w:spacing w:val="13"/>
          <w:sz w:val="32"/>
          <w:szCs w:val="32"/>
        </w:rPr>
        <w:t>***</w:t>
      </w:r>
      <w:r>
        <w:rPr>
          <w:color w:val="000000"/>
          <w:sz w:val="28"/>
          <w:szCs w:val="28"/>
        </w:rPr>
        <w:t>hm</w:t>
      </w:r>
      <w:r>
        <w:rPr>
          <w:color w:val="000000"/>
          <w:sz w:val="28"/>
          <w:szCs w:val="28"/>
          <w:vertAlign w:val="superscript"/>
        </w:rPr>
        <w:t>2</w:t>
      </w:r>
      <w:r>
        <w:rPr>
          <w:color w:val="000000"/>
          <w:sz w:val="28"/>
          <w:szCs w:val="28"/>
        </w:rPr>
        <w:t>，管护期间每次用水量为</w:t>
      </w:r>
      <w:r>
        <w:rPr>
          <w:rFonts w:hint="eastAsia" w:ascii="宋体" w:hAnsi="宋体" w:cs="宋体"/>
          <w:spacing w:val="13"/>
          <w:sz w:val="32"/>
          <w:szCs w:val="32"/>
        </w:rPr>
        <w:t>***</w:t>
      </w:r>
      <w:r>
        <w:rPr>
          <w:color w:val="000000"/>
          <w:sz w:val="28"/>
          <w:szCs w:val="28"/>
        </w:rPr>
        <w:t>m</w:t>
      </w:r>
      <w:r>
        <w:rPr>
          <w:color w:val="000000"/>
          <w:sz w:val="28"/>
          <w:szCs w:val="28"/>
          <w:vertAlign w:val="superscript"/>
        </w:rPr>
        <w:t>3</w:t>
      </w:r>
      <w:r>
        <w:rPr>
          <w:color w:val="000000"/>
          <w:sz w:val="28"/>
          <w:szCs w:val="28"/>
        </w:rPr>
        <w:t>。</w:t>
      </w:r>
    </w:p>
    <w:p w14:paraId="6C2D5302">
      <w:pPr>
        <w:spacing w:line="360" w:lineRule="auto"/>
        <w:ind w:firstLine="560" w:firstLineChars="200"/>
        <w:rPr>
          <w:color w:val="000000"/>
          <w:sz w:val="28"/>
          <w:szCs w:val="28"/>
        </w:rPr>
      </w:pPr>
      <w:r>
        <w:rPr>
          <w:color w:val="000000"/>
          <w:sz w:val="28"/>
          <w:szCs w:val="28"/>
        </w:rPr>
        <w:t>根据调查可利用周边村民自建水源井和矿区自建水源井进行灌溉，</w:t>
      </w:r>
      <w:r>
        <w:rPr>
          <w:bCs/>
          <w:color w:val="000000"/>
          <w:sz w:val="28"/>
          <w:szCs w:val="28"/>
        </w:rPr>
        <w:t>单井涌水量为</w:t>
      </w:r>
      <w:r>
        <w:rPr>
          <w:rFonts w:hint="eastAsia" w:ascii="宋体" w:hAnsi="宋体" w:cs="宋体"/>
          <w:spacing w:val="13"/>
          <w:sz w:val="32"/>
          <w:szCs w:val="32"/>
        </w:rPr>
        <w:t>***</w:t>
      </w:r>
      <w:r>
        <w:rPr>
          <w:bCs/>
          <w:color w:val="000000"/>
          <w:sz w:val="28"/>
          <w:szCs w:val="28"/>
        </w:rPr>
        <w:t>m</w:t>
      </w:r>
      <w:r>
        <w:rPr>
          <w:bCs/>
          <w:color w:val="000000"/>
          <w:sz w:val="28"/>
          <w:szCs w:val="28"/>
          <w:vertAlign w:val="superscript"/>
        </w:rPr>
        <w:t>3</w:t>
      </w:r>
      <w:r>
        <w:rPr>
          <w:bCs/>
          <w:color w:val="000000"/>
          <w:sz w:val="28"/>
          <w:szCs w:val="28"/>
        </w:rPr>
        <w:t>/</w:t>
      </w:r>
      <w:r>
        <w:rPr>
          <w:rFonts w:hint="eastAsia"/>
          <w:bCs/>
          <w:color w:val="000000"/>
          <w:sz w:val="28"/>
          <w:szCs w:val="28"/>
        </w:rPr>
        <w:t>d</w:t>
      </w:r>
      <w:r>
        <w:rPr>
          <w:bCs/>
          <w:color w:val="000000"/>
          <w:sz w:val="28"/>
          <w:szCs w:val="28"/>
        </w:rPr>
        <w:t>，</w:t>
      </w:r>
      <w:r>
        <w:rPr>
          <w:color w:val="000000"/>
          <w:sz w:val="28"/>
          <w:szCs w:val="28"/>
        </w:rPr>
        <w:t>恢复植被管护期间</w:t>
      </w:r>
      <w:r>
        <w:rPr>
          <w:rFonts w:hint="eastAsia"/>
          <w:color w:val="000000"/>
          <w:sz w:val="28"/>
          <w:szCs w:val="28"/>
        </w:rPr>
        <w:t>需持续灌溉</w:t>
      </w:r>
      <w:r>
        <w:rPr>
          <w:rFonts w:hint="eastAsia" w:ascii="宋体" w:hAnsi="宋体" w:cs="宋体"/>
          <w:spacing w:val="13"/>
          <w:sz w:val="32"/>
          <w:szCs w:val="32"/>
        </w:rPr>
        <w:t>***</w:t>
      </w:r>
      <w:r>
        <w:rPr>
          <w:rFonts w:hint="eastAsia"/>
          <w:color w:val="000000"/>
          <w:sz w:val="28"/>
          <w:szCs w:val="28"/>
        </w:rPr>
        <w:t>天方</w:t>
      </w:r>
      <w:r>
        <w:rPr>
          <w:color w:val="000000"/>
          <w:sz w:val="28"/>
          <w:szCs w:val="28"/>
        </w:rPr>
        <w:t>可满足灌溉需求。</w:t>
      </w:r>
    </w:p>
    <w:p w14:paraId="21D6683E">
      <w:pPr>
        <w:spacing w:line="360" w:lineRule="auto"/>
        <w:ind w:firstLine="420"/>
        <w:jc w:val="left"/>
        <w:rPr>
          <w:bCs/>
          <w:color w:val="000000"/>
          <w:sz w:val="28"/>
          <w:szCs w:val="28"/>
        </w:rPr>
      </w:pPr>
      <w:bookmarkStart w:id="118" w:name="OLE_LINK66"/>
      <w:r>
        <w:rPr>
          <w:bCs/>
          <w:color w:val="000000"/>
          <w:sz w:val="28"/>
          <w:szCs w:val="28"/>
        </w:rPr>
        <w:t>（2）矿山土地复垦土资源平衡分析</w:t>
      </w:r>
    </w:p>
    <w:bookmarkEnd w:id="118"/>
    <w:p w14:paraId="3969D762">
      <w:pPr>
        <w:adjustRightInd w:val="0"/>
        <w:snapToGrid w:val="0"/>
        <w:spacing w:line="360" w:lineRule="auto"/>
        <w:ind w:firstLine="560" w:firstLineChars="200"/>
        <w:jc w:val="left"/>
        <w:rPr>
          <w:color w:val="000000"/>
          <w:sz w:val="28"/>
          <w:szCs w:val="28"/>
        </w:rPr>
      </w:pPr>
      <w:r>
        <w:rPr>
          <w:bCs/>
          <w:color w:val="000000"/>
          <w:sz w:val="28"/>
          <w:szCs w:val="28"/>
        </w:rPr>
        <w:t>为了保证复垦的顺利进行，对复垦需要</w:t>
      </w:r>
      <w:r>
        <w:rPr>
          <w:color w:val="000000"/>
          <w:sz w:val="28"/>
          <w:szCs w:val="28"/>
        </w:rPr>
        <w:t>的土地资源进行论证分析：</w:t>
      </w:r>
    </w:p>
    <w:p w14:paraId="2C78A1AB">
      <w:pPr>
        <w:adjustRightInd w:val="0"/>
        <w:snapToGrid w:val="0"/>
        <w:spacing w:line="360" w:lineRule="auto"/>
        <w:ind w:firstLine="560" w:firstLineChars="200"/>
        <w:rPr>
          <w:color w:val="000000"/>
          <w:sz w:val="28"/>
          <w:szCs w:val="28"/>
        </w:rPr>
      </w:pPr>
      <w:r>
        <w:rPr>
          <w:rFonts w:hint="eastAsia" w:ascii="微软雅黑" w:hAnsi="微软雅黑" w:eastAsia="微软雅黑" w:cs="微软雅黑"/>
          <w:color w:val="000000"/>
          <w:sz w:val="28"/>
          <w:szCs w:val="28"/>
        </w:rPr>
        <w:t>①</w:t>
      </w:r>
      <w:r>
        <w:rPr>
          <w:color w:val="000000"/>
          <w:sz w:val="28"/>
          <w:szCs w:val="28"/>
        </w:rPr>
        <w:t>需土量分析</w:t>
      </w:r>
    </w:p>
    <w:p w14:paraId="2ADEF982">
      <w:pPr>
        <w:adjustRightInd w:val="0"/>
        <w:snapToGrid w:val="0"/>
        <w:spacing w:line="360" w:lineRule="auto"/>
        <w:ind w:firstLine="560" w:firstLineChars="200"/>
        <w:rPr>
          <w:color w:val="000000"/>
          <w:sz w:val="28"/>
          <w:szCs w:val="28"/>
        </w:rPr>
      </w:pPr>
      <w:r>
        <w:rPr>
          <w:color w:val="000000"/>
          <w:sz w:val="28"/>
          <w:szCs w:val="28"/>
        </w:rPr>
        <w:t>采矿活动对矿山地质环境造成影响破坏的单元中，复垦方向为</w:t>
      </w:r>
      <w:r>
        <w:rPr>
          <w:rFonts w:hint="eastAsia"/>
          <w:color w:val="000000"/>
          <w:sz w:val="28"/>
          <w:szCs w:val="28"/>
        </w:rPr>
        <w:t>灌木</w:t>
      </w:r>
      <w:r>
        <w:rPr>
          <w:color w:val="000000"/>
          <w:sz w:val="28"/>
          <w:szCs w:val="28"/>
        </w:rPr>
        <w:t>林地、人工牧草地</w:t>
      </w:r>
      <w:r>
        <w:rPr>
          <w:rFonts w:hint="eastAsia"/>
          <w:color w:val="000000"/>
          <w:sz w:val="28"/>
          <w:szCs w:val="28"/>
        </w:rPr>
        <w:t>，</w:t>
      </w:r>
      <w:r>
        <w:rPr>
          <w:sz w:val="28"/>
          <w:szCs w:val="28"/>
        </w:rPr>
        <w:t>拟复垦林地的场地</w:t>
      </w:r>
      <w:r>
        <w:rPr>
          <w:snapToGrid w:val="0"/>
          <w:sz w:val="28"/>
          <w:szCs w:val="28"/>
        </w:rPr>
        <w:t>有效土层厚度不低于</w:t>
      </w:r>
      <w:r>
        <w:rPr>
          <w:rFonts w:hint="eastAsia" w:ascii="宋体" w:hAnsi="宋体" w:cs="宋体"/>
          <w:spacing w:val="13"/>
          <w:sz w:val="32"/>
          <w:szCs w:val="32"/>
        </w:rPr>
        <w:t>***</w:t>
      </w:r>
      <w:r>
        <w:rPr>
          <w:snapToGrid w:val="0"/>
          <w:sz w:val="28"/>
          <w:szCs w:val="28"/>
        </w:rPr>
        <w:t>m，</w:t>
      </w:r>
      <w:r>
        <w:rPr>
          <w:sz w:val="28"/>
          <w:szCs w:val="28"/>
        </w:rPr>
        <w:t>拟复垦草地的场地</w:t>
      </w:r>
      <w:r>
        <w:rPr>
          <w:snapToGrid w:val="0"/>
          <w:sz w:val="28"/>
          <w:szCs w:val="28"/>
        </w:rPr>
        <w:t>有效土层厚度不低于</w:t>
      </w:r>
      <w:r>
        <w:rPr>
          <w:rFonts w:hint="eastAsia" w:ascii="宋体" w:hAnsi="宋体" w:cs="宋体"/>
          <w:spacing w:val="13"/>
          <w:sz w:val="32"/>
          <w:szCs w:val="32"/>
        </w:rPr>
        <w:t>***</w:t>
      </w:r>
      <w:r>
        <w:rPr>
          <w:snapToGrid w:val="0"/>
          <w:sz w:val="28"/>
          <w:szCs w:val="28"/>
        </w:rPr>
        <w:t>m</w:t>
      </w:r>
      <w:r>
        <w:rPr>
          <w:rFonts w:hint="eastAsia"/>
          <w:color w:val="000000"/>
          <w:sz w:val="28"/>
          <w:szCs w:val="28"/>
        </w:rPr>
        <w:t>，</w:t>
      </w:r>
      <w:r>
        <w:rPr>
          <w:color w:val="000000"/>
          <w:sz w:val="28"/>
          <w:szCs w:val="28"/>
        </w:rPr>
        <w:t>总需覆土量</w:t>
      </w:r>
      <w:r>
        <w:rPr>
          <w:rFonts w:hint="eastAsia" w:ascii="宋体" w:hAnsi="宋体" w:cs="宋体"/>
          <w:spacing w:val="13"/>
          <w:sz w:val="32"/>
          <w:szCs w:val="32"/>
        </w:rPr>
        <w:t>***</w:t>
      </w:r>
      <w:r>
        <w:rPr>
          <w:color w:val="000000"/>
          <w:sz w:val="28"/>
          <w:szCs w:val="28"/>
        </w:rPr>
        <w:t>m</w:t>
      </w:r>
      <w:r>
        <w:rPr>
          <w:color w:val="000000"/>
          <w:sz w:val="28"/>
          <w:szCs w:val="28"/>
          <w:vertAlign w:val="superscript"/>
        </w:rPr>
        <w:t>3</w:t>
      </w:r>
      <w:r>
        <w:rPr>
          <w:color w:val="000000"/>
          <w:sz w:val="28"/>
          <w:szCs w:val="28"/>
        </w:rPr>
        <w:t>。</w:t>
      </w:r>
    </w:p>
    <w:p w14:paraId="4716C8A4">
      <w:pPr>
        <w:adjustRightInd w:val="0"/>
        <w:snapToGrid w:val="0"/>
        <w:spacing w:line="360" w:lineRule="auto"/>
        <w:ind w:firstLine="560" w:firstLineChars="200"/>
        <w:jc w:val="left"/>
        <w:rPr>
          <w:color w:val="000000"/>
          <w:sz w:val="28"/>
          <w:szCs w:val="28"/>
        </w:rPr>
      </w:pPr>
      <w:r>
        <w:rPr>
          <w:rFonts w:hint="eastAsia" w:ascii="微软雅黑" w:hAnsi="微软雅黑" w:eastAsia="微软雅黑" w:cs="微软雅黑"/>
          <w:color w:val="000000"/>
          <w:sz w:val="28"/>
          <w:szCs w:val="28"/>
        </w:rPr>
        <w:t>②</w:t>
      </w:r>
      <w:r>
        <w:rPr>
          <w:color w:val="000000"/>
          <w:sz w:val="28"/>
          <w:szCs w:val="28"/>
        </w:rPr>
        <w:t>供给土量分析</w:t>
      </w:r>
    </w:p>
    <w:p w14:paraId="501C224E">
      <w:pPr>
        <w:adjustRightInd w:val="0"/>
        <w:snapToGrid w:val="0"/>
        <w:spacing w:line="360" w:lineRule="auto"/>
        <w:ind w:firstLine="560" w:firstLineChars="200"/>
        <w:rPr>
          <w:color w:val="000000"/>
          <w:sz w:val="28"/>
          <w:szCs w:val="28"/>
        </w:rPr>
      </w:pPr>
      <w:r>
        <w:rPr>
          <w:rFonts w:hint="eastAsia"/>
          <w:kern w:val="0"/>
          <w:sz w:val="28"/>
          <w:szCs w:val="28"/>
        </w:rPr>
        <w:t>矿山采用露天开采，由于现状矿区大部分区域基岩裸露，矿区范围表土覆盖较薄，表土工程量极少，矿区土源匮乏，矿山需外购取土，</w:t>
      </w:r>
      <w:r>
        <w:rPr>
          <w:color w:val="000000"/>
          <w:sz w:val="28"/>
          <w:szCs w:val="28"/>
        </w:rPr>
        <w:t>外购土源总量</w:t>
      </w:r>
      <w:r>
        <w:rPr>
          <w:rFonts w:hint="eastAsia"/>
          <w:color w:val="000000"/>
          <w:sz w:val="28"/>
          <w:szCs w:val="28"/>
        </w:rPr>
        <w:t>为</w:t>
      </w:r>
      <w:r>
        <w:rPr>
          <w:rFonts w:hint="eastAsia" w:ascii="宋体" w:hAnsi="宋体" w:cs="宋体"/>
          <w:spacing w:val="13"/>
          <w:sz w:val="32"/>
          <w:szCs w:val="32"/>
        </w:rPr>
        <w:t>***</w:t>
      </w:r>
      <w:r>
        <w:rPr>
          <w:color w:val="000000"/>
          <w:sz w:val="28"/>
          <w:szCs w:val="28"/>
        </w:rPr>
        <w:t>m</w:t>
      </w:r>
      <w:r>
        <w:rPr>
          <w:color w:val="000000"/>
          <w:sz w:val="28"/>
          <w:szCs w:val="28"/>
          <w:vertAlign w:val="superscript"/>
        </w:rPr>
        <w:t>3</w:t>
      </w:r>
      <w:r>
        <w:rPr>
          <w:color w:val="000000"/>
          <w:sz w:val="28"/>
          <w:szCs w:val="28"/>
        </w:rPr>
        <w:t>。</w:t>
      </w:r>
    </w:p>
    <w:p w14:paraId="625CE54C">
      <w:pPr>
        <w:adjustRightInd w:val="0"/>
        <w:snapToGrid w:val="0"/>
        <w:spacing w:line="360" w:lineRule="auto"/>
        <w:ind w:firstLine="560" w:firstLineChars="200"/>
        <w:rPr>
          <w:color w:val="000000"/>
          <w:sz w:val="28"/>
          <w:szCs w:val="28"/>
        </w:rPr>
      </w:pPr>
      <w:r>
        <w:rPr>
          <w:rFonts w:hint="eastAsia"/>
          <w:color w:val="000000"/>
          <w:sz w:val="28"/>
          <w:szCs w:val="28"/>
        </w:rPr>
        <w:t>（3）</w:t>
      </w:r>
      <w:r>
        <w:rPr>
          <w:color w:val="000000"/>
          <w:sz w:val="28"/>
          <w:szCs w:val="28"/>
        </w:rPr>
        <w:t>废石平衡分析</w:t>
      </w:r>
    </w:p>
    <w:p w14:paraId="20D58215">
      <w:pPr>
        <w:adjustRightInd w:val="0"/>
        <w:snapToGrid w:val="0"/>
        <w:spacing w:line="360" w:lineRule="auto"/>
        <w:ind w:firstLine="560" w:firstLineChars="200"/>
        <w:rPr>
          <w:color w:val="000000"/>
          <w:sz w:val="28"/>
          <w:szCs w:val="28"/>
        </w:rPr>
      </w:pPr>
      <w:r>
        <w:rPr>
          <w:color w:val="000000"/>
          <w:sz w:val="28"/>
          <w:szCs w:val="28"/>
        </w:rPr>
        <w:t>治理期内废石平衡分析，</w:t>
      </w:r>
      <w:r>
        <w:rPr>
          <w:rFonts w:hint="eastAsia"/>
          <w:color w:val="000000"/>
          <w:sz w:val="28"/>
          <w:szCs w:val="28"/>
        </w:rPr>
        <w:t>矿山近三年治理工程中，需垫坡工程量为</w:t>
      </w:r>
      <w:r>
        <w:rPr>
          <w:rFonts w:hint="eastAsia" w:ascii="宋体" w:hAnsi="宋体" w:cs="宋体"/>
          <w:spacing w:val="13"/>
          <w:sz w:val="32"/>
          <w:szCs w:val="32"/>
        </w:rPr>
        <w:t>***</w:t>
      </w:r>
      <w:r>
        <w:rPr>
          <w:color w:val="000000"/>
          <w:sz w:val="28"/>
          <w:szCs w:val="28"/>
        </w:rPr>
        <w:t>m</w:t>
      </w:r>
      <w:r>
        <w:rPr>
          <w:color w:val="000000"/>
          <w:sz w:val="28"/>
          <w:szCs w:val="28"/>
          <w:vertAlign w:val="superscript"/>
        </w:rPr>
        <w:t>3</w:t>
      </w:r>
      <w:r>
        <w:rPr>
          <w:rFonts w:hint="eastAsia"/>
          <w:color w:val="000000"/>
          <w:sz w:val="28"/>
          <w:szCs w:val="28"/>
        </w:rPr>
        <w:t>，需回填工程量为</w:t>
      </w:r>
      <w:r>
        <w:rPr>
          <w:rFonts w:hint="eastAsia" w:ascii="宋体" w:hAnsi="宋体" w:cs="宋体"/>
          <w:spacing w:val="13"/>
          <w:sz w:val="32"/>
          <w:szCs w:val="32"/>
        </w:rPr>
        <w:t>***</w:t>
      </w:r>
      <w:r>
        <w:rPr>
          <w:color w:val="000000"/>
          <w:sz w:val="28"/>
          <w:szCs w:val="28"/>
        </w:rPr>
        <w:t>m</w:t>
      </w:r>
      <w:r>
        <w:rPr>
          <w:color w:val="000000"/>
          <w:sz w:val="28"/>
          <w:szCs w:val="28"/>
          <w:vertAlign w:val="superscript"/>
        </w:rPr>
        <w:t>3</w:t>
      </w:r>
      <w:r>
        <w:rPr>
          <w:color w:val="000000"/>
          <w:sz w:val="28"/>
          <w:szCs w:val="28"/>
        </w:rPr>
        <w:t>，</w:t>
      </w:r>
      <w:r>
        <w:rPr>
          <w:rFonts w:hint="eastAsia"/>
          <w:color w:val="000000"/>
          <w:sz w:val="28"/>
          <w:szCs w:val="28"/>
        </w:rPr>
        <w:t>总需废石量约</w:t>
      </w:r>
      <w:r>
        <w:rPr>
          <w:rFonts w:hint="eastAsia" w:ascii="宋体" w:hAnsi="宋体" w:cs="宋体"/>
          <w:spacing w:val="13"/>
          <w:sz w:val="32"/>
          <w:szCs w:val="32"/>
        </w:rPr>
        <w:t>***</w:t>
      </w:r>
      <w:r>
        <w:rPr>
          <w:color w:val="000000"/>
          <w:sz w:val="28"/>
          <w:szCs w:val="28"/>
        </w:rPr>
        <w:t>m</w:t>
      </w:r>
      <w:r>
        <w:rPr>
          <w:color w:val="000000"/>
          <w:sz w:val="28"/>
          <w:szCs w:val="28"/>
          <w:vertAlign w:val="superscript"/>
        </w:rPr>
        <w:t>3</w:t>
      </w:r>
      <w:r>
        <w:rPr>
          <w:rFonts w:hint="eastAsia"/>
          <w:color w:val="000000"/>
          <w:sz w:val="28"/>
          <w:szCs w:val="28"/>
        </w:rPr>
        <w:t>。近期通过废石场废石清运、建筑物拆除可出废石量为</w:t>
      </w:r>
      <w:r>
        <w:rPr>
          <w:rFonts w:hint="eastAsia" w:ascii="宋体" w:hAnsi="宋体" w:cs="宋体"/>
          <w:spacing w:val="13"/>
          <w:sz w:val="32"/>
          <w:szCs w:val="32"/>
        </w:rPr>
        <w:t>***</w:t>
      </w:r>
      <w:r>
        <w:rPr>
          <w:color w:val="000000"/>
          <w:sz w:val="28"/>
          <w:szCs w:val="28"/>
        </w:rPr>
        <w:t>m</w:t>
      </w:r>
      <w:r>
        <w:rPr>
          <w:color w:val="000000"/>
          <w:sz w:val="28"/>
          <w:szCs w:val="28"/>
          <w:vertAlign w:val="superscript"/>
        </w:rPr>
        <w:t>3</w:t>
      </w:r>
      <w:r>
        <w:rPr>
          <w:rFonts w:hint="eastAsia"/>
          <w:color w:val="000000"/>
          <w:sz w:val="28"/>
          <w:szCs w:val="28"/>
        </w:rPr>
        <w:t>，近期废石缺口为</w:t>
      </w:r>
      <w:r>
        <w:rPr>
          <w:rFonts w:hint="eastAsia" w:ascii="宋体" w:hAnsi="宋体" w:cs="宋体"/>
          <w:spacing w:val="13"/>
          <w:sz w:val="32"/>
          <w:szCs w:val="32"/>
        </w:rPr>
        <w:t>***</w:t>
      </w:r>
      <w:r>
        <w:rPr>
          <w:color w:val="000000"/>
          <w:sz w:val="28"/>
          <w:szCs w:val="28"/>
        </w:rPr>
        <w:t>m</w:t>
      </w:r>
      <w:r>
        <w:rPr>
          <w:color w:val="000000"/>
          <w:sz w:val="28"/>
          <w:szCs w:val="28"/>
          <w:vertAlign w:val="superscript"/>
        </w:rPr>
        <w:t>3</w:t>
      </w:r>
      <w:r>
        <w:rPr>
          <w:rFonts w:hint="eastAsia"/>
          <w:color w:val="000000"/>
          <w:sz w:val="28"/>
          <w:szCs w:val="28"/>
        </w:rPr>
        <w:t>，矿区周边存在大量废石，可供矿区生态修复利用，矿区内废石满足近期治理要求。</w:t>
      </w:r>
    </w:p>
    <w:p w14:paraId="39EC2191">
      <w:pPr>
        <w:adjustRightInd w:val="0"/>
        <w:snapToGrid w:val="0"/>
        <w:spacing w:line="360" w:lineRule="auto"/>
        <w:ind w:firstLine="560" w:firstLineChars="200"/>
        <w:rPr>
          <w:color w:val="000000"/>
          <w:sz w:val="28"/>
          <w:szCs w:val="28"/>
        </w:rPr>
      </w:pPr>
      <w:r>
        <w:rPr>
          <w:rFonts w:hint="eastAsia"/>
          <w:color w:val="000000"/>
          <w:sz w:val="28"/>
          <w:szCs w:val="28"/>
        </w:rPr>
        <w:t>生态修复治理期可清运废石量为</w:t>
      </w:r>
      <w:r>
        <w:rPr>
          <w:rFonts w:hint="eastAsia" w:ascii="宋体" w:hAnsi="宋体" w:cs="宋体"/>
          <w:spacing w:val="13"/>
          <w:sz w:val="32"/>
          <w:szCs w:val="32"/>
        </w:rPr>
        <w:t>***</w:t>
      </w:r>
      <w:r>
        <w:rPr>
          <w:color w:val="000000"/>
          <w:sz w:val="28"/>
          <w:szCs w:val="28"/>
        </w:rPr>
        <w:t>m</w:t>
      </w:r>
      <w:r>
        <w:rPr>
          <w:color w:val="000000"/>
          <w:sz w:val="28"/>
          <w:szCs w:val="28"/>
          <w:vertAlign w:val="superscript"/>
        </w:rPr>
        <w:t>3</w:t>
      </w:r>
      <w:r>
        <w:rPr>
          <w:rFonts w:hint="eastAsia"/>
          <w:color w:val="000000"/>
          <w:sz w:val="28"/>
          <w:szCs w:val="28"/>
        </w:rPr>
        <w:t>，计划优先回填拟建截洪沟，剩余废石平铺至露天采场底部。</w:t>
      </w:r>
    </w:p>
    <w:p w14:paraId="32D08B86">
      <w:pPr>
        <w:spacing w:line="360" w:lineRule="auto"/>
        <w:ind w:firstLine="562" w:firstLineChars="200"/>
        <w:outlineLvl w:val="3"/>
        <w:rPr>
          <w:rFonts w:eastAsiaTheme="minorEastAsia"/>
          <w:b/>
          <w:bCs/>
          <w:sz w:val="28"/>
          <w:szCs w:val="28"/>
        </w:rPr>
      </w:pPr>
      <w:bookmarkStart w:id="119" w:name="_Toc37947574"/>
      <w:bookmarkStart w:id="120" w:name="_Toc18660176"/>
      <w:r>
        <w:rPr>
          <w:rFonts w:eastAsiaTheme="minorEastAsia"/>
          <w:b/>
          <w:bCs/>
          <w:sz w:val="28"/>
          <w:szCs w:val="28"/>
        </w:rPr>
        <w:t>（三）土地复垦质量要求</w:t>
      </w:r>
      <w:bookmarkEnd w:id="119"/>
      <w:bookmarkEnd w:id="120"/>
    </w:p>
    <w:p w14:paraId="058550FA">
      <w:pPr>
        <w:widowControl/>
        <w:spacing w:line="360" w:lineRule="auto"/>
        <w:ind w:firstLine="560" w:firstLineChars="200"/>
        <w:rPr>
          <w:kern w:val="0"/>
          <w:sz w:val="28"/>
          <w:szCs w:val="28"/>
        </w:rPr>
      </w:pPr>
      <w:r>
        <w:rPr>
          <w:kern w:val="0"/>
          <w:sz w:val="28"/>
          <w:szCs w:val="28"/>
        </w:rPr>
        <w:t>参照《土地复垦质量控制标准》（TD/T 1036-2013），矿区位于东北山丘平原土地，根据《土地复垦质量控制标准》中“表D.1东北山丘平原土地复垦质量控制标准”，各土地复垦质量控制标准如下：</w:t>
      </w:r>
    </w:p>
    <w:p w14:paraId="66802A42">
      <w:pPr>
        <w:pStyle w:val="115"/>
        <w:rPr>
          <w:rFonts w:ascii="Times New Roman" w:hAnsi="Times New Roman" w:eastAsia="黑体" w:cs="Times New Roman"/>
          <w:sz w:val="24"/>
          <w:szCs w:val="24"/>
        </w:rPr>
      </w:pPr>
      <w:r>
        <w:rPr>
          <w:rFonts w:ascii="Times New Roman" w:hAnsi="Times New Roman" w:eastAsia="黑体" w:cs="Times New Roman"/>
          <w:sz w:val="24"/>
          <w:szCs w:val="24"/>
        </w:rPr>
        <w:t>表3-</w:t>
      </w:r>
      <w:r>
        <w:rPr>
          <w:rFonts w:hint="eastAsia" w:ascii="Times New Roman" w:hAnsi="Times New Roman" w:eastAsia="黑体" w:cs="Times New Roman"/>
          <w:sz w:val="24"/>
          <w:szCs w:val="24"/>
        </w:rPr>
        <w:t>58</w:t>
      </w:r>
      <w:r>
        <w:rPr>
          <w:rFonts w:ascii="Times New Roman" w:hAnsi="Times New Roman" w:eastAsia="黑体" w:cs="Times New Roman"/>
          <w:sz w:val="24"/>
          <w:szCs w:val="24"/>
        </w:rPr>
        <w:t xml:space="preserve">  东北山丘平原土地复垦质量控制标准</w:t>
      </w:r>
    </w:p>
    <w:tbl>
      <w:tblPr>
        <w:tblStyle w:val="76"/>
        <w:tblW w:w="85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761"/>
        <w:gridCol w:w="1371"/>
        <w:gridCol w:w="1993"/>
        <w:gridCol w:w="3648"/>
      </w:tblGrid>
      <w:tr w14:paraId="530DC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526" w:type="dxa"/>
            <w:gridSpan w:val="2"/>
            <w:vAlign w:val="center"/>
          </w:tcPr>
          <w:p w14:paraId="5DE222F5">
            <w:pPr>
              <w:widowControl/>
              <w:spacing w:line="240" w:lineRule="atLeast"/>
              <w:jc w:val="center"/>
              <w:rPr>
                <w:rFonts w:hint="eastAsia" w:ascii="宋体" w:hAnsi="宋体" w:cs="宋体"/>
                <w:kern w:val="0"/>
                <w:szCs w:val="21"/>
              </w:rPr>
            </w:pPr>
            <w:r>
              <w:rPr>
                <w:rFonts w:hint="eastAsia" w:ascii="宋体" w:hAnsi="宋体" w:cs="宋体"/>
                <w:kern w:val="0"/>
                <w:szCs w:val="21"/>
              </w:rPr>
              <w:t>复垦方向</w:t>
            </w:r>
          </w:p>
        </w:tc>
        <w:tc>
          <w:tcPr>
            <w:tcW w:w="1371" w:type="dxa"/>
            <w:vAlign w:val="center"/>
          </w:tcPr>
          <w:p w14:paraId="4763E9F2">
            <w:pPr>
              <w:widowControl/>
              <w:spacing w:line="240" w:lineRule="atLeast"/>
              <w:jc w:val="center"/>
              <w:rPr>
                <w:rFonts w:hint="eastAsia" w:ascii="宋体" w:hAnsi="宋体" w:cs="宋体"/>
                <w:kern w:val="0"/>
                <w:szCs w:val="21"/>
              </w:rPr>
            </w:pPr>
            <w:r>
              <w:rPr>
                <w:rFonts w:hint="eastAsia" w:ascii="宋体" w:hAnsi="宋体" w:cs="宋体"/>
                <w:kern w:val="0"/>
                <w:szCs w:val="21"/>
              </w:rPr>
              <w:t>指标类型</w:t>
            </w:r>
          </w:p>
        </w:tc>
        <w:tc>
          <w:tcPr>
            <w:tcW w:w="1993" w:type="dxa"/>
            <w:vAlign w:val="center"/>
          </w:tcPr>
          <w:p w14:paraId="5F12B3B1">
            <w:pPr>
              <w:widowControl/>
              <w:spacing w:line="240" w:lineRule="atLeast"/>
              <w:jc w:val="center"/>
              <w:rPr>
                <w:rFonts w:hint="eastAsia" w:ascii="宋体" w:hAnsi="宋体" w:cs="宋体"/>
                <w:kern w:val="0"/>
                <w:szCs w:val="21"/>
              </w:rPr>
            </w:pPr>
            <w:r>
              <w:rPr>
                <w:rFonts w:hint="eastAsia" w:ascii="宋体" w:hAnsi="宋体" w:cs="宋体"/>
                <w:kern w:val="0"/>
                <w:szCs w:val="21"/>
              </w:rPr>
              <w:t>基本指标</w:t>
            </w:r>
          </w:p>
        </w:tc>
        <w:tc>
          <w:tcPr>
            <w:tcW w:w="3648" w:type="dxa"/>
            <w:vAlign w:val="center"/>
          </w:tcPr>
          <w:p w14:paraId="6B8471C7">
            <w:pPr>
              <w:widowControl/>
              <w:spacing w:line="240" w:lineRule="atLeast"/>
              <w:jc w:val="center"/>
              <w:rPr>
                <w:rFonts w:hint="eastAsia" w:ascii="宋体" w:hAnsi="宋体" w:cs="宋体"/>
                <w:kern w:val="0"/>
                <w:szCs w:val="21"/>
              </w:rPr>
            </w:pPr>
            <w:r>
              <w:rPr>
                <w:rFonts w:hint="eastAsia" w:ascii="宋体" w:hAnsi="宋体" w:cs="宋体"/>
                <w:kern w:val="0"/>
                <w:szCs w:val="21"/>
              </w:rPr>
              <w:t>控制标准</w:t>
            </w:r>
          </w:p>
        </w:tc>
      </w:tr>
      <w:tr w14:paraId="0052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restart"/>
            <w:tcBorders>
              <w:top w:val="single" w:color="auto" w:sz="4" w:space="0"/>
              <w:left w:val="single" w:color="auto" w:sz="4" w:space="0"/>
              <w:bottom w:val="single" w:color="auto" w:sz="4" w:space="0"/>
              <w:right w:val="single" w:color="auto" w:sz="4" w:space="0"/>
            </w:tcBorders>
            <w:vAlign w:val="center"/>
          </w:tcPr>
          <w:p w14:paraId="53D9D89D">
            <w:pPr>
              <w:spacing w:line="240" w:lineRule="atLeast"/>
              <w:jc w:val="center"/>
              <w:rPr>
                <w:rFonts w:hint="eastAsia" w:ascii="宋体" w:hAnsi="宋体" w:cs="宋体"/>
                <w:kern w:val="0"/>
                <w:szCs w:val="21"/>
              </w:rPr>
            </w:pPr>
            <w:r>
              <w:rPr>
                <w:rFonts w:hint="eastAsia" w:ascii="宋体" w:hAnsi="宋体" w:cs="宋体"/>
                <w:kern w:val="0"/>
                <w:szCs w:val="21"/>
              </w:rPr>
              <w:t>林地</w:t>
            </w:r>
          </w:p>
        </w:tc>
        <w:tc>
          <w:tcPr>
            <w:tcW w:w="761" w:type="dxa"/>
            <w:vMerge w:val="restart"/>
            <w:tcBorders>
              <w:top w:val="single" w:color="auto" w:sz="4" w:space="0"/>
              <w:left w:val="single" w:color="auto" w:sz="4" w:space="0"/>
              <w:bottom w:val="single" w:color="auto" w:sz="4" w:space="0"/>
              <w:right w:val="single" w:color="auto" w:sz="4" w:space="0"/>
            </w:tcBorders>
            <w:vAlign w:val="center"/>
          </w:tcPr>
          <w:p w14:paraId="6757DC18">
            <w:pPr>
              <w:spacing w:line="240" w:lineRule="atLeast"/>
              <w:jc w:val="center"/>
              <w:rPr>
                <w:rFonts w:hint="eastAsia" w:ascii="宋体" w:hAnsi="宋体" w:cs="宋体"/>
                <w:kern w:val="0"/>
                <w:szCs w:val="21"/>
              </w:rPr>
            </w:pPr>
            <w:r>
              <w:rPr>
                <w:rFonts w:hint="eastAsia" w:ascii="宋体" w:hAnsi="宋体" w:cs="宋体"/>
                <w:kern w:val="0"/>
                <w:szCs w:val="21"/>
              </w:rPr>
              <w:t>灌木林地</w:t>
            </w:r>
          </w:p>
        </w:tc>
        <w:tc>
          <w:tcPr>
            <w:tcW w:w="1371" w:type="dxa"/>
            <w:vMerge w:val="restart"/>
            <w:tcBorders>
              <w:top w:val="single" w:color="auto" w:sz="4" w:space="0"/>
              <w:left w:val="single" w:color="auto" w:sz="4" w:space="0"/>
              <w:bottom w:val="single" w:color="auto" w:sz="4" w:space="0"/>
              <w:right w:val="single" w:color="auto" w:sz="4" w:space="0"/>
            </w:tcBorders>
            <w:vAlign w:val="center"/>
          </w:tcPr>
          <w:p w14:paraId="30A3757D">
            <w:pPr>
              <w:spacing w:line="240" w:lineRule="atLeast"/>
              <w:jc w:val="center"/>
              <w:rPr>
                <w:rFonts w:hint="eastAsia" w:ascii="宋体" w:hAnsi="宋体" w:cs="宋体"/>
                <w:szCs w:val="21"/>
              </w:rPr>
            </w:pPr>
            <w:r>
              <w:rPr>
                <w:rFonts w:hint="eastAsia" w:ascii="宋体" w:hAnsi="宋体" w:cs="宋体"/>
                <w:szCs w:val="21"/>
              </w:rPr>
              <w:t>土壤质量</w:t>
            </w:r>
          </w:p>
        </w:tc>
        <w:tc>
          <w:tcPr>
            <w:tcW w:w="1993" w:type="dxa"/>
            <w:tcBorders>
              <w:top w:val="single" w:color="auto" w:sz="4" w:space="0"/>
              <w:left w:val="single" w:color="auto" w:sz="4" w:space="0"/>
              <w:bottom w:val="single" w:color="auto" w:sz="4" w:space="0"/>
              <w:right w:val="single" w:color="auto" w:sz="4" w:space="0"/>
            </w:tcBorders>
            <w:vAlign w:val="center"/>
          </w:tcPr>
          <w:p w14:paraId="09DEFE0D">
            <w:pPr>
              <w:spacing w:line="240" w:lineRule="atLeast"/>
              <w:jc w:val="center"/>
              <w:rPr>
                <w:rFonts w:hint="eastAsia" w:ascii="宋体" w:hAnsi="宋体" w:cs="宋体"/>
                <w:szCs w:val="21"/>
              </w:rPr>
            </w:pPr>
            <w:r>
              <w:rPr>
                <w:rFonts w:hint="eastAsia" w:ascii="宋体" w:hAnsi="宋体" w:cs="宋体"/>
                <w:szCs w:val="21"/>
              </w:rPr>
              <w:t>有效土层厚度/cm</w:t>
            </w:r>
          </w:p>
        </w:tc>
        <w:tc>
          <w:tcPr>
            <w:tcW w:w="3648" w:type="dxa"/>
            <w:tcBorders>
              <w:top w:val="single" w:color="auto" w:sz="4" w:space="0"/>
              <w:left w:val="single" w:color="auto" w:sz="4" w:space="0"/>
              <w:bottom w:val="single" w:color="auto" w:sz="4" w:space="0"/>
              <w:right w:val="single" w:color="auto" w:sz="4" w:space="0"/>
            </w:tcBorders>
            <w:vAlign w:val="center"/>
          </w:tcPr>
          <w:p w14:paraId="4AC4F0B2">
            <w:pPr>
              <w:spacing w:line="240" w:lineRule="atLeast"/>
              <w:jc w:val="center"/>
              <w:rPr>
                <w:rFonts w:hint="eastAsia" w:ascii="宋体" w:hAnsi="宋体" w:cs="宋体"/>
                <w:szCs w:val="21"/>
              </w:rPr>
            </w:pPr>
            <w:r>
              <w:rPr>
                <w:rFonts w:hint="eastAsia" w:ascii="宋体" w:hAnsi="宋体" w:cs="宋体"/>
                <w:szCs w:val="21"/>
              </w:rPr>
              <w:t>≥30</w:t>
            </w:r>
          </w:p>
        </w:tc>
      </w:tr>
      <w:tr w14:paraId="04AA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14:paraId="7E61795A">
            <w:pPr>
              <w:spacing w:line="240" w:lineRule="atLeast"/>
              <w:jc w:val="center"/>
              <w:rPr>
                <w:rFonts w:hint="eastAsia" w:ascii="宋体" w:hAnsi="宋体" w:cs="宋体"/>
                <w:kern w:val="0"/>
                <w:szCs w:val="21"/>
              </w:rPr>
            </w:pPr>
          </w:p>
        </w:tc>
        <w:tc>
          <w:tcPr>
            <w:tcW w:w="761" w:type="dxa"/>
            <w:vMerge w:val="continue"/>
            <w:tcBorders>
              <w:top w:val="single" w:color="auto" w:sz="4" w:space="0"/>
              <w:left w:val="single" w:color="auto" w:sz="4" w:space="0"/>
              <w:bottom w:val="single" w:color="auto" w:sz="4" w:space="0"/>
              <w:right w:val="single" w:color="auto" w:sz="4" w:space="0"/>
            </w:tcBorders>
            <w:vAlign w:val="center"/>
          </w:tcPr>
          <w:p w14:paraId="7C797CC3">
            <w:pPr>
              <w:spacing w:line="240" w:lineRule="atLeast"/>
              <w:jc w:val="center"/>
              <w:rPr>
                <w:rFonts w:hint="eastAsia" w:ascii="宋体" w:hAnsi="宋体" w:cs="宋体"/>
                <w:kern w:val="0"/>
                <w:szCs w:val="21"/>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5BB431DC">
            <w:pPr>
              <w:spacing w:line="240" w:lineRule="atLeast"/>
              <w:jc w:val="center"/>
              <w:rPr>
                <w:rFonts w:hint="eastAsia" w:ascii="宋体" w:hAnsi="宋体" w:cs="宋体"/>
                <w:szCs w:val="21"/>
              </w:rPr>
            </w:pPr>
          </w:p>
        </w:tc>
        <w:tc>
          <w:tcPr>
            <w:tcW w:w="1993" w:type="dxa"/>
            <w:tcBorders>
              <w:top w:val="single" w:color="auto" w:sz="4" w:space="0"/>
              <w:left w:val="single" w:color="auto" w:sz="4" w:space="0"/>
              <w:bottom w:val="single" w:color="auto" w:sz="4" w:space="0"/>
              <w:right w:val="single" w:color="auto" w:sz="4" w:space="0"/>
            </w:tcBorders>
            <w:vAlign w:val="center"/>
          </w:tcPr>
          <w:p w14:paraId="2AE9A9DA">
            <w:pPr>
              <w:spacing w:line="240" w:lineRule="atLeast"/>
              <w:jc w:val="center"/>
              <w:rPr>
                <w:rFonts w:hint="eastAsia" w:ascii="宋体" w:hAnsi="宋体" w:cs="宋体"/>
                <w:szCs w:val="21"/>
              </w:rPr>
            </w:pPr>
            <w:r>
              <w:rPr>
                <w:rFonts w:hint="eastAsia" w:ascii="宋体" w:hAnsi="宋体" w:cs="宋体"/>
                <w:szCs w:val="21"/>
              </w:rPr>
              <w:t>土壤容重/（g/cm</w:t>
            </w:r>
            <w:r>
              <w:rPr>
                <w:rFonts w:hint="eastAsia" w:ascii="宋体" w:hAnsi="宋体" w:cs="宋体"/>
                <w:szCs w:val="21"/>
                <w:vertAlign w:val="superscript"/>
              </w:rPr>
              <w:t>3</w:t>
            </w:r>
            <w:r>
              <w:rPr>
                <w:rFonts w:hint="eastAsia" w:ascii="宋体" w:hAnsi="宋体" w:cs="宋体"/>
                <w:szCs w:val="21"/>
              </w:rPr>
              <w:t>）</w:t>
            </w:r>
          </w:p>
        </w:tc>
        <w:tc>
          <w:tcPr>
            <w:tcW w:w="3648" w:type="dxa"/>
            <w:tcBorders>
              <w:top w:val="single" w:color="auto" w:sz="4" w:space="0"/>
              <w:left w:val="single" w:color="auto" w:sz="4" w:space="0"/>
              <w:bottom w:val="single" w:color="auto" w:sz="4" w:space="0"/>
              <w:right w:val="single" w:color="auto" w:sz="4" w:space="0"/>
            </w:tcBorders>
            <w:vAlign w:val="center"/>
          </w:tcPr>
          <w:p w14:paraId="6125DD5F">
            <w:pPr>
              <w:spacing w:line="240" w:lineRule="atLeast"/>
              <w:jc w:val="center"/>
              <w:rPr>
                <w:rFonts w:hint="eastAsia" w:ascii="宋体" w:hAnsi="宋体" w:cs="宋体"/>
                <w:szCs w:val="21"/>
              </w:rPr>
            </w:pPr>
            <w:r>
              <w:rPr>
                <w:rFonts w:hint="eastAsia" w:ascii="宋体" w:hAnsi="宋体" w:cs="宋体"/>
                <w:szCs w:val="21"/>
              </w:rPr>
              <w:t>≤1.45</w:t>
            </w:r>
          </w:p>
        </w:tc>
      </w:tr>
      <w:tr w14:paraId="49FBB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14:paraId="179D0B6C">
            <w:pPr>
              <w:spacing w:line="240" w:lineRule="atLeast"/>
              <w:jc w:val="center"/>
              <w:rPr>
                <w:rFonts w:hint="eastAsia" w:ascii="宋体" w:hAnsi="宋体" w:cs="宋体"/>
                <w:kern w:val="0"/>
                <w:szCs w:val="21"/>
              </w:rPr>
            </w:pPr>
          </w:p>
        </w:tc>
        <w:tc>
          <w:tcPr>
            <w:tcW w:w="761" w:type="dxa"/>
            <w:vMerge w:val="continue"/>
            <w:tcBorders>
              <w:top w:val="single" w:color="auto" w:sz="4" w:space="0"/>
              <w:left w:val="single" w:color="auto" w:sz="4" w:space="0"/>
              <w:bottom w:val="single" w:color="auto" w:sz="4" w:space="0"/>
              <w:right w:val="single" w:color="auto" w:sz="4" w:space="0"/>
            </w:tcBorders>
            <w:vAlign w:val="center"/>
          </w:tcPr>
          <w:p w14:paraId="7ECBE381">
            <w:pPr>
              <w:spacing w:line="240" w:lineRule="atLeast"/>
              <w:jc w:val="center"/>
              <w:rPr>
                <w:rFonts w:hint="eastAsia" w:ascii="宋体" w:hAnsi="宋体" w:cs="宋体"/>
                <w:kern w:val="0"/>
                <w:szCs w:val="21"/>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6EE3D1AF">
            <w:pPr>
              <w:spacing w:line="240" w:lineRule="atLeast"/>
              <w:jc w:val="center"/>
              <w:rPr>
                <w:rFonts w:hint="eastAsia" w:ascii="宋体" w:hAnsi="宋体" w:cs="宋体"/>
                <w:szCs w:val="21"/>
              </w:rPr>
            </w:pPr>
          </w:p>
        </w:tc>
        <w:tc>
          <w:tcPr>
            <w:tcW w:w="1993" w:type="dxa"/>
            <w:tcBorders>
              <w:top w:val="single" w:color="auto" w:sz="4" w:space="0"/>
              <w:left w:val="single" w:color="auto" w:sz="4" w:space="0"/>
              <w:bottom w:val="single" w:color="auto" w:sz="4" w:space="0"/>
              <w:right w:val="single" w:color="auto" w:sz="4" w:space="0"/>
            </w:tcBorders>
            <w:vAlign w:val="center"/>
          </w:tcPr>
          <w:p w14:paraId="34F0104D">
            <w:pPr>
              <w:spacing w:line="240" w:lineRule="atLeast"/>
              <w:jc w:val="center"/>
              <w:rPr>
                <w:rFonts w:hint="eastAsia" w:ascii="宋体" w:hAnsi="宋体" w:cs="宋体"/>
                <w:szCs w:val="21"/>
              </w:rPr>
            </w:pPr>
            <w:r>
              <w:rPr>
                <w:rFonts w:hint="eastAsia" w:ascii="宋体" w:hAnsi="宋体" w:cs="宋体"/>
                <w:szCs w:val="21"/>
              </w:rPr>
              <w:t>土壤质地</w:t>
            </w:r>
          </w:p>
        </w:tc>
        <w:tc>
          <w:tcPr>
            <w:tcW w:w="3648" w:type="dxa"/>
            <w:tcBorders>
              <w:top w:val="single" w:color="auto" w:sz="4" w:space="0"/>
              <w:left w:val="single" w:color="auto" w:sz="4" w:space="0"/>
              <w:bottom w:val="single" w:color="auto" w:sz="4" w:space="0"/>
              <w:right w:val="single" w:color="auto" w:sz="4" w:space="0"/>
            </w:tcBorders>
            <w:vAlign w:val="center"/>
          </w:tcPr>
          <w:p w14:paraId="78AE18D6">
            <w:pPr>
              <w:spacing w:line="240" w:lineRule="atLeast"/>
              <w:jc w:val="center"/>
              <w:rPr>
                <w:rFonts w:hint="eastAsia" w:ascii="宋体" w:hAnsi="宋体" w:cs="宋体"/>
                <w:szCs w:val="21"/>
              </w:rPr>
            </w:pPr>
            <w:r>
              <w:rPr>
                <w:rFonts w:hint="eastAsia" w:ascii="宋体" w:hAnsi="宋体" w:cs="宋体"/>
                <w:szCs w:val="21"/>
              </w:rPr>
              <w:t>砂土至砂质粘土</w:t>
            </w:r>
          </w:p>
        </w:tc>
      </w:tr>
      <w:tr w14:paraId="3CF8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14:paraId="5806E2B2">
            <w:pPr>
              <w:spacing w:line="240" w:lineRule="atLeast"/>
              <w:jc w:val="center"/>
              <w:rPr>
                <w:rFonts w:hint="eastAsia" w:ascii="宋体" w:hAnsi="宋体" w:cs="宋体"/>
                <w:kern w:val="0"/>
                <w:szCs w:val="21"/>
              </w:rPr>
            </w:pPr>
          </w:p>
        </w:tc>
        <w:tc>
          <w:tcPr>
            <w:tcW w:w="761" w:type="dxa"/>
            <w:vMerge w:val="continue"/>
            <w:tcBorders>
              <w:top w:val="single" w:color="auto" w:sz="4" w:space="0"/>
              <w:left w:val="single" w:color="auto" w:sz="4" w:space="0"/>
              <w:bottom w:val="single" w:color="auto" w:sz="4" w:space="0"/>
              <w:right w:val="single" w:color="auto" w:sz="4" w:space="0"/>
            </w:tcBorders>
            <w:vAlign w:val="center"/>
          </w:tcPr>
          <w:p w14:paraId="1B33B569">
            <w:pPr>
              <w:spacing w:line="240" w:lineRule="atLeast"/>
              <w:jc w:val="center"/>
              <w:rPr>
                <w:rFonts w:hint="eastAsia" w:ascii="宋体" w:hAnsi="宋体" w:cs="宋体"/>
                <w:kern w:val="0"/>
                <w:szCs w:val="21"/>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29C34274">
            <w:pPr>
              <w:spacing w:line="240" w:lineRule="atLeast"/>
              <w:jc w:val="center"/>
              <w:rPr>
                <w:rFonts w:hint="eastAsia" w:ascii="宋体" w:hAnsi="宋体" w:cs="宋体"/>
                <w:szCs w:val="21"/>
              </w:rPr>
            </w:pPr>
          </w:p>
        </w:tc>
        <w:tc>
          <w:tcPr>
            <w:tcW w:w="1993" w:type="dxa"/>
            <w:tcBorders>
              <w:top w:val="single" w:color="auto" w:sz="4" w:space="0"/>
              <w:left w:val="single" w:color="auto" w:sz="4" w:space="0"/>
              <w:bottom w:val="single" w:color="auto" w:sz="4" w:space="0"/>
              <w:right w:val="single" w:color="auto" w:sz="4" w:space="0"/>
            </w:tcBorders>
            <w:vAlign w:val="center"/>
          </w:tcPr>
          <w:p w14:paraId="42D936A7">
            <w:pPr>
              <w:spacing w:line="240" w:lineRule="atLeast"/>
              <w:jc w:val="center"/>
              <w:rPr>
                <w:rFonts w:hint="eastAsia" w:ascii="宋体" w:hAnsi="宋体" w:cs="宋体"/>
                <w:szCs w:val="21"/>
              </w:rPr>
            </w:pPr>
            <w:r>
              <w:rPr>
                <w:rFonts w:hint="eastAsia" w:ascii="宋体" w:hAnsi="宋体" w:cs="宋体"/>
                <w:szCs w:val="21"/>
              </w:rPr>
              <w:t>砾石含量/%</w:t>
            </w:r>
          </w:p>
        </w:tc>
        <w:tc>
          <w:tcPr>
            <w:tcW w:w="3648" w:type="dxa"/>
            <w:tcBorders>
              <w:top w:val="single" w:color="auto" w:sz="4" w:space="0"/>
              <w:left w:val="single" w:color="auto" w:sz="4" w:space="0"/>
              <w:bottom w:val="single" w:color="auto" w:sz="4" w:space="0"/>
              <w:right w:val="single" w:color="auto" w:sz="4" w:space="0"/>
            </w:tcBorders>
            <w:vAlign w:val="center"/>
          </w:tcPr>
          <w:p w14:paraId="22128EB2">
            <w:pPr>
              <w:spacing w:line="240" w:lineRule="atLeast"/>
              <w:jc w:val="center"/>
              <w:rPr>
                <w:rFonts w:hint="eastAsia" w:ascii="宋体" w:hAnsi="宋体" w:cs="宋体"/>
                <w:szCs w:val="21"/>
              </w:rPr>
            </w:pPr>
            <w:r>
              <w:rPr>
                <w:rFonts w:hint="eastAsia" w:ascii="宋体" w:hAnsi="宋体" w:cs="宋体"/>
                <w:szCs w:val="21"/>
              </w:rPr>
              <w:t>≤20</w:t>
            </w:r>
          </w:p>
        </w:tc>
      </w:tr>
      <w:tr w14:paraId="42B89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14:paraId="36273354">
            <w:pPr>
              <w:spacing w:line="240" w:lineRule="atLeast"/>
              <w:jc w:val="center"/>
              <w:rPr>
                <w:rFonts w:hint="eastAsia" w:ascii="宋体" w:hAnsi="宋体" w:cs="宋体"/>
                <w:kern w:val="0"/>
                <w:szCs w:val="21"/>
              </w:rPr>
            </w:pPr>
          </w:p>
        </w:tc>
        <w:tc>
          <w:tcPr>
            <w:tcW w:w="761" w:type="dxa"/>
            <w:vMerge w:val="continue"/>
            <w:tcBorders>
              <w:top w:val="single" w:color="auto" w:sz="4" w:space="0"/>
              <w:left w:val="single" w:color="auto" w:sz="4" w:space="0"/>
              <w:bottom w:val="single" w:color="auto" w:sz="4" w:space="0"/>
              <w:right w:val="single" w:color="auto" w:sz="4" w:space="0"/>
            </w:tcBorders>
            <w:vAlign w:val="center"/>
          </w:tcPr>
          <w:p w14:paraId="18E8EFF1">
            <w:pPr>
              <w:spacing w:line="240" w:lineRule="atLeast"/>
              <w:jc w:val="center"/>
              <w:rPr>
                <w:rFonts w:hint="eastAsia" w:ascii="宋体" w:hAnsi="宋体" w:cs="宋体"/>
                <w:kern w:val="0"/>
                <w:szCs w:val="21"/>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3B499C89">
            <w:pPr>
              <w:spacing w:line="240" w:lineRule="atLeast"/>
              <w:jc w:val="center"/>
              <w:rPr>
                <w:rFonts w:hint="eastAsia" w:ascii="宋体" w:hAnsi="宋体" w:cs="宋体"/>
                <w:szCs w:val="21"/>
              </w:rPr>
            </w:pPr>
          </w:p>
        </w:tc>
        <w:tc>
          <w:tcPr>
            <w:tcW w:w="1993" w:type="dxa"/>
            <w:tcBorders>
              <w:top w:val="single" w:color="auto" w:sz="4" w:space="0"/>
              <w:left w:val="single" w:color="auto" w:sz="4" w:space="0"/>
              <w:bottom w:val="single" w:color="auto" w:sz="4" w:space="0"/>
              <w:right w:val="single" w:color="auto" w:sz="4" w:space="0"/>
            </w:tcBorders>
            <w:vAlign w:val="center"/>
          </w:tcPr>
          <w:p w14:paraId="1206FF27">
            <w:pPr>
              <w:spacing w:line="240" w:lineRule="atLeast"/>
              <w:jc w:val="center"/>
              <w:rPr>
                <w:rFonts w:hint="eastAsia" w:ascii="宋体" w:hAnsi="宋体" w:cs="宋体"/>
                <w:szCs w:val="21"/>
              </w:rPr>
            </w:pPr>
            <w:r>
              <w:rPr>
                <w:rFonts w:hint="eastAsia" w:ascii="宋体" w:hAnsi="宋体" w:cs="宋体"/>
                <w:szCs w:val="21"/>
              </w:rPr>
              <w:t>pH值</w:t>
            </w:r>
          </w:p>
        </w:tc>
        <w:tc>
          <w:tcPr>
            <w:tcW w:w="3648" w:type="dxa"/>
            <w:tcBorders>
              <w:top w:val="single" w:color="auto" w:sz="4" w:space="0"/>
              <w:left w:val="single" w:color="auto" w:sz="4" w:space="0"/>
              <w:bottom w:val="single" w:color="auto" w:sz="4" w:space="0"/>
              <w:right w:val="single" w:color="auto" w:sz="4" w:space="0"/>
            </w:tcBorders>
            <w:vAlign w:val="center"/>
          </w:tcPr>
          <w:p w14:paraId="3177244E">
            <w:pPr>
              <w:spacing w:line="240" w:lineRule="atLeast"/>
              <w:jc w:val="center"/>
              <w:rPr>
                <w:rFonts w:hint="eastAsia" w:ascii="宋体" w:hAnsi="宋体" w:cs="宋体"/>
                <w:szCs w:val="21"/>
              </w:rPr>
            </w:pPr>
            <w:r>
              <w:rPr>
                <w:rFonts w:hint="eastAsia" w:ascii="宋体" w:hAnsi="宋体" w:cs="宋体"/>
                <w:szCs w:val="21"/>
              </w:rPr>
              <w:t>6.0-8.5</w:t>
            </w:r>
          </w:p>
        </w:tc>
      </w:tr>
      <w:tr w14:paraId="7928C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14:paraId="3DFDE883">
            <w:pPr>
              <w:spacing w:line="240" w:lineRule="atLeast"/>
              <w:jc w:val="center"/>
              <w:rPr>
                <w:rFonts w:hint="eastAsia" w:ascii="宋体" w:hAnsi="宋体" w:cs="宋体"/>
                <w:kern w:val="0"/>
                <w:szCs w:val="21"/>
              </w:rPr>
            </w:pPr>
          </w:p>
        </w:tc>
        <w:tc>
          <w:tcPr>
            <w:tcW w:w="761" w:type="dxa"/>
            <w:vMerge w:val="continue"/>
            <w:tcBorders>
              <w:top w:val="single" w:color="auto" w:sz="4" w:space="0"/>
              <w:left w:val="single" w:color="auto" w:sz="4" w:space="0"/>
              <w:bottom w:val="single" w:color="auto" w:sz="4" w:space="0"/>
              <w:right w:val="single" w:color="auto" w:sz="4" w:space="0"/>
            </w:tcBorders>
            <w:vAlign w:val="center"/>
          </w:tcPr>
          <w:p w14:paraId="50CDD0D7">
            <w:pPr>
              <w:spacing w:line="240" w:lineRule="atLeast"/>
              <w:jc w:val="center"/>
              <w:rPr>
                <w:rFonts w:hint="eastAsia" w:ascii="宋体" w:hAnsi="宋体" w:cs="宋体"/>
                <w:kern w:val="0"/>
                <w:szCs w:val="21"/>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02D1AD7D">
            <w:pPr>
              <w:spacing w:line="240" w:lineRule="atLeast"/>
              <w:jc w:val="center"/>
              <w:rPr>
                <w:rFonts w:hint="eastAsia" w:ascii="宋体" w:hAnsi="宋体" w:cs="宋体"/>
                <w:szCs w:val="21"/>
              </w:rPr>
            </w:pPr>
          </w:p>
        </w:tc>
        <w:tc>
          <w:tcPr>
            <w:tcW w:w="1993" w:type="dxa"/>
            <w:tcBorders>
              <w:top w:val="single" w:color="auto" w:sz="4" w:space="0"/>
              <w:left w:val="single" w:color="auto" w:sz="4" w:space="0"/>
              <w:bottom w:val="single" w:color="auto" w:sz="4" w:space="0"/>
              <w:right w:val="single" w:color="auto" w:sz="4" w:space="0"/>
            </w:tcBorders>
            <w:vAlign w:val="center"/>
          </w:tcPr>
          <w:p w14:paraId="40F93EAC">
            <w:pPr>
              <w:spacing w:line="240" w:lineRule="atLeast"/>
              <w:jc w:val="center"/>
              <w:rPr>
                <w:rFonts w:hint="eastAsia" w:ascii="宋体" w:hAnsi="宋体" w:cs="宋体"/>
                <w:szCs w:val="21"/>
              </w:rPr>
            </w:pPr>
            <w:r>
              <w:rPr>
                <w:rFonts w:hint="eastAsia" w:ascii="宋体" w:hAnsi="宋体" w:cs="宋体"/>
                <w:szCs w:val="21"/>
              </w:rPr>
              <w:t>有机质/%</w:t>
            </w:r>
          </w:p>
        </w:tc>
        <w:tc>
          <w:tcPr>
            <w:tcW w:w="3648" w:type="dxa"/>
            <w:tcBorders>
              <w:top w:val="single" w:color="auto" w:sz="4" w:space="0"/>
              <w:left w:val="single" w:color="auto" w:sz="4" w:space="0"/>
              <w:bottom w:val="single" w:color="auto" w:sz="4" w:space="0"/>
              <w:right w:val="single" w:color="auto" w:sz="4" w:space="0"/>
            </w:tcBorders>
            <w:vAlign w:val="center"/>
          </w:tcPr>
          <w:p w14:paraId="34E6110C">
            <w:pPr>
              <w:spacing w:line="240" w:lineRule="atLeast"/>
              <w:jc w:val="center"/>
              <w:rPr>
                <w:rFonts w:hint="eastAsia" w:ascii="宋体" w:hAnsi="宋体" w:cs="宋体"/>
                <w:szCs w:val="21"/>
              </w:rPr>
            </w:pPr>
            <w:r>
              <w:rPr>
                <w:rFonts w:hint="eastAsia" w:ascii="宋体" w:hAnsi="宋体" w:cs="宋体"/>
                <w:szCs w:val="21"/>
              </w:rPr>
              <w:t>≥2</w:t>
            </w:r>
          </w:p>
        </w:tc>
      </w:tr>
      <w:tr w14:paraId="7FA38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14:paraId="2D15EA64">
            <w:pPr>
              <w:spacing w:line="240" w:lineRule="atLeast"/>
              <w:jc w:val="center"/>
              <w:rPr>
                <w:rFonts w:hint="eastAsia" w:ascii="宋体" w:hAnsi="宋体" w:cs="宋体"/>
                <w:kern w:val="0"/>
                <w:szCs w:val="21"/>
              </w:rPr>
            </w:pPr>
          </w:p>
        </w:tc>
        <w:tc>
          <w:tcPr>
            <w:tcW w:w="761" w:type="dxa"/>
            <w:vMerge w:val="continue"/>
            <w:tcBorders>
              <w:top w:val="single" w:color="auto" w:sz="4" w:space="0"/>
              <w:left w:val="single" w:color="auto" w:sz="4" w:space="0"/>
              <w:bottom w:val="single" w:color="auto" w:sz="4" w:space="0"/>
              <w:right w:val="single" w:color="auto" w:sz="4" w:space="0"/>
            </w:tcBorders>
            <w:vAlign w:val="center"/>
          </w:tcPr>
          <w:p w14:paraId="3CCDD612">
            <w:pPr>
              <w:spacing w:line="240" w:lineRule="atLeast"/>
              <w:jc w:val="center"/>
              <w:rPr>
                <w:rFonts w:hint="eastAsia" w:ascii="宋体" w:hAnsi="宋体" w:cs="宋体"/>
                <w:kern w:val="0"/>
                <w:szCs w:val="21"/>
              </w:rPr>
            </w:pPr>
          </w:p>
        </w:tc>
        <w:tc>
          <w:tcPr>
            <w:tcW w:w="1371" w:type="dxa"/>
            <w:tcBorders>
              <w:top w:val="single" w:color="auto" w:sz="4" w:space="0"/>
              <w:left w:val="single" w:color="auto" w:sz="4" w:space="0"/>
              <w:bottom w:val="single" w:color="auto" w:sz="4" w:space="0"/>
              <w:right w:val="single" w:color="auto" w:sz="4" w:space="0"/>
            </w:tcBorders>
            <w:vAlign w:val="center"/>
          </w:tcPr>
          <w:p w14:paraId="3F9A3EEA">
            <w:pPr>
              <w:spacing w:line="240" w:lineRule="atLeast"/>
              <w:jc w:val="center"/>
              <w:rPr>
                <w:rFonts w:hint="eastAsia" w:ascii="宋体" w:hAnsi="宋体" w:cs="宋体"/>
                <w:szCs w:val="21"/>
              </w:rPr>
            </w:pPr>
            <w:r>
              <w:rPr>
                <w:rFonts w:hint="eastAsia" w:ascii="宋体" w:hAnsi="宋体" w:cs="宋体"/>
                <w:szCs w:val="21"/>
              </w:rPr>
              <w:t>配套设施</w:t>
            </w:r>
          </w:p>
        </w:tc>
        <w:tc>
          <w:tcPr>
            <w:tcW w:w="1993" w:type="dxa"/>
            <w:tcBorders>
              <w:top w:val="single" w:color="auto" w:sz="4" w:space="0"/>
              <w:left w:val="single" w:color="auto" w:sz="4" w:space="0"/>
              <w:bottom w:val="single" w:color="auto" w:sz="4" w:space="0"/>
              <w:right w:val="single" w:color="auto" w:sz="4" w:space="0"/>
            </w:tcBorders>
            <w:vAlign w:val="center"/>
          </w:tcPr>
          <w:p w14:paraId="1B6C70B3">
            <w:pPr>
              <w:spacing w:line="240" w:lineRule="atLeast"/>
              <w:jc w:val="center"/>
              <w:rPr>
                <w:rFonts w:hint="eastAsia" w:ascii="宋体" w:hAnsi="宋体" w:cs="宋体"/>
                <w:szCs w:val="21"/>
              </w:rPr>
            </w:pPr>
            <w:r>
              <w:rPr>
                <w:rFonts w:hint="eastAsia" w:ascii="宋体" w:hAnsi="宋体" w:cs="宋体"/>
                <w:szCs w:val="21"/>
              </w:rPr>
              <w:t>道路</w:t>
            </w:r>
          </w:p>
        </w:tc>
        <w:tc>
          <w:tcPr>
            <w:tcW w:w="3648" w:type="dxa"/>
            <w:tcBorders>
              <w:top w:val="single" w:color="auto" w:sz="4" w:space="0"/>
              <w:left w:val="single" w:color="auto" w:sz="4" w:space="0"/>
              <w:bottom w:val="single" w:color="auto" w:sz="4" w:space="0"/>
              <w:right w:val="single" w:color="auto" w:sz="4" w:space="0"/>
            </w:tcBorders>
            <w:vAlign w:val="center"/>
          </w:tcPr>
          <w:p w14:paraId="2A2C46C4">
            <w:pPr>
              <w:spacing w:line="240" w:lineRule="atLeast"/>
              <w:jc w:val="center"/>
              <w:rPr>
                <w:rFonts w:hint="eastAsia" w:ascii="宋体" w:hAnsi="宋体" w:cs="宋体"/>
                <w:szCs w:val="21"/>
              </w:rPr>
            </w:pPr>
            <w:r>
              <w:rPr>
                <w:rFonts w:hint="eastAsia" w:ascii="宋体" w:hAnsi="宋体" w:cs="宋体"/>
                <w:szCs w:val="21"/>
              </w:rPr>
              <w:t>达到当地本行业工程建设标准要求</w:t>
            </w:r>
          </w:p>
        </w:tc>
      </w:tr>
      <w:tr w14:paraId="67FA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14:paraId="3FB7576F">
            <w:pPr>
              <w:spacing w:line="240" w:lineRule="atLeast"/>
              <w:jc w:val="center"/>
              <w:rPr>
                <w:rFonts w:hint="eastAsia" w:ascii="宋体" w:hAnsi="宋体" w:cs="宋体"/>
                <w:kern w:val="0"/>
                <w:szCs w:val="21"/>
              </w:rPr>
            </w:pPr>
          </w:p>
        </w:tc>
        <w:tc>
          <w:tcPr>
            <w:tcW w:w="761" w:type="dxa"/>
            <w:vMerge w:val="continue"/>
            <w:tcBorders>
              <w:top w:val="single" w:color="auto" w:sz="4" w:space="0"/>
              <w:left w:val="single" w:color="auto" w:sz="4" w:space="0"/>
              <w:bottom w:val="single" w:color="auto" w:sz="4" w:space="0"/>
              <w:right w:val="single" w:color="auto" w:sz="4" w:space="0"/>
            </w:tcBorders>
            <w:vAlign w:val="center"/>
          </w:tcPr>
          <w:p w14:paraId="77A21044">
            <w:pPr>
              <w:spacing w:line="240" w:lineRule="atLeast"/>
              <w:jc w:val="center"/>
              <w:rPr>
                <w:rFonts w:hint="eastAsia" w:ascii="宋体" w:hAnsi="宋体" w:cs="宋体"/>
                <w:kern w:val="0"/>
                <w:szCs w:val="21"/>
              </w:rPr>
            </w:pPr>
          </w:p>
        </w:tc>
        <w:tc>
          <w:tcPr>
            <w:tcW w:w="1371" w:type="dxa"/>
            <w:vMerge w:val="restart"/>
            <w:tcBorders>
              <w:top w:val="single" w:color="auto" w:sz="4" w:space="0"/>
              <w:left w:val="single" w:color="auto" w:sz="4" w:space="0"/>
              <w:bottom w:val="single" w:color="auto" w:sz="4" w:space="0"/>
              <w:right w:val="single" w:color="auto" w:sz="4" w:space="0"/>
            </w:tcBorders>
            <w:vAlign w:val="center"/>
          </w:tcPr>
          <w:p w14:paraId="1F5703D4">
            <w:pPr>
              <w:spacing w:line="240" w:lineRule="atLeast"/>
              <w:jc w:val="center"/>
              <w:rPr>
                <w:rFonts w:hint="eastAsia" w:ascii="宋体" w:hAnsi="宋体" w:cs="宋体"/>
                <w:szCs w:val="21"/>
              </w:rPr>
            </w:pPr>
            <w:r>
              <w:rPr>
                <w:rFonts w:hint="eastAsia" w:ascii="宋体" w:hAnsi="宋体" w:cs="宋体"/>
                <w:szCs w:val="21"/>
              </w:rPr>
              <w:t>生产力水平</w:t>
            </w:r>
          </w:p>
        </w:tc>
        <w:tc>
          <w:tcPr>
            <w:tcW w:w="1993" w:type="dxa"/>
            <w:tcBorders>
              <w:top w:val="single" w:color="auto" w:sz="4" w:space="0"/>
              <w:left w:val="single" w:color="auto" w:sz="4" w:space="0"/>
              <w:bottom w:val="single" w:color="auto" w:sz="4" w:space="0"/>
              <w:right w:val="single" w:color="auto" w:sz="4" w:space="0"/>
            </w:tcBorders>
            <w:vAlign w:val="center"/>
          </w:tcPr>
          <w:p w14:paraId="683AB10F">
            <w:pPr>
              <w:spacing w:line="240" w:lineRule="atLeast"/>
              <w:jc w:val="center"/>
              <w:rPr>
                <w:rFonts w:hint="eastAsia" w:ascii="宋体" w:hAnsi="宋体" w:cs="宋体"/>
                <w:szCs w:val="21"/>
              </w:rPr>
            </w:pPr>
            <w:r>
              <w:rPr>
                <w:rFonts w:hint="eastAsia" w:ascii="宋体" w:hAnsi="宋体" w:cs="宋体"/>
                <w:szCs w:val="21"/>
              </w:rPr>
              <w:t>定植密度/（株/hm</w:t>
            </w:r>
            <w:r>
              <w:rPr>
                <w:rFonts w:hint="eastAsia" w:ascii="宋体" w:hAnsi="宋体" w:cs="宋体"/>
                <w:szCs w:val="21"/>
                <w:vertAlign w:val="superscript"/>
              </w:rPr>
              <w:t>2</w:t>
            </w:r>
            <w:r>
              <w:rPr>
                <w:rFonts w:hint="eastAsia" w:ascii="宋体" w:hAnsi="宋体" w:cs="宋体"/>
                <w:szCs w:val="21"/>
              </w:rPr>
              <w:t>）</w:t>
            </w:r>
          </w:p>
        </w:tc>
        <w:tc>
          <w:tcPr>
            <w:tcW w:w="3648" w:type="dxa"/>
            <w:tcBorders>
              <w:top w:val="single" w:color="auto" w:sz="4" w:space="0"/>
              <w:left w:val="single" w:color="auto" w:sz="4" w:space="0"/>
              <w:bottom w:val="single" w:color="auto" w:sz="4" w:space="0"/>
              <w:right w:val="single" w:color="auto" w:sz="4" w:space="0"/>
            </w:tcBorders>
            <w:vAlign w:val="center"/>
          </w:tcPr>
          <w:p w14:paraId="2EA76C82">
            <w:pPr>
              <w:spacing w:line="240" w:lineRule="atLeast"/>
              <w:jc w:val="center"/>
              <w:rPr>
                <w:rFonts w:hint="eastAsia" w:ascii="宋体" w:hAnsi="宋体" w:cs="宋体"/>
                <w:szCs w:val="21"/>
              </w:rPr>
            </w:pPr>
            <w:r>
              <w:rPr>
                <w:rFonts w:hint="eastAsia" w:ascii="宋体" w:hAnsi="宋体" w:cs="宋体"/>
                <w:szCs w:val="21"/>
              </w:rPr>
              <w:t>满足《造林作业设计规程》要求</w:t>
            </w:r>
          </w:p>
        </w:tc>
      </w:tr>
      <w:tr w14:paraId="2B51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tcBorders>
              <w:top w:val="single" w:color="auto" w:sz="4" w:space="0"/>
              <w:left w:val="single" w:color="auto" w:sz="4" w:space="0"/>
              <w:bottom w:val="single" w:color="auto" w:sz="4" w:space="0"/>
              <w:right w:val="single" w:color="auto" w:sz="4" w:space="0"/>
            </w:tcBorders>
            <w:vAlign w:val="center"/>
          </w:tcPr>
          <w:p w14:paraId="11D2D3E7">
            <w:pPr>
              <w:spacing w:line="240" w:lineRule="atLeast"/>
              <w:jc w:val="center"/>
              <w:rPr>
                <w:rFonts w:hint="eastAsia" w:ascii="宋体" w:hAnsi="宋体" w:cs="宋体"/>
                <w:kern w:val="0"/>
                <w:szCs w:val="21"/>
              </w:rPr>
            </w:pPr>
          </w:p>
        </w:tc>
        <w:tc>
          <w:tcPr>
            <w:tcW w:w="761" w:type="dxa"/>
            <w:vMerge w:val="continue"/>
            <w:tcBorders>
              <w:top w:val="single" w:color="auto" w:sz="4" w:space="0"/>
              <w:left w:val="single" w:color="auto" w:sz="4" w:space="0"/>
              <w:bottom w:val="single" w:color="auto" w:sz="4" w:space="0"/>
              <w:right w:val="single" w:color="auto" w:sz="4" w:space="0"/>
            </w:tcBorders>
            <w:vAlign w:val="center"/>
          </w:tcPr>
          <w:p w14:paraId="60180BE0">
            <w:pPr>
              <w:spacing w:line="240" w:lineRule="atLeast"/>
              <w:jc w:val="center"/>
              <w:rPr>
                <w:rFonts w:hint="eastAsia" w:ascii="宋体" w:hAnsi="宋体" w:cs="宋体"/>
                <w:kern w:val="0"/>
                <w:szCs w:val="21"/>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158C6ABE">
            <w:pPr>
              <w:spacing w:line="240" w:lineRule="atLeast"/>
              <w:jc w:val="center"/>
              <w:rPr>
                <w:rFonts w:hint="eastAsia" w:ascii="宋体" w:hAnsi="宋体" w:cs="宋体"/>
                <w:szCs w:val="21"/>
              </w:rPr>
            </w:pPr>
          </w:p>
        </w:tc>
        <w:tc>
          <w:tcPr>
            <w:tcW w:w="1993" w:type="dxa"/>
            <w:tcBorders>
              <w:top w:val="single" w:color="auto" w:sz="4" w:space="0"/>
              <w:left w:val="single" w:color="auto" w:sz="4" w:space="0"/>
              <w:bottom w:val="single" w:color="auto" w:sz="4" w:space="0"/>
              <w:right w:val="single" w:color="auto" w:sz="4" w:space="0"/>
            </w:tcBorders>
            <w:vAlign w:val="center"/>
          </w:tcPr>
          <w:p w14:paraId="46E7B0BF">
            <w:pPr>
              <w:spacing w:line="240" w:lineRule="atLeast"/>
              <w:jc w:val="center"/>
              <w:rPr>
                <w:rFonts w:hint="eastAsia" w:ascii="宋体" w:hAnsi="宋体" w:cs="宋体"/>
                <w:szCs w:val="21"/>
              </w:rPr>
            </w:pPr>
            <w:r>
              <w:rPr>
                <w:rFonts w:hint="eastAsia" w:ascii="宋体" w:hAnsi="宋体" w:cs="宋体"/>
                <w:szCs w:val="21"/>
              </w:rPr>
              <w:t>郁闭度</w:t>
            </w:r>
          </w:p>
        </w:tc>
        <w:tc>
          <w:tcPr>
            <w:tcW w:w="3648" w:type="dxa"/>
            <w:tcBorders>
              <w:top w:val="single" w:color="auto" w:sz="4" w:space="0"/>
              <w:left w:val="single" w:color="auto" w:sz="4" w:space="0"/>
              <w:bottom w:val="single" w:color="auto" w:sz="4" w:space="0"/>
              <w:right w:val="single" w:color="auto" w:sz="4" w:space="0"/>
            </w:tcBorders>
            <w:vAlign w:val="center"/>
          </w:tcPr>
          <w:p w14:paraId="4174724B">
            <w:pPr>
              <w:spacing w:line="240" w:lineRule="atLeast"/>
              <w:jc w:val="center"/>
              <w:rPr>
                <w:rFonts w:hint="eastAsia" w:ascii="宋体" w:hAnsi="宋体" w:cs="宋体"/>
                <w:szCs w:val="21"/>
              </w:rPr>
            </w:pPr>
            <w:r>
              <w:rPr>
                <w:rFonts w:hint="eastAsia" w:ascii="宋体" w:hAnsi="宋体" w:cs="宋体"/>
                <w:szCs w:val="21"/>
              </w:rPr>
              <w:t>≥0.30</w:t>
            </w:r>
          </w:p>
        </w:tc>
      </w:tr>
      <w:tr w14:paraId="09AAC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restart"/>
            <w:vAlign w:val="center"/>
          </w:tcPr>
          <w:p w14:paraId="6F790A2E">
            <w:pPr>
              <w:spacing w:line="240" w:lineRule="atLeast"/>
              <w:jc w:val="center"/>
              <w:rPr>
                <w:rFonts w:hint="eastAsia" w:ascii="宋体" w:hAnsi="宋体" w:cs="宋体"/>
                <w:kern w:val="0"/>
                <w:szCs w:val="21"/>
              </w:rPr>
            </w:pPr>
            <w:r>
              <w:rPr>
                <w:rFonts w:hint="eastAsia" w:ascii="宋体" w:hAnsi="宋体" w:cs="宋体"/>
                <w:kern w:val="0"/>
                <w:szCs w:val="21"/>
              </w:rPr>
              <w:t>草地</w:t>
            </w:r>
          </w:p>
        </w:tc>
        <w:tc>
          <w:tcPr>
            <w:tcW w:w="761" w:type="dxa"/>
            <w:vMerge w:val="restart"/>
            <w:vAlign w:val="center"/>
          </w:tcPr>
          <w:p w14:paraId="11888245">
            <w:pPr>
              <w:spacing w:line="240" w:lineRule="atLeast"/>
              <w:jc w:val="center"/>
              <w:rPr>
                <w:rFonts w:hint="eastAsia" w:ascii="宋体" w:hAnsi="宋体" w:cs="宋体"/>
                <w:kern w:val="0"/>
                <w:szCs w:val="21"/>
              </w:rPr>
            </w:pPr>
            <w:r>
              <w:rPr>
                <w:rFonts w:hint="eastAsia" w:ascii="宋体" w:hAnsi="宋体" w:cs="宋体"/>
                <w:kern w:val="0"/>
                <w:szCs w:val="21"/>
              </w:rPr>
              <w:t>人工牧草地</w:t>
            </w:r>
          </w:p>
        </w:tc>
        <w:tc>
          <w:tcPr>
            <w:tcW w:w="1371" w:type="dxa"/>
            <w:vAlign w:val="center"/>
          </w:tcPr>
          <w:p w14:paraId="3CFA58C6">
            <w:pPr>
              <w:spacing w:line="240" w:lineRule="atLeast"/>
              <w:jc w:val="center"/>
              <w:rPr>
                <w:rFonts w:hint="eastAsia" w:ascii="宋体" w:hAnsi="宋体" w:cs="宋体"/>
                <w:szCs w:val="21"/>
              </w:rPr>
            </w:pPr>
            <w:r>
              <w:rPr>
                <w:rFonts w:hint="eastAsia" w:ascii="宋体" w:hAnsi="宋体" w:cs="宋体"/>
                <w:kern w:val="0"/>
                <w:szCs w:val="21"/>
              </w:rPr>
              <w:t>地形</w:t>
            </w:r>
          </w:p>
        </w:tc>
        <w:tc>
          <w:tcPr>
            <w:tcW w:w="1993" w:type="dxa"/>
            <w:vAlign w:val="center"/>
          </w:tcPr>
          <w:p w14:paraId="6B2C773F">
            <w:pPr>
              <w:spacing w:line="240" w:lineRule="atLeast"/>
              <w:jc w:val="center"/>
              <w:rPr>
                <w:rFonts w:hint="eastAsia" w:ascii="宋体" w:hAnsi="宋体" w:cs="宋体"/>
                <w:szCs w:val="21"/>
              </w:rPr>
            </w:pPr>
            <w:r>
              <w:rPr>
                <w:rFonts w:hint="eastAsia" w:ascii="宋体" w:hAnsi="宋体" w:cs="宋体"/>
                <w:szCs w:val="21"/>
              </w:rPr>
              <w:t>地面坡度/°</w:t>
            </w:r>
          </w:p>
        </w:tc>
        <w:tc>
          <w:tcPr>
            <w:tcW w:w="3648" w:type="dxa"/>
            <w:vAlign w:val="center"/>
          </w:tcPr>
          <w:p w14:paraId="23E7AB7E">
            <w:pPr>
              <w:spacing w:line="240" w:lineRule="atLeast"/>
              <w:jc w:val="center"/>
              <w:rPr>
                <w:rFonts w:hint="eastAsia" w:ascii="宋体" w:hAnsi="宋体" w:cs="宋体"/>
                <w:szCs w:val="21"/>
              </w:rPr>
            </w:pPr>
            <w:r>
              <w:rPr>
                <w:rFonts w:hint="eastAsia" w:ascii="宋体" w:hAnsi="宋体" w:cs="宋体"/>
                <w:szCs w:val="21"/>
              </w:rPr>
              <w:t>≤15</w:t>
            </w:r>
          </w:p>
        </w:tc>
      </w:tr>
      <w:tr w14:paraId="2A700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vAlign w:val="center"/>
          </w:tcPr>
          <w:p w14:paraId="76C036AD">
            <w:pPr>
              <w:spacing w:line="240" w:lineRule="atLeast"/>
              <w:jc w:val="center"/>
              <w:rPr>
                <w:rFonts w:hint="eastAsia" w:ascii="宋体" w:hAnsi="宋体" w:cs="宋体"/>
                <w:kern w:val="0"/>
                <w:szCs w:val="21"/>
              </w:rPr>
            </w:pPr>
          </w:p>
        </w:tc>
        <w:tc>
          <w:tcPr>
            <w:tcW w:w="761" w:type="dxa"/>
            <w:vMerge w:val="continue"/>
            <w:vAlign w:val="center"/>
          </w:tcPr>
          <w:p w14:paraId="46FE7851">
            <w:pPr>
              <w:spacing w:line="240" w:lineRule="atLeast"/>
              <w:jc w:val="center"/>
              <w:rPr>
                <w:rFonts w:hint="eastAsia" w:ascii="宋体" w:hAnsi="宋体" w:cs="宋体"/>
                <w:kern w:val="0"/>
                <w:szCs w:val="21"/>
              </w:rPr>
            </w:pPr>
          </w:p>
        </w:tc>
        <w:tc>
          <w:tcPr>
            <w:tcW w:w="1371" w:type="dxa"/>
            <w:vMerge w:val="restart"/>
            <w:vAlign w:val="center"/>
          </w:tcPr>
          <w:p w14:paraId="2B5AA3CD">
            <w:pPr>
              <w:spacing w:line="240" w:lineRule="atLeast"/>
              <w:jc w:val="center"/>
              <w:rPr>
                <w:rFonts w:hint="eastAsia" w:ascii="宋体" w:hAnsi="宋体" w:cs="宋体"/>
                <w:kern w:val="0"/>
                <w:szCs w:val="21"/>
              </w:rPr>
            </w:pPr>
            <w:r>
              <w:rPr>
                <w:rFonts w:hint="eastAsia" w:ascii="宋体" w:hAnsi="宋体" w:cs="宋体"/>
                <w:szCs w:val="21"/>
              </w:rPr>
              <w:t>土壤质量</w:t>
            </w:r>
          </w:p>
        </w:tc>
        <w:tc>
          <w:tcPr>
            <w:tcW w:w="1993" w:type="dxa"/>
            <w:vAlign w:val="center"/>
          </w:tcPr>
          <w:p w14:paraId="4F4ACA49">
            <w:pPr>
              <w:spacing w:line="240" w:lineRule="atLeast"/>
              <w:jc w:val="center"/>
              <w:rPr>
                <w:rFonts w:hint="eastAsia" w:ascii="宋体" w:hAnsi="宋体" w:cs="宋体"/>
                <w:szCs w:val="21"/>
              </w:rPr>
            </w:pPr>
            <w:r>
              <w:rPr>
                <w:rFonts w:hint="eastAsia" w:ascii="宋体" w:hAnsi="宋体" w:cs="宋体"/>
                <w:szCs w:val="21"/>
              </w:rPr>
              <w:t>有效土层厚度/cm</w:t>
            </w:r>
          </w:p>
        </w:tc>
        <w:tc>
          <w:tcPr>
            <w:tcW w:w="3648" w:type="dxa"/>
            <w:vAlign w:val="center"/>
          </w:tcPr>
          <w:p w14:paraId="033F320F">
            <w:pPr>
              <w:spacing w:line="240" w:lineRule="atLeast"/>
              <w:jc w:val="center"/>
              <w:rPr>
                <w:rFonts w:hint="eastAsia" w:ascii="宋体" w:hAnsi="宋体" w:cs="宋体"/>
                <w:szCs w:val="21"/>
              </w:rPr>
            </w:pPr>
            <w:r>
              <w:rPr>
                <w:rFonts w:hint="eastAsia" w:ascii="宋体" w:hAnsi="宋体" w:cs="宋体"/>
                <w:szCs w:val="21"/>
              </w:rPr>
              <w:t>≥50</w:t>
            </w:r>
          </w:p>
        </w:tc>
      </w:tr>
      <w:tr w14:paraId="4258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vAlign w:val="center"/>
          </w:tcPr>
          <w:p w14:paraId="27B9BCCE">
            <w:pPr>
              <w:spacing w:line="240" w:lineRule="atLeast"/>
              <w:jc w:val="center"/>
              <w:rPr>
                <w:rFonts w:hint="eastAsia" w:ascii="宋体" w:hAnsi="宋体" w:cs="宋体"/>
                <w:kern w:val="0"/>
                <w:szCs w:val="21"/>
              </w:rPr>
            </w:pPr>
          </w:p>
        </w:tc>
        <w:tc>
          <w:tcPr>
            <w:tcW w:w="761" w:type="dxa"/>
            <w:vMerge w:val="continue"/>
            <w:vAlign w:val="center"/>
          </w:tcPr>
          <w:p w14:paraId="1B8CDFD0">
            <w:pPr>
              <w:spacing w:line="240" w:lineRule="atLeast"/>
              <w:jc w:val="center"/>
              <w:rPr>
                <w:rFonts w:hint="eastAsia" w:ascii="宋体" w:hAnsi="宋体" w:cs="宋体"/>
                <w:kern w:val="0"/>
                <w:szCs w:val="21"/>
              </w:rPr>
            </w:pPr>
          </w:p>
        </w:tc>
        <w:tc>
          <w:tcPr>
            <w:tcW w:w="1371" w:type="dxa"/>
            <w:vMerge w:val="continue"/>
            <w:vAlign w:val="center"/>
          </w:tcPr>
          <w:p w14:paraId="0672F227">
            <w:pPr>
              <w:spacing w:line="240" w:lineRule="atLeast"/>
              <w:jc w:val="center"/>
              <w:rPr>
                <w:rFonts w:hint="eastAsia" w:ascii="宋体" w:hAnsi="宋体" w:cs="宋体"/>
                <w:szCs w:val="21"/>
              </w:rPr>
            </w:pPr>
          </w:p>
        </w:tc>
        <w:tc>
          <w:tcPr>
            <w:tcW w:w="1993" w:type="dxa"/>
            <w:vAlign w:val="center"/>
          </w:tcPr>
          <w:p w14:paraId="02C06F81">
            <w:pPr>
              <w:spacing w:line="240" w:lineRule="atLeast"/>
              <w:jc w:val="center"/>
              <w:rPr>
                <w:rFonts w:hint="eastAsia" w:ascii="宋体" w:hAnsi="宋体" w:cs="宋体"/>
                <w:szCs w:val="21"/>
              </w:rPr>
            </w:pPr>
            <w:r>
              <w:rPr>
                <w:rFonts w:hint="eastAsia" w:ascii="宋体" w:hAnsi="宋体" w:cs="宋体"/>
                <w:szCs w:val="21"/>
              </w:rPr>
              <w:t>土壤容重/（g/cm</w:t>
            </w:r>
            <w:r>
              <w:rPr>
                <w:rFonts w:hint="eastAsia" w:ascii="宋体" w:hAnsi="宋体" w:cs="宋体"/>
                <w:szCs w:val="21"/>
                <w:vertAlign w:val="superscript"/>
              </w:rPr>
              <w:t>3</w:t>
            </w:r>
            <w:r>
              <w:rPr>
                <w:rFonts w:hint="eastAsia" w:ascii="宋体" w:hAnsi="宋体" w:cs="宋体"/>
                <w:szCs w:val="21"/>
              </w:rPr>
              <w:t>）</w:t>
            </w:r>
          </w:p>
        </w:tc>
        <w:tc>
          <w:tcPr>
            <w:tcW w:w="3648" w:type="dxa"/>
            <w:vAlign w:val="center"/>
          </w:tcPr>
          <w:p w14:paraId="2B825738">
            <w:pPr>
              <w:spacing w:line="240" w:lineRule="atLeast"/>
              <w:jc w:val="center"/>
              <w:rPr>
                <w:rFonts w:hint="eastAsia" w:ascii="宋体" w:hAnsi="宋体" w:cs="宋体"/>
                <w:szCs w:val="21"/>
              </w:rPr>
            </w:pPr>
            <w:r>
              <w:rPr>
                <w:rFonts w:hint="eastAsia" w:ascii="宋体" w:hAnsi="宋体" w:cs="宋体"/>
                <w:szCs w:val="21"/>
              </w:rPr>
              <w:t>≤1.4</w:t>
            </w:r>
          </w:p>
        </w:tc>
      </w:tr>
      <w:tr w14:paraId="72959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vAlign w:val="center"/>
          </w:tcPr>
          <w:p w14:paraId="6465D632">
            <w:pPr>
              <w:spacing w:line="240" w:lineRule="atLeast"/>
              <w:jc w:val="center"/>
              <w:rPr>
                <w:rFonts w:hint="eastAsia" w:ascii="宋体" w:hAnsi="宋体" w:cs="宋体"/>
                <w:kern w:val="0"/>
                <w:szCs w:val="21"/>
              </w:rPr>
            </w:pPr>
          </w:p>
        </w:tc>
        <w:tc>
          <w:tcPr>
            <w:tcW w:w="761" w:type="dxa"/>
            <w:vMerge w:val="continue"/>
            <w:vAlign w:val="center"/>
          </w:tcPr>
          <w:p w14:paraId="31D73972">
            <w:pPr>
              <w:spacing w:line="240" w:lineRule="atLeast"/>
              <w:jc w:val="center"/>
              <w:rPr>
                <w:rFonts w:hint="eastAsia" w:ascii="宋体" w:hAnsi="宋体" w:cs="宋体"/>
                <w:kern w:val="0"/>
                <w:szCs w:val="21"/>
              </w:rPr>
            </w:pPr>
          </w:p>
        </w:tc>
        <w:tc>
          <w:tcPr>
            <w:tcW w:w="1371" w:type="dxa"/>
            <w:vMerge w:val="continue"/>
            <w:vAlign w:val="center"/>
          </w:tcPr>
          <w:p w14:paraId="28C398DE">
            <w:pPr>
              <w:spacing w:line="240" w:lineRule="atLeast"/>
              <w:jc w:val="center"/>
              <w:rPr>
                <w:rFonts w:hint="eastAsia" w:ascii="宋体" w:hAnsi="宋体" w:cs="宋体"/>
                <w:szCs w:val="21"/>
              </w:rPr>
            </w:pPr>
          </w:p>
        </w:tc>
        <w:tc>
          <w:tcPr>
            <w:tcW w:w="1993" w:type="dxa"/>
            <w:vAlign w:val="center"/>
          </w:tcPr>
          <w:p w14:paraId="72CC36F1">
            <w:pPr>
              <w:spacing w:line="240" w:lineRule="atLeast"/>
              <w:jc w:val="center"/>
              <w:rPr>
                <w:rFonts w:hint="eastAsia" w:ascii="宋体" w:hAnsi="宋体" w:cs="宋体"/>
                <w:szCs w:val="21"/>
              </w:rPr>
            </w:pPr>
            <w:r>
              <w:rPr>
                <w:rFonts w:hint="eastAsia" w:ascii="宋体" w:hAnsi="宋体" w:cs="宋体"/>
                <w:szCs w:val="21"/>
              </w:rPr>
              <w:t>土壤质地</w:t>
            </w:r>
          </w:p>
        </w:tc>
        <w:tc>
          <w:tcPr>
            <w:tcW w:w="3648" w:type="dxa"/>
            <w:vAlign w:val="center"/>
          </w:tcPr>
          <w:p w14:paraId="1F64A188">
            <w:pPr>
              <w:spacing w:line="240" w:lineRule="atLeast"/>
              <w:jc w:val="center"/>
              <w:rPr>
                <w:rFonts w:hint="eastAsia" w:ascii="宋体" w:hAnsi="宋体" w:cs="宋体"/>
                <w:szCs w:val="21"/>
              </w:rPr>
            </w:pPr>
            <w:r>
              <w:rPr>
                <w:rFonts w:hint="eastAsia" w:ascii="宋体" w:hAnsi="宋体" w:cs="宋体"/>
                <w:szCs w:val="21"/>
              </w:rPr>
              <w:t>砂质壤土至砂质粘土</w:t>
            </w:r>
          </w:p>
        </w:tc>
      </w:tr>
      <w:tr w14:paraId="2B96C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vAlign w:val="center"/>
          </w:tcPr>
          <w:p w14:paraId="70468E8C">
            <w:pPr>
              <w:spacing w:line="240" w:lineRule="atLeast"/>
              <w:jc w:val="center"/>
              <w:rPr>
                <w:rFonts w:hint="eastAsia" w:ascii="宋体" w:hAnsi="宋体" w:cs="宋体"/>
                <w:kern w:val="0"/>
                <w:szCs w:val="21"/>
              </w:rPr>
            </w:pPr>
          </w:p>
        </w:tc>
        <w:tc>
          <w:tcPr>
            <w:tcW w:w="761" w:type="dxa"/>
            <w:vMerge w:val="continue"/>
            <w:vAlign w:val="center"/>
          </w:tcPr>
          <w:p w14:paraId="5DD7714A">
            <w:pPr>
              <w:spacing w:line="240" w:lineRule="atLeast"/>
              <w:jc w:val="center"/>
              <w:rPr>
                <w:rFonts w:hint="eastAsia" w:ascii="宋体" w:hAnsi="宋体" w:cs="宋体"/>
                <w:kern w:val="0"/>
                <w:szCs w:val="21"/>
              </w:rPr>
            </w:pPr>
          </w:p>
        </w:tc>
        <w:tc>
          <w:tcPr>
            <w:tcW w:w="1371" w:type="dxa"/>
            <w:vMerge w:val="continue"/>
            <w:vAlign w:val="center"/>
          </w:tcPr>
          <w:p w14:paraId="2D221B65">
            <w:pPr>
              <w:spacing w:line="240" w:lineRule="atLeast"/>
              <w:jc w:val="center"/>
              <w:rPr>
                <w:rFonts w:hint="eastAsia" w:ascii="宋体" w:hAnsi="宋体" w:cs="宋体"/>
                <w:szCs w:val="21"/>
              </w:rPr>
            </w:pPr>
          </w:p>
        </w:tc>
        <w:tc>
          <w:tcPr>
            <w:tcW w:w="1993" w:type="dxa"/>
            <w:vAlign w:val="center"/>
          </w:tcPr>
          <w:p w14:paraId="1081C0AB">
            <w:pPr>
              <w:spacing w:line="240" w:lineRule="atLeast"/>
              <w:jc w:val="center"/>
              <w:rPr>
                <w:rFonts w:hint="eastAsia" w:ascii="宋体" w:hAnsi="宋体" w:cs="宋体"/>
                <w:szCs w:val="21"/>
              </w:rPr>
            </w:pPr>
            <w:r>
              <w:rPr>
                <w:rFonts w:hint="eastAsia" w:ascii="宋体" w:hAnsi="宋体" w:cs="宋体"/>
                <w:szCs w:val="21"/>
              </w:rPr>
              <w:t>砾石含量/%</w:t>
            </w:r>
          </w:p>
        </w:tc>
        <w:tc>
          <w:tcPr>
            <w:tcW w:w="3648" w:type="dxa"/>
            <w:vAlign w:val="center"/>
          </w:tcPr>
          <w:p w14:paraId="5CC924D4">
            <w:pPr>
              <w:spacing w:line="240" w:lineRule="atLeast"/>
              <w:jc w:val="center"/>
              <w:rPr>
                <w:rFonts w:hint="eastAsia" w:ascii="宋体" w:hAnsi="宋体" w:cs="宋体"/>
                <w:szCs w:val="21"/>
              </w:rPr>
            </w:pPr>
            <w:r>
              <w:rPr>
                <w:rFonts w:hint="eastAsia" w:ascii="宋体" w:hAnsi="宋体" w:cs="宋体"/>
                <w:szCs w:val="21"/>
              </w:rPr>
              <w:t>≤5</w:t>
            </w:r>
          </w:p>
        </w:tc>
      </w:tr>
      <w:tr w14:paraId="41105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vAlign w:val="center"/>
          </w:tcPr>
          <w:p w14:paraId="529707DB">
            <w:pPr>
              <w:spacing w:line="240" w:lineRule="atLeast"/>
              <w:jc w:val="center"/>
              <w:rPr>
                <w:rFonts w:hint="eastAsia" w:ascii="宋体" w:hAnsi="宋体" w:cs="宋体"/>
                <w:kern w:val="0"/>
                <w:szCs w:val="21"/>
              </w:rPr>
            </w:pPr>
          </w:p>
        </w:tc>
        <w:tc>
          <w:tcPr>
            <w:tcW w:w="761" w:type="dxa"/>
            <w:vMerge w:val="continue"/>
            <w:vAlign w:val="center"/>
          </w:tcPr>
          <w:p w14:paraId="0715343A">
            <w:pPr>
              <w:spacing w:line="240" w:lineRule="atLeast"/>
              <w:jc w:val="center"/>
              <w:rPr>
                <w:rFonts w:hint="eastAsia" w:ascii="宋体" w:hAnsi="宋体" w:cs="宋体"/>
                <w:kern w:val="0"/>
                <w:szCs w:val="21"/>
              </w:rPr>
            </w:pPr>
          </w:p>
        </w:tc>
        <w:tc>
          <w:tcPr>
            <w:tcW w:w="1371" w:type="dxa"/>
            <w:vMerge w:val="continue"/>
            <w:vAlign w:val="center"/>
          </w:tcPr>
          <w:p w14:paraId="53815C7A">
            <w:pPr>
              <w:spacing w:line="240" w:lineRule="atLeast"/>
              <w:jc w:val="center"/>
              <w:rPr>
                <w:rFonts w:hint="eastAsia" w:ascii="宋体" w:hAnsi="宋体" w:cs="宋体"/>
                <w:szCs w:val="21"/>
              </w:rPr>
            </w:pPr>
          </w:p>
        </w:tc>
        <w:tc>
          <w:tcPr>
            <w:tcW w:w="1993" w:type="dxa"/>
            <w:vAlign w:val="center"/>
          </w:tcPr>
          <w:p w14:paraId="24C59222">
            <w:pPr>
              <w:spacing w:line="240" w:lineRule="atLeast"/>
              <w:jc w:val="center"/>
              <w:rPr>
                <w:rFonts w:hint="eastAsia" w:ascii="宋体" w:hAnsi="宋体" w:cs="宋体"/>
                <w:szCs w:val="21"/>
              </w:rPr>
            </w:pPr>
            <w:r>
              <w:rPr>
                <w:rFonts w:hint="eastAsia" w:ascii="宋体" w:hAnsi="宋体" w:cs="宋体"/>
                <w:szCs w:val="21"/>
              </w:rPr>
              <w:t>pH值</w:t>
            </w:r>
          </w:p>
        </w:tc>
        <w:tc>
          <w:tcPr>
            <w:tcW w:w="3648" w:type="dxa"/>
            <w:vAlign w:val="center"/>
          </w:tcPr>
          <w:p w14:paraId="4A83E5B6">
            <w:pPr>
              <w:spacing w:line="240" w:lineRule="atLeast"/>
              <w:jc w:val="center"/>
              <w:rPr>
                <w:rFonts w:hint="eastAsia" w:ascii="宋体" w:hAnsi="宋体" w:cs="宋体"/>
                <w:szCs w:val="21"/>
              </w:rPr>
            </w:pPr>
            <w:r>
              <w:rPr>
                <w:rFonts w:hint="eastAsia" w:ascii="宋体" w:hAnsi="宋体" w:cs="宋体"/>
                <w:szCs w:val="21"/>
              </w:rPr>
              <w:t>6.5-8.0</w:t>
            </w:r>
          </w:p>
        </w:tc>
      </w:tr>
      <w:tr w14:paraId="2CB8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vAlign w:val="center"/>
          </w:tcPr>
          <w:p w14:paraId="2BB0A526">
            <w:pPr>
              <w:spacing w:line="240" w:lineRule="atLeast"/>
              <w:jc w:val="center"/>
              <w:rPr>
                <w:rFonts w:hint="eastAsia" w:ascii="宋体" w:hAnsi="宋体" w:cs="宋体"/>
                <w:kern w:val="0"/>
                <w:szCs w:val="21"/>
              </w:rPr>
            </w:pPr>
          </w:p>
        </w:tc>
        <w:tc>
          <w:tcPr>
            <w:tcW w:w="761" w:type="dxa"/>
            <w:vMerge w:val="continue"/>
            <w:vAlign w:val="center"/>
          </w:tcPr>
          <w:p w14:paraId="32BC73BA">
            <w:pPr>
              <w:spacing w:line="240" w:lineRule="atLeast"/>
              <w:jc w:val="center"/>
              <w:rPr>
                <w:rFonts w:hint="eastAsia" w:ascii="宋体" w:hAnsi="宋体" w:cs="宋体"/>
                <w:kern w:val="0"/>
                <w:szCs w:val="21"/>
              </w:rPr>
            </w:pPr>
          </w:p>
        </w:tc>
        <w:tc>
          <w:tcPr>
            <w:tcW w:w="1371" w:type="dxa"/>
            <w:vMerge w:val="continue"/>
            <w:vAlign w:val="center"/>
          </w:tcPr>
          <w:p w14:paraId="02B08702">
            <w:pPr>
              <w:spacing w:line="240" w:lineRule="atLeast"/>
              <w:jc w:val="center"/>
              <w:rPr>
                <w:rFonts w:hint="eastAsia" w:ascii="宋体" w:hAnsi="宋体" w:cs="宋体"/>
                <w:szCs w:val="21"/>
              </w:rPr>
            </w:pPr>
          </w:p>
        </w:tc>
        <w:tc>
          <w:tcPr>
            <w:tcW w:w="1993" w:type="dxa"/>
            <w:vAlign w:val="center"/>
          </w:tcPr>
          <w:p w14:paraId="4938026F">
            <w:pPr>
              <w:spacing w:line="240" w:lineRule="atLeast"/>
              <w:jc w:val="center"/>
              <w:rPr>
                <w:rFonts w:hint="eastAsia" w:ascii="宋体" w:hAnsi="宋体" w:cs="宋体"/>
                <w:szCs w:val="21"/>
              </w:rPr>
            </w:pPr>
            <w:r>
              <w:rPr>
                <w:rFonts w:hint="eastAsia" w:ascii="宋体" w:hAnsi="宋体" w:cs="宋体"/>
                <w:szCs w:val="21"/>
              </w:rPr>
              <w:t>有机质/%</w:t>
            </w:r>
          </w:p>
        </w:tc>
        <w:tc>
          <w:tcPr>
            <w:tcW w:w="3648" w:type="dxa"/>
            <w:vAlign w:val="center"/>
          </w:tcPr>
          <w:p w14:paraId="04C24AB3">
            <w:pPr>
              <w:spacing w:line="240" w:lineRule="atLeast"/>
              <w:jc w:val="center"/>
              <w:rPr>
                <w:rFonts w:hint="eastAsia" w:ascii="宋体" w:hAnsi="宋体" w:cs="宋体"/>
                <w:szCs w:val="21"/>
              </w:rPr>
            </w:pPr>
            <w:r>
              <w:rPr>
                <w:rFonts w:hint="eastAsia" w:ascii="宋体" w:hAnsi="宋体" w:cs="宋体"/>
                <w:szCs w:val="21"/>
              </w:rPr>
              <w:t>≥2</w:t>
            </w:r>
          </w:p>
        </w:tc>
      </w:tr>
      <w:tr w14:paraId="6C41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vAlign w:val="center"/>
          </w:tcPr>
          <w:p w14:paraId="3A73E431">
            <w:pPr>
              <w:spacing w:line="240" w:lineRule="atLeast"/>
              <w:jc w:val="center"/>
              <w:rPr>
                <w:rFonts w:hint="eastAsia" w:ascii="宋体" w:hAnsi="宋体" w:cs="宋体"/>
                <w:kern w:val="0"/>
                <w:szCs w:val="21"/>
              </w:rPr>
            </w:pPr>
          </w:p>
        </w:tc>
        <w:tc>
          <w:tcPr>
            <w:tcW w:w="761" w:type="dxa"/>
            <w:vMerge w:val="continue"/>
            <w:vAlign w:val="center"/>
          </w:tcPr>
          <w:p w14:paraId="0B05EE6A">
            <w:pPr>
              <w:spacing w:line="240" w:lineRule="atLeast"/>
              <w:jc w:val="center"/>
              <w:rPr>
                <w:rFonts w:hint="eastAsia" w:ascii="宋体" w:hAnsi="宋体" w:cs="宋体"/>
                <w:kern w:val="0"/>
                <w:szCs w:val="21"/>
              </w:rPr>
            </w:pPr>
          </w:p>
        </w:tc>
        <w:tc>
          <w:tcPr>
            <w:tcW w:w="1371" w:type="dxa"/>
            <w:vMerge w:val="restart"/>
            <w:vAlign w:val="center"/>
          </w:tcPr>
          <w:p w14:paraId="7D981E56">
            <w:pPr>
              <w:spacing w:line="240" w:lineRule="atLeast"/>
              <w:jc w:val="center"/>
              <w:rPr>
                <w:rFonts w:hint="eastAsia" w:ascii="宋体" w:hAnsi="宋体" w:cs="宋体"/>
                <w:szCs w:val="21"/>
              </w:rPr>
            </w:pPr>
            <w:r>
              <w:rPr>
                <w:rFonts w:hint="eastAsia" w:ascii="宋体" w:hAnsi="宋体" w:cs="宋体"/>
                <w:szCs w:val="21"/>
              </w:rPr>
              <w:t>配套设施</w:t>
            </w:r>
          </w:p>
        </w:tc>
        <w:tc>
          <w:tcPr>
            <w:tcW w:w="1993" w:type="dxa"/>
            <w:vAlign w:val="center"/>
          </w:tcPr>
          <w:p w14:paraId="4FD0D489">
            <w:pPr>
              <w:spacing w:line="240" w:lineRule="atLeast"/>
              <w:jc w:val="center"/>
              <w:rPr>
                <w:rFonts w:hint="eastAsia" w:ascii="宋体" w:hAnsi="宋体" w:cs="宋体"/>
                <w:szCs w:val="21"/>
              </w:rPr>
            </w:pPr>
            <w:r>
              <w:rPr>
                <w:rFonts w:hint="eastAsia" w:ascii="宋体" w:hAnsi="宋体" w:cs="宋体"/>
                <w:szCs w:val="21"/>
              </w:rPr>
              <w:t>灌溉</w:t>
            </w:r>
          </w:p>
        </w:tc>
        <w:tc>
          <w:tcPr>
            <w:tcW w:w="3648" w:type="dxa"/>
            <w:vMerge w:val="restart"/>
            <w:vAlign w:val="center"/>
          </w:tcPr>
          <w:p w14:paraId="19765906">
            <w:pPr>
              <w:spacing w:line="240" w:lineRule="atLeast"/>
              <w:jc w:val="center"/>
              <w:rPr>
                <w:rFonts w:hint="eastAsia" w:ascii="宋体" w:hAnsi="宋体" w:cs="宋体"/>
                <w:szCs w:val="21"/>
              </w:rPr>
            </w:pPr>
            <w:r>
              <w:rPr>
                <w:rFonts w:hint="eastAsia" w:ascii="宋体" w:hAnsi="宋体" w:cs="宋体"/>
                <w:szCs w:val="21"/>
              </w:rPr>
              <w:t>达到当地各行业工程建设标准要求</w:t>
            </w:r>
          </w:p>
        </w:tc>
      </w:tr>
      <w:tr w14:paraId="0859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vAlign w:val="center"/>
          </w:tcPr>
          <w:p w14:paraId="39FD02BA">
            <w:pPr>
              <w:spacing w:line="240" w:lineRule="atLeast"/>
              <w:jc w:val="center"/>
              <w:rPr>
                <w:rFonts w:hint="eastAsia" w:ascii="宋体" w:hAnsi="宋体" w:cs="宋体"/>
                <w:kern w:val="0"/>
                <w:szCs w:val="21"/>
              </w:rPr>
            </w:pPr>
          </w:p>
        </w:tc>
        <w:tc>
          <w:tcPr>
            <w:tcW w:w="761" w:type="dxa"/>
            <w:vMerge w:val="continue"/>
            <w:vAlign w:val="center"/>
          </w:tcPr>
          <w:p w14:paraId="3A5E75A8">
            <w:pPr>
              <w:spacing w:line="240" w:lineRule="atLeast"/>
              <w:jc w:val="center"/>
              <w:rPr>
                <w:rFonts w:hint="eastAsia" w:ascii="宋体" w:hAnsi="宋体" w:cs="宋体"/>
                <w:kern w:val="0"/>
                <w:szCs w:val="21"/>
              </w:rPr>
            </w:pPr>
          </w:p>
        </w:tc>
        <w:tc>
          <w:tcPr>
            <w:tcW w:w="1371" w:type="dxa"/>
            <w:vMerge w:val="continue"/>
            <w:vAlign w:val="center"/>
          </w:tcPr>
          <w:p w14:paraId="54D490F0">
            <w:pPr>
              <w:spacing w:line="240" w:lineRule="atLeast"/>
              <w:jc w:val="center"/>
              <w:rPr>
                <w:rFonts w:hint="eastAsia" w:ascii="宋体" w:hAnsi="宋体" w:cs="宋体"/>
                <w:szCs w:val="21"/>
              </w:rPr>
            </w:pPr>
          </w:p>
        </w:tc>
        <w:tc>
          <w:tcPr>
            <w:tcW w:w="1993" w:type="dxa"/>
            <w:vAlign w:val="center"/>
          </w:tcPr>
          <w:p w14:paraId="79C91808">
            <w:pPr>
              <w:spacing w:line="240" w:lineRule="atLeast"/>
              <w:jc w:val="center"/>
              <w:rPr>
                <w:rFonts w:hint="eastAsia" w:ascii="宋体" w:hAnsi="宋体" w:cs="宋体"/>
                <w:szCs w:val="21"/>
              </w:rPr>
            </w:pPr>
            <w:r>
              <w:rPr>
                <w:rFonts w:hint="eastAsia" w:ascii="宋体" w:hAnsi="宋体" w:cs="宋体"/>
                <w:szCs w:val="21"/>
              </w:rPr>
              <w:t>道路</w:t>
            </w:r>
          </w:p>
        </w:tc>
        <w:tc>
          <w:tcPr>
            <w:tcW w:w="3648" w:type="dxa"/>
            <w:vMerge w:val="continue"/>
            <w:vAlign w:val="center"/>
          </w:tcPr>
          <w:p w14:paraId="32ABEABC">
            <w:pPr>
              <w:spacing w:line="240" w:lineRule="atLeast"/>
              <w:jc w:val="center"/>
              <w:rPr>
                <w:rFonts w:hint="eastAsia" w:ascii="宋体" w:hAnsi="宋体" w:cs="宋体"/>
                <w:szCs w:val="21"/>
              </w:rPr>
            </w:pPr>
          </w:p>
        </w:tc>
      </w:tr>
      <w:tr w14:paraId="1873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vAlign w:val="center"/>
          </w:tcPr>
          <w:p w14:paraId="59ED8025">
            <w:pPr>
              <w:spacing w:line="240" w:lineRule="atLeast"/>
              <w:jc w:val="center"/>
              <w:rPr>
                <w:rFonts w:hint="eastAsia" w:ascii="宋体" w:hAnsi="宋体" w:cs="宋体"/>
                <w:kern w:val="0"/>
                <w:szCs w:val="21"/>
              </w:rPr>
            </w:pPr>
          </w:p>
        </w:tc>
        <w:tc>
          <w:tcPr>
            <w:tcW w:w="761" w:type="dxa"/>
            <w:vMerge w:val="continue"/>
            <w:vAlign w:val="center"/>
          </w:tcPr>
          <w:p w14:paraId="0759F5EB">
            <w:pPr>
              <w:spacing w:line="240" w:lineRule="atLeast"/>
              <w:jc w:val="center"/>
              <w:rPr>
                <w:rFonts w:hint="eastAsia" w:ascii="宋体" w:hAnsi="宋体" w:cs="宋体"/>
                <w:kern w:val="0"/>
                <w:szCs w:val="21"/>
              </w:rPr>
            </w:pPr>
          </w:p>
        </w:tc>
        <w:tc>
          <w:tcPr>
            <w:tcW w:w="1371" w:type="dxa"/>
            <w:vMerge w:val="restart"/>
            <w:vAlign w:val="center"/>
          </w:tcPr>
          <w:p w14:paraId="213BF01F">
            <w:pPr>
              <w:spacing w:line="240" w:lineRule="atLeast"/>
              <w:jc w:val="center"/>
              <w:rPr>
                <w:rFonts w:hint="eastAsia" w:ascii="宋体" w:hAnsi="宋体" w:cs="宋体"/>
                <w:szCs w:val="21"/>
              </w:rPr>
            </w:pPr>
            <w:r>
              <w:rPr>
                <w:rFonts w:hint="eastAsia" w:ascii="宋体" w:hAnsi="宋体" w:cs="宋体"/>
                <w:szCs w:val="21"/>
              </w:rPr>
              <w:t>生产力水平</w:t>
            </w:r>
          </w:p>
        </w:tc>
        <w:tc>
          <w:tcPr>
            <w:tcW w:w="1993" w:type="dxa"/>
            <w:vAlign w:val="center"/>
          </w:tcPr>
          <w:p w14:paraId="13778E23">
            <w:pPr>
              <w:spacing w:line="240" w:lineRule="atLeast"/>
              <w:jc w:val="center"/>
              <w:rPr>
                <w:rFonts w:hint="eastAsia" w:ascii="宋体" w:hAnsi="宋体" w:cs="宋体"/>
                <w:szCs w:val="21"/>
              </w:rPr>
            </w:pPr>
            <w:r>
              <w:rPr>
                <w:rFonts w:hint="eastAsia" w:ascii="宋体" w:hAnsi="宋体" w:cs="宋体"/>
                <w:szCs w:val="21"/>
              </w:rPr>
              <w:t>覆盖度/%</w:t>
            </w:r>
          </w:p>
        </w:tc>
        <w:tc>
          <w:tcPr>
            <w:tcW w:w="3648" w:type="dxa"/>
            <w:vAlign w:val="center"/>
          </w:tcPr>
          <w:p w14:paraId="6C948305">
            <w:pPr>
              <w:spacing w:line="240" w:lineRule="atLeast"/>
              <w:jc w:val="center"/>
              <w:rPr>
                <w:rFonts w:hint="eastAsia" w:ascii="宋体" w:hAnsi="宋体" w:cs="宋体"/>
                <w:szCs w:val="21"/>
              </w:rPr>
            </w:pPr>
            <w:r>
              <w:rPr>
                <w:rFonts w:hint="eastAsia" w:ascii="宋体" w:hAnsi="宋体" w:cs="宋体"/>
                <w:szCs w:val="21"/>
              </w:rPr>
              <w:t>≥30</w:t>
            </w:r>
          </w:p>
        </w:tc>
      </w:tr>
      <w:tr w14:paraId="16D3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65" w:type="dxa"/>
            <w:vMerge w:val="continue"/>
            <w:vAlign w:val="center"/>
          </w:tcPr>
          <w:p w14:paraId="17941DF8">
            <w:pPr>
              <w:spacing w:line="240" w:lineRule="atLeast"/>
              <w:jc w:val="center"/>
              <w:rPr>
                <w:rFonts w:hint="eastAsia" w:ascii="宋体" w:hAnsi="宋体" w:cs="宋体"/>
                <w:kern w:val="0"/>
                <w:szCs w:val="21"/>
              </w:rPr>
            </w:pPr>
          </w:p>
        </w:tc>
        <w:tc>
          <w:tcPr>
            <w:tcW w:w="761" w:type="dxa"/>
            <w:vMerge w:val="continue"/>
            <w:vAlign w:val="center"/>
          </w:tcPr>
          <w:p w14:paraId="284E6E70">
            <w:pPr>
              <w:spacing w:line="240" w:lineRule="atLeast"/>
              <w:jc w:val="center"/>
              <w:rPr>
                <w:rFonts w:hint="eastAsia" w:ascii="宋体" w:hAnsi="宋体" w:cs="宋体"/>
                <w:kern w:val="0"/>
                <w:szCs w:val="21"/>
              </w:rPr>
            </w:pPr>
          </w:p>
        </w:tc>
        <w:tc>
          <w:tcPr>
            <w:tcW w:w="1371" w:type="dxa"/>
            <w:vMerge w:val="continue"/>
            <w:vAlign w:val="center"/>
          </w:tcPr>
          <w:p w14:paraId="63EF9321">
            <w:pPr>
              <w:spacing w:line="240" w:lineRule="atLeast"/>
              <w:jc w:val="center"/>
              <w:rPr>
                <w:rFonts w:hint="eastAsia" w:ascii="宋体" w:hAnsi="宋体" w:cs="宋体"/>
                <w:szCs w:val="21"/>
              </w:rPr>
            </w:pPr>
          </w:p>
        </w:tc>
        <w:tc>
          <w:tcPr>
            <w:tcW w:w="1993" w:type="dxa"/>
            <w:vAlign w:val="center"/>
          </w:tcPr>
          <w:p w14:paraId="78EC4E06">
            <w:pPr>
              <w:spacing w:line="240" w:lineRule="atLeast"/>
              <w:jc w:val="center"/>
              <w:rPr>
                <w:rFonts w:hint="eastAsia" w:ascii="宋体" w:hAnsi="宋体" w:cs="宋体"/>
                <w:szCs w:val="21"/>
              </w:rPr>
            </w:pPr>
            <w:r>
              <w:rPr>
                <w:rFonts w:hint="eastAsia" w:ascii="宋体" w:hAnsi="宋体" w:cs="宋体"/>
                <w:szCs w:val="21"/>
              </w:rPr>
              <w:t>产量/（kg/hm</w:t>
            </w:r>
            <w:r>
              <w:rPr>
                <w:rFonts w:hint="eastAsia" w:ascii="宋体" w:hAnsi="宋体" w:cs="宋体"/>
                <w:szCs w:val="21"/>
                <w:vertAlign w:val="superscript"/>
              </w:rPr>
              <w:t>2</w:t>
            </w:r>
            <w:r>
              <w:rPr>
                <w:rFonts w:hint="eastAsia" w:ascii="宋体" w:hAnsi="宋体" w:cs="宋体"/>
                <w:szCs w:val="21"/>
              </w:rPr>
              <w:t>）</w:t>
            </w:r>
          </w:p>
        </w:tc>
        <w:tc>
          <w:tcPr>
            <w:tcW w:w="3648" w:type="dxa"/>
            <w:vAlign w:val="center"/>
          </w:tcPr>
          <w:p w14:paraId="1C7A31BF">
            <w:pPr>
              <w:spacing w:line="240" w:lineRule="atLeast"/>
              <w:jc w:val="center"/>
              <w:rPr>
                <w:rFonts w:hint="eastAsia" w:ascii="宋体" w:hAnsi="宋体" w:cs="宋体"/>
                <w:szCs w:val="21"/>
              </w:rPr>
            </w:pPr>
            <w:r>
              <w:rPr>
                <w:rFonts w:hint="eastAsia" w:ascii="宋体" w:hAnsi="宋体" w:cs="宋体"/>
                <w:szCs w:val="21"/>
              </w:rPr>
              <w:t>三年后达到周边同等土地类型水平</w:t>
            </w:r>
          </w:p>
        </w:tc>
      </w:tr>
    </w:tbl>
    <w:p w14:paraId="3C747337">
      <w:pPr>
        <w:pStyle w:val="115"/>
        <w:rPr>
          <w:rFonts w:ascii="Times New Roman" w:hAnsi="Times New Roman" w:eastAsia="黑体" w:cs="Times New Roman"/>
          <w:sz w:val="24"/>
          <w:szCs w:val="24"/>
        </w:rPr>
      </w:pPr>
    </w:p>
    <w:p w14:paraId="5A74E69C">
      <w:pPr>
        <w:pStyle w:val="113"/>
        <w:spacing w:line="360" w:lineRule="auto"/>
        <w:ind w:firstLine="562"/>
        <w:outlineLvl w:val="2"/>
        <w:rPr>
          <w:rFonts w:eastAsia="宋体"/>
          <w:b/>
          <w:szCs w:val="28"/>
          <w:lang w:val="en-US"/>
        </w:rPr>
      </w:pPr>
      <w:r>
        <w:rPr>
          <w:rFonts w:eastAsia="宋体"/>
          <w:b/>
          <w:szCs w:val="28"/>
          <w:lang w:val="en-US"/>
        </w:rPr>
        <w:t>三、边开采、边修复可行性分析</w:t>
      </w:r>
    </w:p>
    <w:p w14:paraId="51BFE283">
      <w:pPr>
        <w:pStyle w:val="113"/>
        <w:spacing w:line="360" w:lineRule="auto"/>
        <w:ind w:firstLine="560"/>
        <w:rPr>
          <w:rFonts w:eastAsia="宋体"/>
          <w:bCs/>
          <w:szCs w:val="28"/>
        </w:rPr>
      </w:pPr>
      <w:r>
        <w:rPr>
          <w:rFonts w:eastAsia="宋体"/>
          <w:bCs/>
          <w:szCs w:val="28"/>
        </w:rPr>
        <w:t>边开采、边修复模式通过将矿山开采与生态修复在时空上同步规划与实施，具备显著的技术可行性与经济合理性。在技术层面，现代矿山开采技术可实现采场作业面的精准控制，结合遥感监测、土壤重构、植被重建等生态修复技术，能够在开采过程中同步开展初期植被恢复，有效降低后期大规模修复的技术难度；经济层面，该模式可通过优化剥离物堆存与再利用方案、减少后期修复的土方转运成本、提前实现复垦修复收益等方式，降低整体工程成本，同时避免生态环境破坏后的高额生态修复费用；生态层面，同步修复能最大限度减少地表裸露时间，降低水土流失、扬尘污染等生态风险，维护区域生态系统的连续性与稳定性。</w:t>
      </w:r>
    </w:p>
    <w:p w14:paraId="49618E63">
      <w:pPr>
        <w:pStyle w:val="113"/>
        <w:spacing w:line="360" w:lineRule="auto"/>
        <w:ind w:firstLine="560"/>
        <w:rPr>
          <w:rFonts w:eastAsia="宋体"/>
          <w:szCs w:val="28"/>
        </w:rPr>
      </w:pPr>
      <w:r>
        <w:rPr>
          <w:rFonts w:eastAsia="宋体"/>
          <w:szCs w:val="28"/>
        </w:rPr>
        <w:t>根据矿山征用永久性建设用地土地使用证范围，以及拟征用的范围对各单元进行边开采、边修复可行性分析。</w:t>
      </w:r>
    </w:p>
    <w:p w14:paraId="3EA03ACA">
      <w:pPr>
        <w:pStyle w:val="113"/>
        <w:spacing w:line="360" w:lineRule="auto"/>
        <w:ind w:firstLine="560"/>
        <w:rPr>
          <w:rFonts w:eastAsia="宋体"/>
          <w:bCs/>
          <w:szCs w:val="28"/>
        </w:rPr>
      </w:pPr>
      <w:r>
        <w:rPr>
          <w:rFonts w:eastAsia="宋体"/>
          <w:bCs/>
          <w:szCs w:val="28"/>
        </w:rPr>
        <w:t>根据</w:t>
      </w:r>
      <w:r>
        <w:rPr>
          <w:rFonts w:hint="eastAsia" w:eastAsia="宋体"/>
          <w:bCs/>
          <w:szCs w:val="28"/>
        </w:rPr>
        <w:t>矿山计划及</w:t>
      </w:r>
      <w:r>
        <w:rPr>
          <w:rFonts w:eastAsia="宋体"/>
          <w:bCs/>
          <w:szCs w:val="28"/>
        </w:rPr>
        <w:t>《开发利用方案》规划，</w:t>
      </w:r>
      <w:r>
        <w:rPr>
          <w:rFonts w:hint="eastAsia" w:eastAsia="宋体"/>
          <w:bCs/>
          <w:szCs w:val="28"/>
        </w:rPr>
        <w:t>矿山后续将继续沿用现状工业场地，矿山后续建设将新建排土场、新建办公生活区、新建截洪沟、新建矿区道路。上述场地近期不进行治理，计划矿山闭坑后修复管护期治理。</w:t>
      </w:r>
    </w:p>
    <w:p w14:paraId="23FC3485">
      <w:pPr>
        <w:pStyle w:val="113"/>
        <w:spacing w:line="360" w:lineRule="auto"/>
        <w:ind w:firstLine="560"/>
        <w:rPr>
          <w:rFonts w:eastAsia="宋体"/>
          <w:bCs/>
          <w:szCs w:val="28"/>
        </w:rPr>
      </w:pPr>
      <w:r>
        <w:rPr>
          <w:rFonts w:hint="eastAsia" w:eastAsia="宋体"/>
          <w:bCs/>
          <w:szCs w:val="28"/>
        </w:rPr>
        <w:t>其它《开发利用方案》不再继续利用的场地（现状矿区外的露天采场、废石场1、废石场2、废石场3、办公区、生活区、门卫、钻机平台），</w:t>
      </w:r>
      <w:r>
        <w:rPr>
          <w:rFonts w:eastAsia="宋体"/>
          <w:bCs/>
          <w:szCs w:val="28"/>
        </w:rPr>
        <w:t>具备边开采、边修复条件。</w:t>
      </w:r>
      <w:r>
        <w:rPr>
          <w:rFonts w:eastAsiaTheme="minorEastAsia"/>
          <w:szCs w:val="28"/>
        </w:rPr>
        <w:t>上述场地矿山未</w:t>
      </w:r>
      <w:r>
        <w:rPr>
          <w:rFonts w:eastAsia="宋体"/>
          <w:bCs/>
          <w:szCs w:val="28"/>
        </w:rPr>
        <w:t>来开采无需使用</w:t>
      </w:r>
      <w:r>
        <w:rPr>
          <w:rFonts w:hint="eastAsia" w:eastAsia="宋体"/>
          <w:bCs/>
          <w:szCs w:val="28"/>
        </w:rPr>
        <w:t>，</w:t>
      </w:r>
      <w:r>
        <w:rPr>
          <w:rFonts w:eastAsiaTheme="minorEastAsia"/>
          <w:szCs w:val="28"/>
        </w:rPr>
        <w:t>上述场地矿山未</w:t>
      </w:r>
      <w:r>
        <w:rPr>
          <w:rFonts w:eastAsia="宋体"/>
          <w:bCs/>
          <w:szCs w:val="28"/>
        </w:rPr>
        <w:t>来开采无需使用</w:t>
      </w:r>
      <w:r>
        <w:rPr>
          <w:rFonts w:hint="eastAsia" w:eastAsia="宋体"/>
          <w:bCs/>
          <w:szCs w:val="28"/>
        </w:rPr>
        <w:t>，且不在矿山建设用地土地使用证范围内</w:t>
      </w:r>
      <w:r>
        <w:rPr>
          <w:rFonts w:eastAsia="宋体"/>
          <w:bCs/>
          <w:szCs w:val="28"/>
        </w:rPr>
        <w:t>，本方案本着边开采、边修复的原则，结合矿山实际情况，将上述场地近三年治理（</w:t>
      </w:r>
      <w:r>
        <w:rPr>
          <w:rFonts w:hint="eastAsia" w:ascii="宋体" w:hAnsi="宋体" w:cs="宋体"/>
          <w:spacing w:val="13"/>
          <w:sz w:val="32"/>
          <w:szCs w:val="32"/>
          <w:lang w:val="en-US"/>
        </w:rPr>
        <w:t>***</w:t>
      </w:r>
      <w:r>
        <w:rPr>
          <w:rFonts w:eastAsia="宋体"/>
          <w:bCs/>
          <w:szCs w:val="28"/>
        </w:rPr>
        <w:t>-</w:t>
      </w:r>
      <w:r>
        <w:rPr>
          <w:rFonts w:hint="eastAsia" w:ascii="宋体" w:hAnsi="宋体" w:cs="宋体"/>
          <w:spacing w:val="13"/>
          <w:sz w:val="32"/>
          <w:szCs w:val="32"/>
          <w:lang w:val="en-US"/>
        </w:rPr>
        <w:t>***</w:t>
      </w:r>
      <w:r>
        <w:rPr>
          <w:rFonts w:eastAsia="宋体"/>
          <w:bCs/>
          <w:szCs w:val="28"/>
        </w:rPr>
        <w:t>）。</w:t>
      </w:r>
    </w:p>
    <w:p w14:paraId="1D77A3B1">
      <w:pPr>
        <w:pStyle w:val="4"/>
        <w:spacing w:before="120" w:beforeLines="50"/>
        <w:rPr>
          <w:rFonts w:ascii="Times New Roman" w:hAnsi="Times New Roman"/>
        </w:rPr>
      </w:pPr>
      <w:bookmarkStart w:id="121" w:name="_Toc12586"/>
      <w:r>
        <w:rPr>
          <w:rFonts w:ascii="Times New Roman" w:hAnsi="Times New Roman"/>
        </w:rPr>
        <w:t>第三节  生态修复分区及修复时序安排</w:t>
      </w:r>
      <w:bookmarkEnd w:id="121"/>
    </w:p>
    <w:p w14:paraId="11CF7AD2">
      <w:pPr>
        <w:pStyle w:val="88"/>
        <w:spacing w:line="360" w:lineRule="auto"/>
        <w:ind w:firstLine="562" w:firstLineChars="200"/>
        <w:jc w:val="both"/>
        <w:outlineLvl w:val="2"/>
        <w:rPr>
          <w:rFonts w:ascii="Times New Roman" w:cs="Times New Roman"/>
          <w:b/>
          <w:bCs/>
          <w:color w:val="auto"/>
          <w:sz w:val="28"/>
          <w:szCs w:val="28"/>
        </w:rPr>
      </w:pPr>
      <w:r>
        <w:rPr>
          <w:rFonts w:ascii="Times New Roman" w:cs="Times New Roman"/>
          <w:b/>
          <w:bCs/>
          <w:color w:val="auto"/>
          <w:sz w:val="28"/>
          <w:szCs w:val="28"/>
        </w:rPr>
        <w:t>一、矿区生态修复分区</w:t>
      </w:r>
    </w:p>
    <w:p w14:paraId="5FA782A2">
      <w:pPr>
        <w:spacing w:line="360" w:lineRule="auto"/>
        <w:ind w:firstLine="562" w:firstLineChars="200"/>
        <w:outlineLvl w:val="3"/>
        <w:rPr>
          <w:rFonts w:eastAsiaTheme="minorEastAsia"/>
          <w:b/>
          <w:bCs/>
          <w:sz w:val="28"/>
          <w:szCs w:val="28"/>
        </w:rPr>
      </w:pPr>
      <w:r>
        <w:rPr>
          <w:rFonts w:eastAsiaTheme="minorEastAsia"/>
          <w:b/>
          <w:bCs/>
          <w:sz w:val="28"/>
          <w:szCs w:val="28"/>
        </w:rPr>
        <w:t>（一）分区原则及方法</w:t>
      </w:r>
    </w:p>
    <w:p w14:paraId="384B7178">
      <w:pPr>
        <w:pStyle w:val="88"/>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矿区生态环境具有自然、社会和资源三重属性，因此，本次矿区生态修复主要侧重于矿山开采后对矿区地质环境影响程度、土地损毁程度、生态系统受损程度等，根据矿山开采设计、规划、矿区环境问题的类型、规模和危害程度，矿区生态修复分区遵循以下原则：</w:t>
      </w:r>
    </w:p>
    <w:p w14:paraId="414CE2A8">
      <w:pPr>
        <w:pStyle w:val="88"/>
        <w:spacing w:line="360" w:lineRule="auto"/>
        <w:ind w:firstLine="560" w:firstLineChars="200"/>
        <w:rPr>
          <w:rFonts w:ascii="Times New Roman" w:cs="Times New Roman"/>
          <w:color w:val="auto"/>
          <w:sz w:val="28"/>
          <w:szCs w:val="28"/>
        </w:rPr>
      </w:pPr>
      <w:r>
        <w:rPr>
          <w:rFonts w:ascii="Times New Roman" w:cs="Times New Roman"/>
          <w:color w:val="auto"/>
          <w:sz w:val="28"/>
          <w:szCs w:val="28"/>
        </w:rPr>
        <w:t>①矿区生态修复分区包括整个矿区生态修复影响范围；</w:t>
      </w:r>
    </w:p>
    <w:p w14:paraId="3DA02D9C">
      <w:pPr>
        <w:pStyle w:val="88"/>
        <w:spacing w:line="360" w:lineRule="auto"/>
        <w:ind w:firstLine="560" w:firstLineChars="200"/>
        <w:rPr>
          <w:rFonts w:ascii="Times New Roman" w:cs="Times New Roman"/>
          <w:color w:val="auto"/>
          <w:sz w:val="28"/>
          <w:szCs w:val="28"/>
        </w:rPr>
      </w:pPr>
      <w:r>
        <w:rPr>
          <w:rFonts w:ascii="Times New Roman" w:cs="Times New Roman"/>
          <w:color w:val="auto"/>
          <w:sz w:val="28"/>
          <w:szCs w:val="28"/>
        </w:rPr>
        <w:t>②矿区生态修复方案分区因素包括矿山地质灾害、采矿活动对含水层的影响、采矿活动对地形地貌景观的破坏、土地损毁、采矿活动对水土环境污染的影响、采矿活动对生态破坏等，依据上述因素的危害或影响程度进行分区；</w:t>
      </w:r>
    </w:p>
    <w:p w14:paraId="450286B3">
      <w:pPr>
        <w:pStyle w:val="88"/>
        <w:spacing w:line="360" w:lineRule="auto"/>
        <w:ind w:firstLine="560" w:firstLineChars="200"/>
        <w:rPr>
          <w:rFonts w:ascii="Times New Roman" w:cs="Times New Roman"/>
          <w:color w:val="auto"/>
          <w:sz w:val="28"/>
          <w:szCs w:val="28"/>
        </w:rPr>
      </w:pPr>
      <w:r>
        <w:rPr>
          <w:rFonts w:ascii="Times New Roman" w:cs="Times New Roman"/>
          <w:color w:val="auto"/>
          <w:sz w:val="28"/>
          <w:szCs w:val="28"/>
        </w:rPr>
        <w:t>③坚持以矿区地质环境及矿区生态环境现状评估结果、预测评估结果作为分区主导因素的原则；</w:t>
      </w:r>
    </w:p>
    <w:p w14:paraId="0CF65061">
      <w:pPr>
        <w:pStyle w:val="88"/>
        <w:spacing w:line="360" w:lineRule="auto"/>
        <w:ind w:firstLine="560" w:firstLineChars="200"/>
        <w:rPr>
          <w:rFonts w:ascii="Times New Roman" w:cs="Times New Roman"/>
          <w:color w:val="auto"/>
          <w:sz w:val="28"/>
          <w:szCs w:val="28"/>
        </w:rPr>
      </w:pPr>
      <w:r>
        <w:rPr>
          <w:rFonts w:ascii="Times New Roman" w:cs="Times New Roman"/>
          <w:color w:val="auto"/>
          <w:sz w:val="28"/>
          <w:szCs w:val="28"/>
        </w:rPr>
        <w:t>④坚持“就高不就低、区内相似、区间相异”的原则；</w:t>
      </w:r>
    </w:p>
    <w:p w14:paraId="60765A6D">
      <w:pPr>
        <w:pStyle w:val="88"/>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⑤坚持定性和定量相结合的原则。</w:t>
      </w:r>
    </w:p>
    <w:p w14:paraId="3777E27D">
      <w:pPr>
        <w:spacing w:line="360" w:lineRule="auto"/>
        <w:ind w:firstLine="562" w:firstLineChars="200"/>
        <w:outlineLvl w:val="3"/>
        <w:rPr>
          <w:rFonts w:eastAsiaTheme="minorEastAsia"/>
          <w:b/>
          <w:bCs/>
          <w:sz w:val="28"/>
          <w:szCs w:val="28"/>
        </w:rPr>
      </w:pPr>
      <w:r>
        <w:rPr>
          <w:rFonts w:eastAsiaTheme="minorEastAsia"/>
          <w:b/>
          <w:bCs/>
          <w:sz w:val="28"/>
          <w:szCs w:val="28"/>
        </w:rPr>
        <w:t>（二）分区结果</w:t>
      </w:r>
    </w:p>
    <w:p w14:paraId="0D38958D">
      <w:pPr>
        <w:spacing w:line="360" w:lineRule="auto"/>
        <w:ind w:firstLine="560" w:firstLineChars="200"/>
        <w:rPr>
          <w:sz w:val="28"/>
          <w:szCs w:val="24"/>
        </w:rPr>
      </w:pPr>
      <w:r>
        <w:rPr>
          <w:sz w:val="28"/>
          <w:szCs w:val="28"/>
        </w:rPr>
        <w:t>根据现状与预测的矿区地质环境影响程度、土地只有损毁程度、生态系统受损程度评价结果，</w:t>
      </w:r>
      <w:r>
        <w:rPr>
          <w:sz w:val="28"/>
          <w:szCs w:val="24"/>
        </w:rPr>
        <w:t>对各修复单元的综合评价依据、核心特征及所属分区逐一明确，具体如下：</w:t>
      </w:r>
    </w:p>
    <w:p w14:paraId="4ECE0848">
      <w:pPr>
        <w:jc w:val="center"/>
        <w:rPr>
          <w:rFonts w:eastAsia="黑体"/>
          <w:sz w:val="24"/>
          <w:szCs w:val="24"/>
        </w:rPr>
      </w:pPr>
      <w:r>
        <w:rPr>
          <w:rFonts w:eastAsia="黑体"/>
          <w:sz w:val="24"/>
          <w:szCs w:val="24"/>
        </w:rPr>
        <w:t>表3-</w:t>
      </w:r>
      <w:r>
        <w:rPr>
          <w:rFonts w:hint="eastAsia" w:eastAsia="黑体"/>
          <w:sz w:val="24"/>
          <w:szCs w:val="24"/>
        </w:rPr>
        <w:t>59</w:t>
      </w:r>
      <w:r>
        <w:rPr>
          <w:rFonts w:eastAsia="黑体"/>
          <w:sz w:val="24"/>
          <w:szCs w:val="24"/>
        </w:rPr>
        <w:t xml:space="preserve">  矿区生态修复综合评价结果表 </w:t>
      </w:r>
    </w:p>
    <w:p w14:paraId="512085A0">
      <w:pPr>
        <w:ind w:firstLine="420" w:firstLineChars="200"/>
      </w:pPr>
    </w:p>
    <w:p w14:paraId="67B3324D">
      <w:pPr>
        <w:spacing w:line="360" w:lineRule="auto"/>
        <w:ind w:firstLine="562" w:firstLineChars="200"/>
        <w:outlineLvl w:val="3"/>
        <w:rPr>
          <w:rFonts w:eastAsiaTheme="minorEastAsia"/>
          <w:b/>
          <w:bCs/>
          <w:sz w:val="28"/>
          <w:szCs w:val="28"/>
        </w:rPr>
      </w:pPr>
      <w:r>
        <w:rPr>
          <w:rFonts w:eastAsiaTheme="minorEastAsia"/>
          <w:b/>
          <w:bCs/>
          <w:sz w:val="28"/>
          <w:szCs w:val="28"/>
        </w:rPr>
        <w:t>（三）生态修复范围</w:t>
      </w:r>
    </w:p>
    <w:p w14:paraId="609D9261">
      <w:pPr>
        <w:spacing w:line="360" w:lineRule="auto"/>
        <w:ind w:firstLine="560" w:firstLineChars="200"/>
        <w:rPr>
          <w:sz w:val="28"/>
          <w:szCs w:val="28"/>
        </w:rPr>
      </w:pPr>
      <w:r>
        <w:rPr>
          <w:sz w:val="28"/>
          <w:szCs w:val="28"/>
        </w:rPr>
        <w:t>矿山生态修复范围为生产建设项目损毁土地和永久性建设用地。根据问题识别诊断及受损预测综合评价结果，本矿生态修复范围为已损毁和拟损毁土地之和。据此确定矿山生态修复面积</w:t>
      </w:r>
      <w:r>
        <w:rPr>
          <w:rFonts w:hint="eastAsia" w:ascii="宋体" w:hAnsi="宋体" w:cs="宋体"/>
          <w:spacing w:val="13"/>
          <w:sz w:val="32"/>
          <w:szCs w:val="32"/>
        </w:rPr>
        <w:t>***</w:t>
      </w:r>
      <w:r>
        <w:rPr>
          <w:sz w:val="28"/>
          <w:szCs w:val="28"/>
        </w:rPr>
        <w:t>hm</w:t>
      </w:r>
      <w:r>
        <w:rPr>
          <w:sz w:val="28"/>
          <w:szCs w:val="28"/>
          <w:vertAlign w:val="superscript"/>
        </w:rPr>
        <w:t>2</w:t>
      </w:r>
      <w:r>
        <w:rPr>
          <w:sz w:val="28"/>
          <w:szCs w:val="28"/>
        </w:rPr>
        <w:t>。</w:t>
      </w:r>
    </w:p>
    <w:p w14:paraId="18058E59">
      <w:pPr>
        <w:pStyle w:val="88"/>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主要生态修复分区主要拐点坐标见表3-</w:t>
      </w:r>
      <w:r>
        <w:rPr>
          <w:rFonts w:hint="eastAsia" w:ascii="Times New Roman" w:cs="Times New Roman"/>
          <w:color w:val="auto"/>
          <w:sz w:val="28"/>
          <w:szCs w:val="28"/>
        </w:rPr>
        <w:t>60</w:t>
      </w:r>
      <w:r>
        <w:rPr>
          <w:rFonts w:ascii="Times New Roman" w:cs="Times New Roman"/>
          <w:color w:val="auto"/>
          <w:sz w:val="28"/>
          <w:szCs w:val="28"/>
        </w:rPr>
        <w:t>。</w:t>
      </w:r>
    </w:p>
    <w:p w14:paraId="2832B085">
      <w:pPr>
        <w:jc w:val="center"/>
        <w:rPr>
          <w:rFonts w:eastAsia="黑体"/>
          <w:sz w:val="24"/>
          <w:szCs w:val="24"/>
        </w:rPr>
      </w:pPr>
      <w:r>
        <w:rPr>
          <w:rFonts w:eastAsia="黑体"/>
          <w:sz w:val="24"/>
          <w:szCs w:val="24"/>
        </w:rPr>
        <w:t>表3-</w:t>
      </w:r>
      <w:r>
        <w:rPr>
          <w:rFonts w:hint="eastAsia" w:eastAsia="黑体"/>
          <w:sz w:val="24"/>
          <w:szCs w:val="24"/>
        </w:rPr>
        <w:t>60</w:t>
      </w:r>
      <w:r>
        <w:rPr>
          <w:rFonts w:eastAsia="黑体"/>
          <w:sz w:val="24"/>
          <w:szCs w:val="24"/>
        </w:rPr>
        <w:t xml:space="preserve">  生态修复分区范围主要拐点坐标（2000国家大地坐标系）</w:t>
      </w:r>
    </w:p>
    <w:p w14:paraId="3BAA9D08">
      <w:pPr>
        <w:jc w:val="center"/>
        <w:rPr>
          <w:rFonts w:eastAsia="黑体"/>
          <w:sz w:val="24"/>
          <w:szCs w:val="24"/>
        </w:rPr>
      </w:pPr>
    </w:p>
    <w:p w14:paraId="1B571706">
      <w:pPr>
        <w:pStyle w:val="88"/>
        <w:spacing w:line="360" w:lineRule="auto"/>
        <w:ind w:firstLine="562" w:firstLineChars="200"/>
        <w:jc w:val="both"/>
        <w:outlineLvl w:val="2"/>
        <w:rPr>
          <w:rFonts w:ascii="Times New Roman" w:cs="Times New Roman"/>
          <w:b/>
          <w:bCs/>
          <w:color w:val="auto"/>
          <w:sz w:val="28"/>
          <w:szCs w:val="28"/>
        </w:rPr>
      </w:pPr>
      <w:r>
        <w:rPr>
          <w:rFonts w:ascii="Times New Roman" w:cs="Times New Roman"/>
          <w:b/>
          <w:bCs/>
          <w:color w:val="auto"/>
          <w:sz w:val="28"/>
          <w:szCs w:val="28"/>
        </w:rPr>
        <w:t>二、修复时序安排</w:t>
      </w:r>
    </w:p>
    <w:p w14:paraId="771AEFDB">
      <w:pPr>
        <w:pStyle w:val="113"/>
        <w:spacing w:line="360" w:lineRule="auto"/>
        <w:ind w:firstLine="560"/>
        <w:rPr>
          <w:rFonts w:eastAsia="宋体"/>
          <w:bCs/>
          <w:szCs w:val="28"/>
        </w:rPr>
      </w:pPr>
      <w:r>
        <w:rPr>
          <w:rFonts w:eastAsia="宋体"/>
          <w:bCs/>
          <w:szCs w:val="28"/>
        </w:rPr>
        <w:t>根据《开发利用方案》规划，</w:t>
      </w:r>
      <w:r>
        <w:rPr>
          <w:rFonts w:hint="eastAsia" w:eastAsia="宋体"/>
          <w:bCs/>
          <w:szCs w:val="28"/>
        </w:rPr>
        <w:t>矿山将继续利用现状工业场地。《开发利用方案》规划新建排土场、新建办公生活区、新建截洪沟、新建矿区道路。</w:t>
      </w:r>
    </w:p>
    <w:p w14:paraId="5F70AAFA">
      <w:pPr>
        <w:widowControl/>
        <w:spacing w:line="360" w:lineRule="auto"/>
        <w:ind w:firstLine="560" w:firstLineChars="200"/>
        <w:rPr>
          <w:color w:val="000000"/>
          <w:kern w:val="0"/>
          <w:sz w:val="28"/>
          <w:szCs w:val="28"/>
          <w:lang w:bidi="ar"/>
        </w:rPr>
      </w:pPr>
      <w:r>
        <w:rPr>
          <w:rFonts w:hint="eastAsia"/>
          <w:color w:val="000000"/>
          <w:kern w:val="0"/>
          <w:sz w:val="28"/>
          <w:szCs w:val="28"/>
          <w:lang w:bidi="ar"/>
        </w:rPr>
        <w:t>其它《开发利用方案》不再继续利用的场地（</w:t>
      </w:r>
      <w:bookmarkStart w:id="122" w:name="_Hlk238806378"/>
      <w:bookmarkStart w:id="123" w:name="_Hlk238807200"/>
      <w:r>
        <w:rPr>
          <w:rFonts w:hint="eastAsia"/>
          <w:color w:val="000000"/>
          <w:kern w:val="0"/>
          <w:sz w:val="28"/>
          <w:szCs w:val="28"/>
          <w:lang w:bidi="ar"/>
        </w:rPr>
        <w:t>现状矿区外的露天采场、</w:t>
      </w:r>
      <w:bookmarkEnd w:id="122"/>
      <w:r>
        <w:rPr>
          <w:rFonts w:hint="eastAsia"/>
          <w:color w:val="000000"/>
          <w:kern w:val="0"/>
          <w:sz w:val="28"/>
          <w:szCs w:val="28"/>
          <w:lang w:bidi="ar"/>
        </w:rPr>
        <w:t>废石场1、废石场2、废石场3、办公区、生活区、门卫、钻机平台</w:t>
      </w:r>
      <w:bookmarkEnd w:id="123"/>
      <w:r>
        <w:rPr>
          <w:rFonts w:hint="eastAsia"/>
          <w:color w:val="000000"/>
          <w:kern w:val="0"/>
          <w:sz w:val="28"/>
          <w:szCs w:val="28"/>
          <w:lang w:bidi="ar"/>
        </w:rPr>
        <w:t>），且无建设用地手续的场地，</w:t>
      </w:r>
      <w:r>
        <w:rPr>
          <w:color w:val="000000"/>
          <w:kern w:val="0"/>
          <w:sz w:val="28"/>
          <w:szCs w:val="28"/>
          <w:lang w:bidi="ar"/>
        </w:rPr>
        <w:t>本方案本着边开采、边修复的原则，结合矿山实际情况，将</w:t>
      </w:r>
      <w:r>
        <w:rPr>
          <w:rFonts w:hint="eastAsia"/>
          <w:color w:val="000000"/>
          <w:kern w:val="0"/>
          <w:sz w:val="28"/>
          <w:szCs w:val="28"/>
          <w:lang w:bidi="ar"/>
        </w:rPr>
        <w:t>其</w:t>
      </w:r>
      <w:r>
        <w:rPr>
          <w:color w:val="000000"/>
          <w:kern w:val="0"/>
          <w:sz w:val="28"/>
          <w:szCs w:val="28"/>
          <w:lang w:bidi="ar"/>
        </w:rPr>
        <w:t>近三年治理（</w:t>
      </w:r>
      <w:r>
        <w:rPr>
          <w:rFonts w:hint="eastAsia" w:ascii="宋体" w:hAnsi="宋体" w:cs="宋体"/>
          <w:spacing w:val="13"/>
          <w:sz w:val="32"/>
          <w:szCs w:val="32"/>
        </w:rPr>
        <w:t>***</w:t>
      </w:r>
      <w:r>
        <w:rPr>
          <w:color w:val="000000"/>
          <w:kern w:val="0"/>
          <w:sz w:val="28"/>
          <w:szCs w:val="28"/>
          <w:lang w:bidi="ar"/>
        </w:rPr>
        <w:t>-</w:t>
      </w:r>
      <w:r>
        <w:rPr>
          <w:rFonts w:hint="eastAsia" w:ascii="宋体" w:hAnsi="宋体" w:cs="宋体"/>
          <w:spacing w:val="13"/>
          <w:sz w:val="32"/>
          <w:szCs w:val="32"/>
        </w:rPr>
        <w:t>***</w:t>
      </w:r>
      <w:r>
        <w:rPr>
          <w:color w:val="000000"/>
          <w:kern w:val="0"/>
          <w:sz w:val="28"/>
          <w:szCs w:val="28"/>
          <w:lang w:bidi="ar"/>
        </w:rPr>
        <w:t>）。</w:t>
      </w:r>
      <w:bookmarkStart w:id="124" w:name="_Hlk229565587"/>
    </w:p>
    <w:bookmarkEnd w:id="124"/>
    <w:p w14:paraId="005C33EF">
      <w:pPr>
        <w:widowControl/>
        <w:spacing w:line="360" w:lineRule="auto"/>
        <w:ind w:firstLine="560" w:firstLineChars="200"/>
        <w:jc w:val="left"/>
        <w:rPr>
          <w:kern w:val="0"/>
          <w:sz w:val="28"/>
          <w:szCs w:val="28"/>
        </w:rPr>
      </w:pPr>
      <w:r>
        <w:rPr>
          <w:color w:val="000000"/>
          <w:kern w:val="0"/>
          <w:sz w:val="28"/>
          <w:szCs w:val="28"/>
          <w:lang w:bidi="ar"/>
        </w:rPr>
        <w:t>根据生态修复可行性分析结果及矿山开采进度安排，确定生态修复分区的修复时序，</w:t>
      </w:r>
      <w:r>
        <w:rPr>
          <w:kern w:val="0"/>
          <w:sz w:val="28"/>
          <w:szCs w:val="28"/>
        </w:rPr>
        <w:t>矿区生态修复时序表见表3-</w:t>
      </w:r>
      <w:r>
        <w:rPr>
          <w:rFonts w:hint="eastAsia"/>
          <w:kern w:val="0"/>
          <w:sz w:val="28"/>
          <w:szCs w:val="28"/>
        </w:rPr>
        <w:t>61</w:t>
      </w:r>
      <w:r>
        <w:rPr>
          <w:kern w:val="0"/>
          <w:sz w:val="28"/>
          <w:szCs w:val="28"/>
        </w:rPr>
        <w:t>。</w:t>
      </w:r>
    </w:p>
    <w:p w14:paraId="6C40F5A5">
      <w:pPr>
        <w:widowControl/>
        <w:jc w:val="center"/>
        <w:rPr>
          <w:rFonts w:eastAsia="黑体"/>
          <w:kern w:val="0"/>
          <w:sz w:val="24"/>
          <w:szCs w:val="24"/>
        </w:rPr>
      </w:pPr>
      <w:r>
        <w:rPr>
          <w:rFonts w:eastAsia="黑体"/>
          <w:kern w:val="0"/>
          <w:sz w:val="24"/>
          <w:szCs w:val="24"/>
        </w:rPr>
        <w:t>表3-</w:t>
      </w:r>
      <w:r>
        <w:rPr>
          <w:rFonts w:hint="eastAsia" w:eastAsia="黑体"/>
          <w:kern w:val="0"/>
          <w:sz w:val="24"/>
          <w:szCs w:val="24"/>
        </w:rPr>
        <w:t>61</w:t>
      </w:r>
      <w:r>
        <w:rPr>
          <w:rFonts w:eastAsia="黑体"/>
          <w:kern w:val="0"/>
          <w:sz w:val="24"/>
          <w:szCs w:val="24"/>
        </w:rPr>
        <w:t xml:space="preserve">  矿区生态修复时序表</w:t>
      </w:r>
    </w:p>
    <w:p w14:paraId="131CA006">
      <w:pPr>
        <w:widowControl/>
        <w:jc w:val="center"/>
        <w:rPr>
          <w:rFonts w:eastAsia="黑体"/>
          <w:szCs w:val="21"/>
        </w:rPr>
      </w:pPr>
    </w:p>
    <w:p w14:paraId="4C33C964">
      <w:pPr>
        <w:pStyle w:val="4"/>
        <w:spacing w:before="120" w:beforeLines="50"/>
        <w:rPr>
          <w:rFonts w:ascii="Times New Roman" w:hAnsi="Times New Roman"/>
        </w:rPr>
      </w:pPr>
      <w:bookmarkStart w:id="125" w:name="_Toc30140"/>
      <w:r>
        <w:rPr>
          <w:rFonts w:ascii="Times New Roman" w:hAnsi="Times New Roman"/>
        </w:rPr>
        <w:t>第四节  采矿用地与复垦修复安排</w:t>
      </w:r>
      <w:bookmarkEnd w:id="125"/>
    </w:p>
    <w:p w14:paraId="79C1D88B">
      <w:pPr>
        <w:pStyle w:val="88"/>
        <w:spacing w:line="360" w:lineRule="auto"/>
        <w:ind w:firstLine="562" w:firstLineChars="200"/>
        <w:jc w:val="both"/>
        <w:outlineLvl w:val="2"/>
        <w:rPr>
          <w:rFonts w:ascii="Times New Roman" w:cs="Times New Roman"/>
          <w:b/>
          <w:bCs/>
          <w:color w:val="auto"/>
          <w:sz w:val="28"/>
          <w:szCs w:val="28"/>
        </w:rPr>
      </w:pPr>
      <w:r>
        <w:rPr>
          <w:rFonts w:ascii="Times New Roman" w:cs="Times New Roman"/>
          <w:b/>
          <w:bCs/>
          <w:color w:val="auto"/>
          <w:sz w:val="28"/>
          <w:szCs w:val="28"/>
        </w:rPr>
        <w:t>一、采矿用地安排</w:t>
      </w:r>
    </w:p>
    <w:p w14:paraId="1C9D36D2">
      <w:pPr>
        <w:pStyle w:val="113"/>
        <w:spacing w:line="360" w:lineRule="auto"/>
        <w:ind w:firstLine="560"/>
        <w:rPr>
          <w:rFonts w:eastAsia="宋体"/>
          <w:szCs w:val="28"/>
          <w:lang w:val="en-US"/>
        </w:rPr>
      </w:pPr>
      <w:r>
        <w:rPr>
          <w:rFonts w:eastAsia="宋体"/>
          <w:szCs w:val="28"/>
          <w:lang w:val="en-US"/>
        </w:rPr>
        <w:t>矿山</w:t>
      </w:r>
      <w:r>
        <w:rPr>
          <w:rFonts w:hint="eastAsia" w:eastAsia="宋体"/>
          <w:szCs w:val="28"/>
          <w:lang w:val="en-US"/>
        </w:rPr>
        <w:t>暂无采矿用地审批手续，矿区现用地手续是与当地权属村签定的租赁协议，根据《中华人民共和国矿产资源法》、《建设用地审查报批管理办法》等相关规定，矿山后续建设应申请永久建设用地土地使用证。</w:t>
      </w:r>
    </w:p>
    <w:p w14:paraId="564CE689">
      <w:pPr>
        <w:pStyle w:val="113"/>
        <w:spacing w:line="360" w:lineRule="auto"/>
        <w:ind w:firstLine="560"/>
        <w:rPr>
          <w:rFonts w:eastAsia="宋体"/>
          <w:szCs w:val="28"/>
          <w:lang w:val="en-US"/>
        </w:rPr>
      </w:pPr>
      <w:r>
        <w:rPr>
          <w:rFonts w:hint="eastAsia" w:eastAsia="宋体"/>
          <w:szCs w:val="28"/>
          <w:lang w:val="en-US"/>
        </w:rPr>
        <w:t>申请范围为拟建露天采场（</w:t>
      </w:r>
      <w:r>
        <w:rPr>
          <w:rFonts w:hint="eastAsia" w:ascii="宋体" w:hAnsi="宋体" w:cs="宋体"/>
          <w:spacing w:val="13"/>
          <w:sz w:val="32"/>
          <w:szCs w:val="32"/>
          <w:lang w:val="en-US"/>
        </w:rPr>
        <w:t>***</w:t>
      </w:r>
      <w:r>
        <w:rPr>
          <w:kern w:val="0"/>
          <w:szCs w:val="21"/>
        </w:rPr>
        <w:t>hm</w:t>
      </w:r>
      <w:r>
        <w:rPr>
          <w:kern w:val="0"/>
          <w:szCs w:val="21"/>
          <w:vertAlign w:val="superscript"/>
        </w:rPr>
        <w:t>2</w:t>
      </w:r>
      <w:r>
        <w:rPr>
          <w:rFonts w:hint="eastAsia" w:eastAsia="宋体"/>
          <w:szCs w:val="28"/>
          <w:lang w:val="en-US"/>
        </w:rPr>
        <w:t>）、工业场地（</w:t>
      </w:r>
      <w:r>
        <w:rPr>
          <w:rFonts w:hint="eastAsia" w:ascii="宋体" w:hAnsi="宋体" w:cs="宋体"/>
          <w:spacing w:val="13"/>
          <w:sz w:val="32"/>
          <w:szCs w:val="32"/>
          <w:lang w:val="en-US"/>
        </w:rPr>
        <w:t>***</w:t>
      </w:r>
      <w:r>
        <w:rPr>
          <w:kern w:val="0"/>
          <w:szCs w:val="21"/>
        </w:rPr>
        <w:t>hm</w:t>
      </w:r>
      <w:r>
        <w:rPr>
          <w:kern w:val="0"/>
          <w:szCs w:val="21"/>
          <w:vertAlign w:val="superscript"/>
        </w:rPr>
        <w:t>2</w:t>
      </w:r>
      <w:r>
        <w:rPr>
          <w:rFonts w:hint="eastAsia" w:eastAsia="宋体"/>
          <w:szCs w:val="28"/>
          <w:lang w:val="en-US"/>
        </w:rPr>
        <w:t>）、拟建排土场（</w:t>
      </w:r>
      <w:r>
        <w:rPr>
          <w:rFonts w:hint="eastAsia" w:ascii="宋体" w:hAnsi="宋体" w:cs="宋体"/>
          <w:spacing w:val="13"/>
          <w:sz w:val="32"/>
          <w:szCs w:val="32"/>
          <w:lang w:val="en-US"/>
        </w:rPr>
        <w:t>***</w:t>
      </w:r>
      <w:r>
        <w:rPr>
          <w:kern w:val="0"/>
          <w:szCs w:val="21"/>
        </w:rPr>
        <w:t>hm</w:t>
      </w:r>
      <w:r>
        <w:rPr>
          <w:kern w:val="0"/>
          <w:szCs w:val="21"/>
          <w:vertAlign w:val="superscript"/>
        </w:rPr>
        <w:t>2</w:t>
      </w:r>
      <w:r>
        <w:rPr>
          <w:rFonts w:hint="eastAsia" w:eastAsia="宋体"/>
          <w:szCs w:val="28"/>
          <w:lang w:val="en-US"/>
        </w:rPr>
        <w:t>）、拟建办公生活区（</w:t>
      </w:r>
      <w:r>
        <w:rPr>
          <w:rFonts w:hint="eastAsia" w:ascii="宋体" w:hAnsi="宋体" w:cs="宋体"/>
          <w:spacing w:val="13"/>
          <w:sz w:val="32"/>
          <w:szCs w:val="32"/>
          <w:lang w:val="en-US"/>
        </w:rPr>
        <w:t>***</w:t>
      </w:r>
      <w:r>
        <w:rPr>
          <w:kern w:val="0"/>
          <w:szCs w:val="21"/>
        </w:rPr>
        <w:t>hm</w:t>
      </w:r>
      <w:r>
        <w:rPr>
          <w:kern w:val="0"/>
          <w:szCs w:val="21"/>
          <w:vertAlign w:val="superscript"/>
        </w:rPr>
        <w:t>2</w:t>
      </w:r>
      <w:r>
        <w:rPr>
          <w:rFonts w:hint="eastAsia" w:eastAsia="宋体"/>
          <w:szCs w:val="28"/>
          <w:lang w:val="en-US"/>
        </w:rPr>
        <w:t>），合计面积</w:t>
      </w:r>
      <w:r>
        <w:rPr>
          <w:rFonts w:hint="eastAsia" w:ascii="宋体" w:hAnsi="宋体" w:cs="宋体"/>
          <w:spacing w:val="13"/>
          <w:sz w:val="32"/>
          <w:szCs w:val="32"/>
          <w:lang w:val="en-US"/>
        </w:rPr>
        <w:t>***</w:t>
      </w:r>
      <w:r>
        <w:rPr>
          <w:kern w:val="0"/>
          <w:szCs w:val="21"/>
        </w:rPr>
        <w:t>hm</w:t>
      </w:r>
      <w:r>
        <w:rPr>
          <w:kern w:val="0"/>
          <w:szCs w:val="21"/>
          <w:vertAlign w:val="superscript"/>
        </w:rPr>
        <w:t>2</w:t>
      </w:r>
      <w:r>
        <w:rPr>
          <w:rFonts w:hint="eastAsia"/>
          <w:kern w:val="0"/>
          <w:szCs w:val="21"/>
        </w:rPr>
        <w:t>。</w:t>
      </w:r>
      <w:r>
        <w:rPr>
          <w:rFonts w:hint="eastAsia" w:eastAsia="宋体"/>
          <w:szCs w:val="28"/>
          <w:lang w:val="en-US"/>
        </w:rPr>
        <w:t>申请</w:t>
      </w:r>
      <w:r>
        <w:rPr>
          <w:rFonts w:eastAsia="宋体"/>
          <w:szCs w:val="28"/>
          <w:lang w:val="en-US"/>
        </w:rPr>
        <w:t>的建设用地信息见下表：</w:t>
      </w:r>
    </w:p>
    <w:p w14:paraId="5F350436">
      <w:pPr>
        <w:pStyle w:val="113"/>
        <w:spacing w:line="240" w:lineRule="auto"/>
        <w:ind w:firstLine="480"/>
        <w:jc w:val="center"/>
        <w:rPr>
          <w:rFonts w:eastAsia="宋体"/>
          <w:szCs w:val="28"/>
          <w:lang w:val="en-US"/>
        </w:rPr>
      </w:pPr>
      <w:r>
        <w:rPr>
          <w:rFonts w:eastAsia="黑体"/>
          <w:sz w:val="24"/>
          <w:szCs w:val="24"/>
        </w:rPr>
        <w:t>表</w:t>
      </w:r>
      <w:r>
        <w:rPr>
          <w:rFonts w:hint="eastAsia" w:eastAsia="黑体"/>
          <w:sz w:val="24"/>
          <w:szCs w:val="24"/>
        </w:rPr>
        <w:t>3</w:t>
      </w:r>
      <w:r>
        <w:rPr>
          <w:rFonts w:eastAsia="黑体"/>
          <w:sz w:val="24"/>
          <w:szCs w:val="24"/>
        </w:rPr>
        <w:t>-</w:t>
      </w:r>
      <w:r>
        <w:rPr>
          <w:rFonts w:hint="eastAsia" w:eastAsia="黑体"/>
          <w:sz w:val="24"/>
          <w:szCs w:val="24"/>
        </w:rPr>
        <w:t>62</w:t>
      </w:r>
      <w:r>
        <w:rPr>
          <w:rFonts w:eastAsia="黑体"/>
          <w:sz w:val="24"/>
          <w:szCs w:val="24"/>
        </w:rPr>
        <w:t xml:space="preserve">  矿区</w:t>
      </w:r>
      <w:r>
        <w:rPr>
          <w:rFonts w:hint="eastAsia" w:eastAsia="黑体"/>
          <w:sz w:val="24"/>
          <w:szCs w:val="24"/>
        </w:rPr>
        <w:t>拟申请</w:t>
      </w:r>
      <w:r>
        <w:rPr>
          <w:rFonts w:eastAsia="黑体"/>
          <w:sz w:val="24"/>
          <w:szCs w:val="24"/>
        </w:rPr>
        <w:t>的建设用地信息表</w:t>
      </w:r>
    </w:p>
    <w:p w14:paraId="0FEF81C8">
      <w:pPr>
        <w:pStyle w:val="113"/>
        <w:spacing w:line="240" w:lineRule="auto"/>
        <w:ind w:firstLine="0" w:firstLineChars="0"/>
        <w:rPr>
          <w:rFonts w:eastAsia="宋体"/>
          <w:sz w:val="20"/>
          <w:lang w:val="en-US"/>
        </w:rPr>
      </w:pPr>
    </w:p>
    <w:p w14:paraId="72529A4A">
      <w:pPr>
        <w:pStyle w:val="113"/>
        <w:spacing w:line="360" w:lineRule="auto"/>
        <w:ind w:firstLine="560"/>
        <w:rPr>
          <w:rFonts w:eastAsia="宋体"/>
          <w:szCs w:val="28"/>
        </w:rPr>
      </w:pPr>
      <w:r>
        <w:rPr>
          <w:rFonts w:hint="eastAsia" w:eastAsia="宋体"/>
          <w:szCs w:val="28"/>
        </w:rPr>
        <w:t>其它《开发利用方案》不再继续利用的场地，且无建设用地手续的场地，</w:t>
      </w:r>
      <w:r>
        <w:rPr>
          <w:rFonts w:eastAsia="宋体"/>
          <w:szCs w:val="28"/>
        </w:rPr>
        <w:t>矿业权人计划不再为其办理建设用地手续。不再办理建设用地手续的工程单元包括：</w:t>
      </w:r>
      <w:r>
        <w:rPr>
          <w:rFonts w:hint="eastAsia" w:eastAsia="宋体"/>
          <w:szCs w:val="28"/>
        </w:rPr>
        <w:t>现状矿区外的露天采场、废石场1、废石场2、废石场3、办公区、生活区、门卫、钻机平台</w:t>
      </w:r>
      <w:r>
        <w:rPr>
          <w:rFonts w:eastAsia="宋体"/>
          <w:szCs w:val="28"/>
        </w:rPr>
        <w:t>。合计面积</w:t>
      </w:r>
      <w:r>
        <w:rPr>
          <w:rFonts w:hint="eastAsia" w:ascii="宋体" w:hAnsi="宋体" w:cs="宋体"/>
          <w:spacing w:val="13"/>
          <w:sz w:val="32"/>
          <w:szCs w:val="32"/>
          <w:lang w:val="en-US"/>
        </w:rPr>
        <w:t>***</w:t>
      </w:r>
      <w:r>
        <w:rPr>
          <w:rFonts w:eastAsia="宋体"/>
          <w:szCs w:val="28"/>
        </w:rPr>
        <w:t>m</w:t>
      </w:r>
      <w:r>
        <w:rPr>
          <w:rFonts w:eastAsia="宋体"/>
          <w:szCs w:val="28"/>
          <w:vertAlign w:val="superscript"/>
        </w:rPr>
        <w:t>2</w:t>
      </w:r>
      <w:r>
        <w:rPr>
          <w:rFonts w:hint="eastAsia" w:eastAsia="宋体"/>
          <w:szCs w:val="28"/>
        </w:rPr>
        <w:t>。本方案本着边开采、边修复的原则，结合矿山实际情况，将其近三年治理，</w:t>
      </w:r>
      <w:r>
        <w:rPr>
          <w:rFonts w:eastAsia="宋体"/>
          <w:szCs w:val="28"/>
        </w:rPr>
        <w:t>治理后移交使用权人。</w:t>
      </w:r>
      <w:r>
        <w:rPr>
          <w:rFonts w:hint="eastAsia" w:eastAsia="宋体"/>
          <w:szCs w:val="28"/>
        </w:rPr>
        <w:t>本方案不涉及临时用地。</w:t>
      </w:r>
    </w:p>
    <w:p w14:paraId="65F5F168">
      <w:pPr>
        <w:pStyle w:val="113"/>
        <w:spacing w:line="360" w:lineRule="auto"/>
        <w:ind w:firstLine="560"/>
        <w:rPr>
          <w:rFonts w:eastAsia="宋体"/>
          <w:szCs w:val="28"/>
        </w:rPr>
      </w:pPr>
    </w:p>
    <w:p w14:paraId="273B0B9C">
      <w:pPr>
        <w:pStyle w:val="88"/>
        <w:spacing w:line="360" w:lineRule="auto"/>
        <w:ind w:firstLine="562" w:firstLineChars="200"/>
        <w:jc w:val="both"/>
        <w:outlineLvl w:val="2"/>
        <w:rPr>
          <w:rFonts w:ascii="Times New Roman" w:cs="Times New Roman"/>
          <w:szCs w:val="28"/>
        </w:rPr>
      </w:pPr>
      <w:r>
        <w:rPr>
          <w:rFonts w:ascii="Times New Roman" w:cs="Times New Roman"/>
          <w:b/>
          <w:bCs/>
          <w:color w:val="auto"/>
          <w:sz w:val="28"/>
          <w:szCs w:val="28"/>
        </w:rPr>
        <w:t>二、采矿项目用地挂钩相关说明</w:t>
      </w:r>
    </w:p>
    <w:p w14:paraId="1F391792">
      <w:pPr>
        <w:pStyle w:val="113"/>
        <w:spacing w:line="360" w:lineRule="auto"/>
        <w:ind w:firstLine="560"/>
        <w:rPr>
          <w:rFonts w:eastAsia="宋体"/>
          <w:szCs w:val="28"/>
        </w:rPr>
      </w:pPr>
      <w:r>
        <w:rPr>
          <w:rFonts w:hint="eastAsia" w:eastAsia="宋体"/>
          <w:szCs w:val="28"/>
        </w:rPr>
        <w:t>本矿山无存量采矿用地，不涉及新增用地与复垦修复存量采矿用地挂钩事宜。后续若涉及相关挂钩工作，将严格按照国家及地方相关规定，明确挂钩存量采矿用地的范围、地类、面积及腾退指标使用计划，并另行报批。</w:t>
      </w:r>
    </w:p>
    <w:p w14:paraId="6C4A02D8">
      <w:pPr>
        <w:pStyle w:val="88"/>
        <w:spacing w:line="360" w:lineRule="auto"/>
        <w:ind w:firstLine="565" w:firstLineChars="201"/>
        <w:jc w:val="both"/>
        <w:outlineLvl w:val="2"/>
        <w:rPr>
          <w:rFonts w:ascii="Times New Roman" w:cs="Times New Roman"/>
          <w:b/>
          <w:bCs/>
          <w:color w:val="auto"/>
          <w:sz w:val="28"/>
          <w:szCs w:val="28"/>
        </w:rPr>
      </w:pPr>
      <w:r>
        <w:rPr>
          <w:rFonts w:ascii="Times New Roman" w:cs="Times New Roman"/>
          <w:b/>
          <w:bCs/>
          <w:color w:val="auto"/>
          <w:sz w:val="28"/>
          <w:szCs w:val="28"/>
        </w:rPr>
        <w:t>三、用地拟复垦情况</w:t>
      </w:r>
    </w:p>
    <w:p w14:paraId="6E5C0B42">
      <w:pPr>
        <w:spacing w:line="360" w:lineRule="auto"/>
        <w:ind w:firstLine="560" w:firstLineChars="200"/>
        <w:rPr>
          <w:sz w:val="28"/>
          <w:szCs w:val="28"/>
        </w:rPr>
      </w:pPr>
      <w:r>
        <w:rPr>
          <w:rFonts w:hint="eastAsia"/>
          <w:sz w:val="28"/>
          <w:szCs w:val="28"/>
        </w:rPr>
        <w:t>生态修复</w:t>
      </w:r>
      <w:r>
        <w:rPr>
          <w:sz w:val="28"/>
          <w:szCs w:val="28"/>
        </w:rPr>
        <w:t>范围属于</w:t>
      </w:r>
      <w:r>
        <w:rPr>
          <w:kern w:val="0"/>
          <w:sz w:val="28"/>
          <w:szCs w:val="28"/>
        </w:rPr>
        <w:t>低山区，地形起伏较</w:t>
      </w:r>
      <w:r>
        <w:rPr>
          <w:rFonts w:hint="eastAsia"/>
          <w:kern w:val="0"/>
          <w:sz w:val="28"/>
          <w:szCs w:val="28"/>
        </w:rPr>
        <w:t>小</w:t>
      </w:r>
      <w:r>
        <w:rPr>
          <w:kern w:val="0"/>
          <w:sz w:val="28"/>
          <w:szCs w:val="28"/>
        </w:rPr>
        <w:t>，局部</w:t>
      </w:r>
      <w:r>
        <w:rPr>
          <w:sz w:val="28"/>
          <w:szCs w:val="28"/>
        </w:rPr>
        <w:t>地势陡峭，根据因地制宜、复垦后土地可持续利用原则以及综合效益等原则，复垦方向为</w:t>
      </w:r>
      <w:r>
        <w:rPr>
          <w:rFonts w:hint="eastAsia"/>
          <w:sz w:val="28"/>
          <w:szCs w:val="28"/>
        </w:rPr>
        <w:t>旱地、</w:t>
      </w:r>
      <w:r>
        <w:rPr>
          <w:sz w:val="28"/>
          <w:szCs w:val="28"/>
        </w:rPr>
        <w:t>乔木林地、人工牧草地；复垦</w:t>
      </w:r>
      <w:r>
        <w:rPr>
          <w:rFonts w:hint="eastAsia"/>
          <w:sz w:val="28"/>
          <w:szCs w:val="28"/>
        </w:rPr>
        <w:t>灌木</w:t>
      </w:r>
      <w:r>
        <w:rPr>
          <w:sz w:val="28"/>
          <w:szCs w:val="28"/>
        </w:rPr>
        <w:t>林地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，复垦草地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，复垦单元复垦结构调整见表3-</w:t>
      </w:r>
      <w:r>
        <w:rPr>
          <w:rFonts w:hint="eastAsia"/>
          <w:sz w:val="28"/>
          <w:szCs w:val="28"/>
        </w:rPr>
        <w:t>63</w:t>
      </w:r>
      <w:r>
        <w:rPr>
          <w:sz w:val="28"/>
          <w:szCs w:val="28"/>
        </w:rPr>
        <w:t>。</w:t>
      </w:r>
    </w:p>
    <w:p w14:paraId="5C28C74E">
      <w:pPr>
        <w:pStyle w:val="115"/>
        <w:rPr>
          <w:rFonts w:ascii="Times New Roman" w:hAnsi="Times New Roman" w:eastAsia="黑体" w:cs="Times New Roman"/>
          <w:sz w:val="24"/>
          <w:szCs w:val="24"/>
        </w:rPr>
      </w:pPr>
      <w:r>
        <w:rPr>
          <w:rFonts w:ascii="Times New Roman" w:hAnsi="Times New Roman" w:eastAsia="黑体" w:cs="Times New Roman"/>
          <w:sz w:val="24"/>
          <w:szCs w:val="24"/>
        </w:rPr>
        <w:t>表3-</w:t>
      </w:r>
      <w:r>
        <w:rPr>
          <w:rFonts w:hint="eastAsia" w:ascii="Times New Roman" w:hAnsi="Times New Roman" w:eastAsia="黑体" w:cs="Times New Roman"/>
          <w:sz w:val="24"/>
          <w:szCs w:val="24"/>
        </w:rPr>
        <w:t>63</w:t>
      </w:r>
      <w:r>
        <w:rPr>
          <w:rFonts w:ascii="Times New Roman" w:hAnsi="Times New Roman" w:eastAsia="黑体" w:cs="Times New Roman"/>
          <w:sz w:val="24"/>
          <w:szCs w:val="24"/>
        </w:rPr>
        <w:t xml:space="preserve">  评价单元适宜性评价土地复垦结构调整表</w:t>
      </w:r>
    </w:p>
    <w:p w14:paraId="2372DD92">
      <w:pPr>
        <w:pStyle w:val="115"/>
        <w:rPr>
          <w:rFonts w:ascii="Times New Roman" w:hAnsi="Times New Roman" w:eastAsia="黑体" w:cs="Times New Roman"/>
          <w:sz w:val="24"/>
          <w:szCs w:val="24"/>
        </w:rPr>
      </w:pPr>
      <w:r>
        <w:rPr>
          <w:rFonts w:ascii="Times New Roman" w:hAnsi="Times New Roman" w:eastAsia="黑体" w:cs="Times New Roman"/>
          <w:sz w:val="24"/>
          <w:szCs w:val="24"/>
        </w:rPr>
        <w:t>表3-</w:t>
      </w:r>
      <w:r>
        <w:rPr>
          <w:rFonts w:hint="eastAsia" w:ascii="Times New Roman" w:hAnsi="Times New Roman" w:eastAsia="黑体" w:cs="Times New Roman"/>
          <w:sz w:val="24"/>
          <w:szCs w:val="24"/>
        </w:rPr>
        <w:t>64</w:t>
      </w:r>
      <w:r>
        <w:rPr>
          <w:rFonts w:ascii="Times New Roman" w:hAnsi="Times New Roman" w:eastAsia="黑体" w:cs="Times New Roman"/>
          <w:sz w:val="24"/>
          <w:szCs w:val="24"/>
        </w:rPr>
        <w:t xml:space="preserve">  矿区生态修复目标及土地利用变化表</w:t>
      </w:r>
    </w:p>
    <w:p w14:paraId="08AAE28A">
      <w:pPr>
        <w:pStyle w:val="113"/>
        <w:spacing w:line="240" w:lineRule="auto"/>
        <w:ind w:firstLine="0" w:firstLineChars="0"/>
        <w:jc w:val="center"/>
        <w:rPr>
          <w:rFonts w:eastAsia="黑体"/>
          <w:sz w:val="24"/>
          <w:szCs w:val="24"/>
          <w:lang w:val="en-US"/>
        </w:rPr>
      </w:pPr>
      <w:bookmarkStart w:id="126" w:name="_Toc15266"/>
      <w:r>
        <w:rPr>
          <w:rFonts w:eastAsia="黑体"/>
          <w:sz w:val="24"/>
          <w:szCs w:val="24"/>
          <w:lang w:val="en-US"/>
        </w:rPr>
        <w:t>表3-</w:t>
      </w:r>
      <w:r>
        <w:rPr>
          <w:rFonts w:hint="eastAsia" w:eastAsia="黑体"/>
          <w:sz w:val="24"/>
          <w:szCs w:val="24"/>
          <w:lang w:val="en-US"/>
        </w:rPr>
        <w:t>65</w:t>
      </w:r>
      <w:r>
        <w:rPr>
          <w:rFonts w:eastAsia="黑体"/>
          <w:sz w:val="24"/>
          <w:szCs w:val="24"/>
          <w:lang w:val="en-US"/>
        </w:rPr>
        <w:t xml:space="preserve">  矿区用地与复垦修复计划表</w:t>
      </w:r>
      <w:bookmarkEnd w:id="126"/>
    </w:p>
    <w:p w14:paraId="1EC179F6">
      <w:pPr>
        <w:pStyle w:val="115"/>
        <w:rPr>
          <w:rFonts w:ascii="Times New Roman" w:hAnsi="Times New Roman" w:eastAsia="黑体" w:cs="Times New Roman"/>
          <w:sz w:val="24"/>
          <w:szCs w:val="24"/>
        </w:rPr>
      </w:pPr>
    </w:p>
    <w:p w14:paraId="7F70A42F">
      <w:pPr>
        <w:pStyle w:val="115"/>
        <w:rPr>
          <w:rFonts w:ascii="Times New Roman" w:hAnsi="Times New Roman" w:eastAsia="黑体" w:cs="Times New Roman"/>
          <w:sz w:val="24"/>
          <w:szCs w:val="24"/>
        </w:rPr>
      </w:pPr>
    </w:p>
    <w:p w14:paraId="1F57ACC4">
      <w:pPr>
        <w:pStyle w:val="115"/>
        <w:rPr>
          <w:rFonts w:ascii="Times New Roman" w:hAnsi="Times New Roman" w:eastAsia="黑体" w:cs="Times New Roman"/>
          <w:sz w:val="24"/>
          <w:szCs w:val="24"/>
        </w:rPr>
      </w:pPr>
      <w:r>
        <w:rPr>
          <w:rFonts w:ascii="Times New Roman" w:hAnsi="Times New Roman" w:eastAsia="黑体" w:cs="Times New Roman"/>
          <w:sz w:val="24"/>
          <w:szCs w:val="24"/>
        </w:rPr>
        <w:br w:type="page"/>
      </w:r>
    </w:p>
    <w:p w14:paraId="018BA144">
      <w:pPr>
        <w:pStyle w:val="115"/>
        <w:rPr>
          <w:rFonts w:ascii="Times New Roman" w:hAnsi="Times New Roman" w:eastAsia="黑体" w:cs="Times New Roman"/>
          <w:sz w:val="24"/>
          <w:szCs w:val="24"/>
        </w:rPr>
        <w:sectPr>
          <w:headerReference r:id="rId19" w:type="default"/>
          <w:pgSz w:w="11906" w:h="16838"/>
          <w:pgMar w:top="1219" w:right="1797" w:bottom="1440" w:left="1797" w:header="851" w:footer="992" w:gutter="0"/>
          <w:cols w:space="720" w:num="1"/>
          <w:docGrid w:linePitch="312" w:charSpace="0"/>
        </w:sectPr>
      </w:pPr>
    </w:p>
    <w:p w14:paraId="64B65ACF">
      <w:pPr>
        <w:pStyle w:val="3"/>
        <w:adjustRightInd w:val="0"/>
        <w:snapToGrid w:val="0"/>
        <w:spacing w:line="360" w:lineRule="auto"/>
        <w:jc w:val="center"/>
        <w:rPr>
          <w:rFonts w:eastAsia="黑体"/>
          <w:bCs/>
        </w:rPr>
      </w:pPr>
      <w:bookmarkStart w:id="127" w:name="_Toc6531"/>
      <w:r>
        <w:rPr>
          <w:rFonts w:eastAsia="黑体"/>
          <w:bCs/>
        </w:rPr>
        <w:t>第四章  生态修复措施与工程内容</w:t>
      </w:r>
      <w:bookmarkEnd w:id="127"/>
    </w:p>
    <w:p w14:paraId="42C69E60">
      <w:pPr>
        <w:keepNext/>
        <w:keepLines/>
        <w:adjustRightInd w:val="0"/>
        <w:snapToGrid w:val="0"/>
        <w:spacing w:before="120" w:beforeLines="50" w:line="360" w:lineRule="auto"/>
        <w:ind w:firstLine="602" w:firstLineChars="200"/>
        <w:jc w:val="center"/>
        <w:outlineLvl w:val="1"/>
        <w:rPr>
          <w:b/>
          <w:sz w:val="30"/>
        </w:rPr>
      </w:pPr>
      <w:bookmarkStart w:id="128" w:name="_Toc26219"/>
      <w:r>
        <w:rPr>
          <w:b/>
          <w:sz w:val="30"/>
        </w:rPr>
        <w:t>第一节 保护与预防控制措施</w:t>
      </w:r>
      <w:bookmarkEnd w:id="128"/>
    </w:p>
    <w:p w14:paraId="58B6B2BF">
      <w:pPr>
        <w:adjustRightInd w:val="0"/>
        <w:snapToGrid w:val="0"/>
        <w:spacing w:line="360" w:lineRule="auto"/>
        <w:ind w:firstLine="562" w:firstLineChars="200"/>
        <w:outlineLvl w:val="2"/>
        <w:rPr>
          <w:b/>
          <w:bCs/>
          <w:sz w:val="28"/>
          <w:szCs w:val="24"/>
        </w:rPr>
      </w:pPr>
      <w:r>
        <w:rPr>
          <w:b/>
          <w:bCs/>
          <w:sz w:val="28"/>
          <w:szCs w:val="24"/>
        </w:rPr>
        <w:t>一、敏感目标保护</w:t>
      </w:r>
    </w:p>
    <w:p w14:paraId="73F43C79">
      <w:pPr>
        <w:widowControl/>
        <w:adjustRightInd w:val="0"/>
        <w:snapToGrid w:val="0"/>
        <w:spacing w:line="360" w:lineRule="auto"/>
        <w:ind w:firstLine="560" w:firstLineChars="200"/>
        <w:rPr>
          <w:sz w:val="28"/>
          <w:szCs w:val="28"/>
        </w:rPr>
      </w:pPr>
      <w:r>
        <w:rPr>
          <w:sz w:val="28"/>
          <w:szCs w:val="28"/>
        </w:rPr>
        <w:t>经查阅资料，矿区不涉及《矿产资源法》第二十条规定不得开采矿产资源的地区，包括：港口、机场、国防工程设施圈定地区以内；重要工业区、大型水利工程设施、城镇市政工程设施附近一定距离以内；铁路、重要公路两侧一定距离以内；重要河流、堤坝两侧一定距离以内；国家划定的自然保护区、重要风景区，国家重点保护的不能移动的历史文物和名胜古迹所在地以及国家规定不得开采矿产资源的其他地区。</w:t>
      </w:r>
    </w:p>
    <w:p w14:paraId="7BC0EE28">
      <w:pPr>
        <w:widowControl/>
        <w:spacing w:line="360" w:lineRule="auto"/>
        <w:ind w:firstLine="560" w:firstLineChars="200"/>
        <w:rPr>
          <w:sz w:val="28"/>
          <w:szCs w:val="28"/>
        </w:rPr>
      </w:pPr>
      <w:r>
        <w:rPr>
          <w:rFonts w:hint="eastAsia"/>
          <w:sz w:val="28"/>
          <w:szCs w:val="28"/>
        </w:rPr>
        <w:t>1、已有工程损毁情形</w:t>
      </w:r>
    </w:p>
    <w:p w14:paraId="337D6CA4">
      <w:pPr>
        <w:widowControl/>
        <w:spacing w:line="360" w:lineRule="auto"/>
        <w:ind w:firstLine="560" w:firstLineChars="200"/>
        <w:rPr>
          <w:sz w:val="28"/>
          <w:szCs w:val="28"/>
        </w:rPr>
      </w:pPr>
      <w:r>
        <w:rPr>
          <w:sz w:val="28"/>
          <w:szCs w:val="28"/>
        </w:rPr>
        <w:t>矿区内目前已有工程，均不占用相关禁限区。现状条件下矿区内不存在已损毁的情形。</w:t>
      </w:r>
    </w:p>
    <w:p w14:paraId="6DBDB002">
      <w:pPr>
        <w:widowControl/>
        <w:spacing w:line="360" w:lineRule="auto"/>
        <w:ind w:firstLine="560" w:firstLineChars="200"/>
        <w:rPr>
          <w:sz w:val="28"/>
          <w:szCs w:val="28"/>
        </w:rPr>
      </w:pPr>
      <w:r>
        <w:rPr>
          <w:rFonts w:hint="eastAsia"/>
          <w:sz w:val="28"/>
          <w:szCs w:val="28"/>
        </w:rPr>
        <w:t>2、拟建工程损毁情形</w:t>
      </w:r>
    </w:p>
    <w:p w14:paraId="2116342A">
      <w:pPr>
        <w:widowControl/>
        <w:spacing w:line="360" w:lineRule="auto"/>
        <w:ind w:firstLine="560" w:firstLineChars="200"/>
        <w:rPr>
          <w:sz w:val="28"/>
          <w:szCs w:val="28"/>
        </w:rPr>
      </w:pPr>
      <w:r>
        <w:rPr>
          <w:sz w:val="28"/>
          <w:szCs w:val="28"/>
        </w:rPr>
        <w:t>《开发利用方案》中拟</w:t>
      </w:r>
      <w:r>
        <w:rPr>
          <w:rFonts w:hint="eastAsia"/>
          <w:sz w:val="28"/>
          <w:szCs w:val="28"/>
        </w:rPr>
        <w:t>建露天采场</w:t>
      </w:r>
      <w:r>
        <w:rPr>
          <w:sz w:val="28"/>
          <w:szCs w:val="28"/>
        </w:rPr>
        <w:t>及各公辅设施等地表工程均不占用相关禁限区。</w:t>
      </w:r>
    </w:p>
    <w:p w14:paraId="6BDBF769">
      <w:pPr>
        <w:widowControl/>
        <w:spacing w:line="360" w:lineRule="auto"/>
        <w:ind w:firstLine="560" w:firstLineChars="200"/>
        <w:rPr>
          <w:sz w:val="28"/>
          <w:szCs w:val="28"/>
        </w:rPr>
      </w:pPr>
      <w:r>
        <w:rPr>
          <w:rFonts w:hint="eastAsia"/>
          <w:sz w:val="28"/>
          <w:szCs w:val="28"/>
        </w:rPr>
        <w:t>3、开采过程中保护措施</w:t>
      </w:r>
    </w:p>
    <w:p w14:paraId="70AF7446">
      <w:pPr>
        <w:widowControl/>
        <w:spacing w:line="360" w:lineRule="auto"/>
        <w:ind w:firstLine="560" w:firstLineChars="200"/>
        <w:rPr>
          <w:sz w:val="28"/>
          <w:szCs w:val="28"/>
        </w:rPr>
      </w:pPr>
      <w:r>
        <w:rPr>
          <w:rFonts w:hint="eastAsia"/>
          <w:sz w:val="28"/>
          <w:szCs w:val="28"/>
        </w:rPr>
        <w:t>（1）矿山开采时应在露天境界外设置隔离网与周边农田进行隔离封闭，隔离网高度不应小于</w:t>
      </w:r>
      <w:r>
        <w:rPr>
          <w:rFonts w:hint="eastAsia" w:ascii="宋体" w:hAnsi="宋体" w:cs="宋体"/>
          <w:spacing w:val="13"/>
          <w:sz w:val="32"/>
          <w:szCs w:val="32"/>
        </w:rPr>
        <w:t>***</w:t>
      </w:r>
      <w:r>
        <w:rPr>
          <w:rFonts w:hint="eastAsia"/>
          <w:sz w:val="28"/>
          <w:szCs w:val="28"/>
        </w:rPr>
        <w:t>m，并设置警示标志，矿山还应设置监控监测设施，并派人定期巡逻，防止人畜坠落。</w:t>
      </w:r>
    </w:p>
    <w:p w14:paraId="160C8875">
      <w:pPr>
        <w:widowControl/>
        <w:spacing w:line="360" w:lineRule="auto"/>
        <w:ind w:firstLine="560" w:firstLineChars="200"/>
        <w:rPr>
          <w:sz w:val="28"/>
          <w:szCs w:val="28"/>
        </w:rPr>
      </w:pPr>
      <w:r>
        <w:rPr>
          <w:rFonts w:hint="eastAsia"/>
          <w:sz w:val="28"/>
          <w:szCs w:val="28"/>
        </w:rPr>
        <w:t>（2）矿区道路应采取硬化矿区道路、设置道路网围栏、挖掘排洪水沟等措施，同时安排专用水车对矿区运输道路定期洒水降尘，避免粉尘污染周边环境。</w:t>
      </w:r>
    </w:p>
    <w:p w14:paraId="79DBC10C">
      <w:pPr>
        <w:widowControl/>
        <w:spacing w:line="360" w:lineRule="auto"/>
        <w:ind w:firstLine="560" w:firstLineChars="200"/>
        <w:rPr>
          <w:sz w:val="28"/>
          <w:szCs w:val="28"/>
        </w:rPr>
      </w:pPr>
      <w:r>
        <w:rPr>
          <w:rFonts w:hint="eastAsia"/>
          <w:sz w:val="28"/>
          <w:szCs w:val="28"/>
        </w:rPr>
        <w:t>（3）因地制宜种草植树，抑制粉尘污染，降低噪声，美化绿化矿区及周边环境，净化空气。</w:t>
      </w:r>
    </w:p>
    <w:p w14:paraId="7E89F3AC">
      <w:pPr>
        <w:widowControl/>
        <w:spacing w:line="360" w:lineRule="auto"/>
        <w:ind w:firstLine="560" w:firstLineChars="200"/>
        <w:rPr>
          <w:sz w:val="28"/>
          <w:szCs w:val="28"/>
        </w:rPr>
      </w:pPr>
    </w:p>
    <w:p w14:paraId="0D5619AE">
      <w:pPr>
        <w:pStyle w:val="5"/>
        <w:spacing w:line="360" w:lineRule="auto"/>
        <w:ind w:firstLine="562" w:firstLineChars="200"/>
        <w:rPr>
          <w:rFonts w:ascii="Times New Roman"/>
          <w:b/>
          <w:bCs/>
          <w:sz w:val="28"/>
          <w:szCs w:val="24"/>
        </w:rPr>
      </w:pPr>
      <w:r>
        <w:rPr>
          <w:rFonts w:ascii="Times New Roman"/>
          <w:b/>
          <w:bCs/>
          <w:sz w:val="28"/>
          <w:szCs w:val="24"/>
        </w:rPr>
        <w:t>二、表土剥离与植被移植利用</w:t>
      </w:r>
    </w:p>
    <w:p w14:paraId="3B23D5FE">
      <w:pPr>
        <w:widowControl/>
        <w:spacing w:line="360" w:lineRule="auto"/>
        <w:ind w:firstLine="560" w:firstLineChars="200"/>
        <w:rPr>
          <w:kern w:val="0"/>
          <w:sz w:val="28"/>
          <w:szCs w:val="28"/>
        </w:rPr>
      </w:pPr>
      <w:r>
        <w:rPr>
          <w:kern w:val="0"/>
          <w:sz w:val="28"/>
          <w:szCs w:val="28"/>
        </w:rPr>
        <w:t>（一）表土剥离</w:t>
      </w:r>
    </w:p>
    <w:p w14:paraId="68D54A70">
      <w:pPr>
        <w:widowControl/>
        <w:spacing w:line="360" w:lineRule="auto"/>
        <w:ind w:firstLine="560" w:firstLineChars="200"/>
        <w:rPr>
          <w:kern w:val="0"/>
          <w:sz w:val="28"/>
          <w:szCs w:val="28"/>
        </w:rPr>
      </w:pPr>
      <w:r>
        <w:rPr>
          <w:rFonts w:hint="eastAsia"/>
          <w:kern w:val="0"/>
          <w:sz w:val="28"/>
          <w:szCs w:val="28"/>
        </w:rPr>
        <w:t>矿山采用露天开采，由于现状矿区大部分区域基岩裸露，矿区范围表土覆盖较薄，表土工程量极少，</w:t>
      </w:r>
      <w:r>
        <w:rPr>
          <w:kern w:val="0"/>
          <w:sz w:val="28"/>
          <w:szCs w:val="28"/>
        </w:rPr>
        <w:t>为减少工程对土地资源的破坏，不再单独设置表土堆场，不再新增损毁土地。拟建</w:t>
      </w:r>
      <w:r>
        <w:rPr>
          <w:rFonts w:hint="eastAsia"/>
          <w:kern w:val="0"/>
          <w:sz w:val="28"/>
          <w:szCs w:val="28"/>
        </w:rPr>
        <w:t>露天采场</w:t>
      </w:r>
      <w:r>
        <w:rPr>
          <w:kern w:val="0"/>
          <w:sz w:val="28"/>
          <w:szCs w:val="28"/>
        </w:rPr>
        <w:t>表土剥离用于和现状场地的覆土，不再设置存放地，不再单独计费。</w:t>
      </w:r>
    </w:p>
    <w:p w14:paraId="59958A5F">
      <w:pPr>
        <w:widowControl/>
        <w:spacing w:line="360" w:lineRule="auto"/>
        <w:ind w:firstLine="560" w:firstLineChars="200"/>
        <w:rPr>
          <w:kern w:val="0"/>
          <w:sz w:val="28"/>
          <w:szCs w:val="28"/>
        </w:rPr>
      </w:pPr>
      <w:r>
        <w:rPr>
          <w:kern w:val="0"/>
          <w:sz w:val="28"/>
          <w:szCs w:val="28"/>
        </w:rPr>
        <w:t>（二）植被移植利用</w:t>
      </w:r>
    </w:p>
    <w:p w14:paraId="58EA36A0">
      <w:pPr>
        <w:spacing w:line="360" w:lineRule="auto"/>
        <w:ind w:firstLine="560" w:firstLineChars="200"/>
        <w:rPr>
          <w:sz w:val="28"/>
          <w:szCs w:val="28"/>
        </w:rPr>
      </w:pPr>
      <w:r>
        <w:rPr>
          <w:rFonts w:hint="eastAsia"/>
          <w:sz w:val="28"/>
          <w:szCs w:val="28"/>
        </w:rPr>
        <w:t>在系统查阅国家和地方动物志等资料，走访当地村民的基础上，结合现场调查，修复区内未发现国家林业和草原局农业农村部公告（2021年第15号）《国家重点保护野生植物名录》中列入的国家重点保护野生植物种。矿区内植被恢复均进行原址恢复，不进行植被移植利用。</w:t>
      </w:r>
    </w:p>
    <w:p w14:paraId="2C3E8958">
      <w:pPr>
        <w:pStyle w:val="5"/>
        <w:spacing w:line="360" w:lineRule="auto"/>
        <w:ind w:firstLine="562" w:firstLineChars="200"/>
        <w:rPr>
          <w:rFonts w:ascii="Times New Roman"/>
          <w:b/>
          <w:bCs/>
          <w:sz w:val="28"/>
          <w:szCs w:val="24"/>
        </w:rPr>
      </w:pPr>
      <w:r>
        <w:rPr>
          <w:rFonts w:ascii="Times New Roman"/>
          <w:b/>
          <w:bCs/>
          <w:sz w:val="28"/>
          <w:szCs w:val="24"/>
        </w:rPr>
        <w:t>三、相关协同措施</w:t>
      </w:r>
    </w:p>
    <w:p w14:paraId="7627BA0D">
      <w:pPr>
        <w:widowControl/>
        <w:spacing w:line="360" w:lineRule="auto"/>
        <w:ind w:firstLine="560" w:firstLineChars="200"/>
        <w:rPr>
          <w:kern w:val="0"/>
          <w:sz w:val="28"/>
          <w:szCs w:val="28"/>
          <w:lang w:bidi="ar"/>
        </w:rPr>
      </w:pPr>
      <w:r>
        <w:rPr>
          <w:rFonts w:hint="eastAsia"/>
          <w:kern w:val="0"/>
          <w:sz w:val="28"/>
          <w:szCs w:val="28"/>
          <w:lang w:bidi="ar"/>
        </w:rPr>
        <w:t>本部分协同措施均不属于方案涉及的生态修复措施，衔接前文矿区生态系统恢复相关工作，主要为应急、生态环境、水利、林草、农业等相关部门与地方政府协同推进的预防控制与修复治理措施，矿山应严格按照各行业主管部门的要求，落实各项协同工作，具体如下：</w:t>
      </w:r>
    </w:p>
    <w:p w14:paraId="6D1970B1">
      <w:pPr>
        <w:widowControl/>
        <w:spacing w:line="360" w:lineRule="auto"/>
        <w:ind w:firstLine="560" w:firstLineChars="200"/>
        <w:rPr>
          <w:kern w:val="0"/>
          <w:sz w:val="28"/>
          <w:szCs w:val="28"/>
          <w:lang w:bidi="ar"/>
        </w:rPr>
      </w:pPr>
      <w:r>
        <w:rPr>
          <w:kern w:val="0"/>
          <w:sz w:val="28"/>
          <w:szCs w:val="28"/>
          <w:lang w:bidi="ar"/>
        </w:rPr>
        <w:t>1、露天采场的网围栏与警示牌等安全预防措施</w:t>
      </w:r>
    </w:p>
    <w:p w14:paraId="04052CC4">
      <w:pPr>
        <w:widowControl/>
        <w:spacing w:line="360" w:lineRule="auto"/>
        <w:ind w:firstLine="560" w:firstLineChars="200"/>
        <w:rPr>
          <w:kern w:val="0"/>
          <w:sz w:val="28"/>
          <w:szCs w:val="28"/>
          <w:lang w:bidi="ar"/>
        </w:rPr>
      </w:pPr>
      <w:r>
        <w:rPr>
          <w:kern w:val="0"/>
          <w:sz w:val="28"/>
          <w:szCs w:val="28"/>
          <w:lang w:bidi="ar"/>
        </w:rPr>
        <w:t>矿山应按照应急管理部门及地方政府的要求，在露天采场外围规范设置网围栏、安全警示牌，明确警示范围、危险提示及防护要求，防范人员、牲畜误入危险区域；</w:t>
      </w:r>
      <w:r>
        <w:rPr>
          <w:rFonts w:hint="eastAsia"/>
          <w:kern w:val="0"/>
          <w:sz w:val="28"/>
          <w:szCs w:val="28"/>
          <w:lang w:bidi="ar"/>
        </w:rPr>
        <w:t>落实</w:t>
      </w:r>
      <w:r>
        <w:rPr>
          <w:kern w:val="0"/>
          <w:sz w:val="28"/>
          <w:szCs w:val="28"/>
          <w:lang w:bidi="ar"/>
        </w:rPr>
        <w:t>应急管理部门定期开展</w:t>
      </w:r>
      <w:r>
        <w:rPr>
          <w:rFonts w:hint="eastAsia"/>
          <w:kern w:val="0"/>
          <w:sz w:val="28"/>
          <w:szCs w:val="28"/>
          <w:lang w:bidi="ar"/>
        </w:rPr>
        <w:t>的</w:t>
      </w:r>
      <w:r>
        <w:rPr>
          <w:kern w:val="0"/>
          <w:sz w:val="28"/>
          <w:szCs w:val="28"/>
          <w:lang w:bidi="ar"/>
        </w:rPr>
        <w:t>安全隐患排查，确保安全预防措施落地见效。</w:t>
      </w:r>
    </w:p>
    <w:p w14:paraId="5593156C">
      <w:pPr>
        <w:widowControl/>
        <w:spacing w:line="360" w:lineRule="auto"/>
        <w:ind w:firstLine="560" w:firstLineChars="200"/>
        <w:rPr>
          <w:kern w:val="0"/>
          <w:sz w:val="28"/>
          <w:szCs w:val="28"/>
          <w:lang w:bidi="ar"/>
        </w:rPr>
      </w:pPr>
      <w:r>
        <w:rPr>
          <w:kern w:val="0"/>
          <w:sz w:val="28"/>
          <w:szCs w:val="28"/>
          <w:lang w:bidi="ar"/>
        </w:rPr>
        <w:t>2、采场边坡的稳定性</w:t>
      </w:r>
    </w:p>
    <w:p w14:paraId="06A9AF3F">
      <w:pPr>
        <w:widowControl/>
        <w:spacing w:line="360" w:lineRule="auto"/>
        <w:ind w:firstLine="560" w:firstLineChars="200"/>
        <w:rPr>
          <w:kern w:val="0"/>
          <w:sz w:val="28"/>
          <w:szCs w:val="28"/>
          <w:lang w:bidi="ar"/>
        </w:rPr>
      </w:pPr>
      <w:r>
        <w:rPr>
          <w:kern w:val="0"/>
          <w:sz w:val="28"/>
          <w:szCs w:val="28"/>
          <w:lang w:bidi="ar"/>
        </w:rPr>
        <w:t>矿山应按照应急管理部门、自然资源部门（非生态修复职责范畴）的要求，对采场与排土场边坡开展常态化稳定性排查，及时清理边坡危岩体，建立三维监测网，运用无人机航测、GNSS监测设备等技术实时监测边坡稳定性，每月生成监测报告并上报相关部门；对不稳定边坡，严格实施危岩体清理、岩体节理裂隙喷浆挂网加固等处置措施，降低崩塌、滑坡风险，矿山应</w:t>
      </w:r>
      <w:r>
        <w:rPr>
          <w:rFonts w:hint="eastAsia"/>
          <w:kern w:val="0"/>
          <w:sz w:val="28"/>
          <w:szCs w:val="28"/>
          <w:lang w:bidi="ar"/>
        </w:rPr>
        <w:t>配合</w:t>
      </w:r>
      <w:r>
        <w:rPr>
          <w:kern w:val="0"/>
          <w:sz w:val="28"/>
          <w:szCs w:val="28"/>
          <w:lang w:bidi="ar"/>
        </w:rPr>
        <w:t>相关部门协同开展边坡稳定性监督检查，确保措施执行到位。</w:t>
      </w:r>
    </w:p>
    <w:p w14:paraId="36B4C3A7">
      <w:pPr>
        <w:widowControl/>
        <w:spacing w:line="360" w:lineRule="auto"/>
        <w:ind w:firstLine="560" w:firstLineChars="200"/>
        <w:rPr>
          <w:kern w:val="0"/>
          <w:sz w:val="28"/>
          <w:szCs w:val="28"/>
          <w:lang w:bidi="ar"/>
        </w:rPr>
      </w:pPr>
      <w:r>
        <w:rPr>
          <w:rFonts w:hint="eastAsia"/>
          <w:kern w:val="0"/>
          <w:sz w:val="28"/>
          <w:szCs w:val="28"/>
          <w:lang w:bidi="ar"/>
        </w:rPr>
        <w:t>3</w:t>
      </w:r>
      <w:r>
        <w:rPr>
          <w:kern w:val="0"/>
          <w:sz w:val="28"/>
          <w:szCs w:val="28"/>
          <w:lang w:bidi="ar"/>
        </w:rPr>
        <w:t>、水土流失防治</w:t>
      </w:r>
    </w:p>
    <w:p w14:paraId="4FC2A73F">
      <w:pPr>
        <w:widowControl/>
        <w:spacing w:line="360" w:lineRule="auto"/>
        <w:ind w:firstLine="560" w:firstLineChars="200"/>
        <w:rPr>
          <w:kern w:val="0"/>
          <w:sz w:val="28"/>
          <w:szCs w:val="28"/>
          <w:lang w:bidi="ar"/>
        </w:rPr>
      </w:pPr>
      <w:r>
        <w:rPr>
          <w:kern w:val="0"/>
          <w:sz w:val="28"/>
          <w:szCs w:val="28"/>
          <w:lang w:bidi="ar"/>
        </w:rPr>
        <w:t>矿山应按照水利部门、林草部门的要求，落实水土流失防治协同措施，在采场、排土场、矿区道路等区域布设挡水围堰、截排水沟等工程设施，减少地表径流冲刷；在裸露区域及时采取临时覆盖措施，配合林草部门做好植被防护的辅助工作，遏制水土流失扩散。</w:t>
      </w:r>
      <w:r>
        <w:rPr>
          <w:rFonts w:hint="eastAsia"/>
          <w:kern w:val="0"/>
          <w:sz w:val="28"/>
          <w:szCs w:val="28"/>
          <w:lang w:bidi="ar"/>
        </w:rPr>
        <w:t>配合落实</w:t>
      </w:r>
      <w:r>
        <w:rPr>
          <w:kern w:val="0"/>
          <w:sz w:val="28"/>
          <w:szCs w:val="28"/>
          <w:lang w:bidi="ar"/>
        </w:rPr>
        <w:t>水利部门</w:t>
      </w:r>
      <w:r>
        <w:rPr>
          <w:rFonts w:hint="eastAsia"/>
          <w:kern w:val="0"/>
          <w:sz w:val="28"/>
          <w:szCs w:val="28"/>
          <w:lang w:bidi="ar"/>
        </w:rPr>
        <w:t>开展的</w:t>
      </w:r>
      <w:r>
        <w:rPr>
          <w:kern w:val="0"/>
          <w:sz w:val="28"/>
          <w:szCs w:val="28"/>
          <w:lang w:bidi="ar"/>
        </w:rPr>
        <w:t>水土流失防治工程的技术指导和监督</w:t>
      </w:r>
      <w:r>
        <w:rPr>
          <w:rFonts w:hint="eastAsia"/>
          <w:kern w:val="0"/>
          <w:sz w:val="28"/>
          <w:szCs w:val="28"/>
          <w:lang w:bidi="ar"/>
        </w:rPr>
        <w:t>工作</w:t>
      </w:r>
      <w:r>
        <w:rPr>
          <w:kern w:val="0"/>
          <w:sz w:val="28"/>
          <w:szCs w:val="28"/>
          <w:lang w:bidi="ar"/>
        </w:rPr>
        <w:t>。</w:t>
      </w:r>
    </w:p>
    <w:p w14:paraId="799703F5">
      <w:pPr>
        <w:widowControl/>
        <w:spacing w:line="360" w:lineRule="auto"/>
        <w:ind w:firstLine="560" w:firstLineChars="200"/>
        <w:rPr>
          <w:kern w:val="0"/>
          <w:sz w:val="28"/>
          <w:szCs w:val="28"/>
          <w:lang w:bidi="ar"/>
        </w:rPr>
      </w:pPr>
      <w:r>
        <w:rPr>
          <w:rFonts w:hint="eastAsia"/>
          <w:kern w:val="0"/>
          <w:sz w:val="28"/>
          <w:szCs w:val="28"/>
          <w:lang w:bidi="ar"/>
        </w:rPr>
        <w:t>4</w:t>
      </w:r>
      <w:r>
        <w:rPr>
          <w:kern w:val="0"/>
          <w:sz w:val="28"/>
          <w:szCs w:val="28"/>
          <w:lang w:bidi="ar"/>
        </w:rPr>
        <w:t>、环境污染的预防措施</w:t>
      </w:r>
    </w:p>
    <w:p w14:paraId="317FD9AC">
      <w:pPr>
        <w:widowControl/>
        <w:spacing w:line="360" w:lineRule="auto"/>
        <w:ind w:firstLine="560" w:firstLineChars="200"/>
        <w:rPr>
          <w:kern w:val="0"/>
          <w:sz w:val="28"/>
          <w:szCs w:val="28"/>
          <w:lang w:bidi="ar"/>
        </w:rPr>
      </w:pPr>
      <w:r>
        <w:rPr>
          <w:kern w:val="0"/>
          <w:sz w:val="28"/>
          <w:szCs w:val="28"/>
          <w:lang w:bidi="ar"/>
        </w:rPr>
        <w:t>矿山应按照生态环境部门的要求，落实各类环境污染预防措施，加强矿山扬尘管控，对运输道路定期洒水降尘、运输车辆加盖篷布，减少扬尘污染；规范废石、废渣堆放，设置防渗、防流失设施，防范污染物渗漏；定期开展环境监测，及时排查污染隐患。</w:t>
      </w:r>
      <w:r>
        <w:rPr>
          <w:rFonts w:hint="eastAsia"/>
          <w:kern w:val="0"/>
          <w:sz w:val="28"/>
          <w:szCs w:val="28"/>
          <w:lang w:bidi="ar"/>
        </w:rPr>
        <w:t>落实</w:t>
      </w:r>
      <w:r>
        <w:rPr>
          <w:kern w:val="0"/>
          <w:sz w:val="28"/>
          <w:szCs w:val="28"/>
          <w:lang w:bidi="ar"/>
        </w:rPr>
        <w:t>生态环境部门环境污染预防措施的监督指导</w:t>
      </w:r>
      <w:r>
        <w:rPr>
          <w:rFonts w:hint="eastAsia"/>
          <w:kern w:val="0"/>
          <w:sz w:val="28"/>
          <w:szCs w:val="28"/>
          <w:lang w:bidi="ar"/>
        </w:rPr>
        <w:t>工作，</w:t>
      </w:r>
      <w:r>
        <w:rPr>
          <w:kern w:val="0"/>
          <w:sz w:val="28"/>
          <w:szCs w:val="28"/>
          <w:lang w:bidi="ar"/>
        </w:rPr>
        <w:t>农业部门</w:t>
      </w:r>
      <w:r>
        <w:rPr>
          <w:rFonts w:hint="eastAsia"/>
          <w:kern w:val="0"/>
          <w:sz w:val="28"/>
          <w:szCs w:val="28"/>
          <w:lang w:bidi="ar"/>
        </w:rPr>
        <w:t>的</w:t>
      </w:r>
      <w:r>
        <w:rPr>
          <w:kern w:val="0"/>
          <w:sz w:val="28"/>
          <w:szCs w:val="28"/>
          <w:lang w:bidi="ar"/>
        </w:rPr>
        <w:t>周边农田污染防范指导工作。</w:t>
      </w:r>
    </w:p>
    <w:p w14:paraId="10CE6524">
      <w:pPr>
        <w:widowControl/>
        <w:spacing w:line="360" w:lineRule="auto"/>
        <w:ind w:firstLine="560" w:firstLineChars="200"/>
        <w:rPr>
          <w:kern w:val="0"/>
          <w:sz w:val="28"/>
          <w:szCs w:val="28"/>
          <w:lang w:bidi="ar"/>
        </w:rPr>
      </w:pPr>
      <w:r>
        <w:rPr>
          <w:rFonts w:hint="eastAsia"/>
          <w:kern w:val="0"/>
          <w:sz w:val="28"/>
          <w:szCs w:val="28"/>
          <w:lang w:bidi="ar"/>
        </w:rPr>
        <w:t>5</w:t>
      </w:r>
      <w:r>
        <w:rPr>
          <w:kern w:val="0"/>
          <w:sz w:val="28"/>
          <w:szCs w:val="28"/>
          <w:lang w:bidi="ar"/>
        </w:rPr>
        <w:t>、矿山固废综合利用</w:t>
      </w:r>
    </w:p>
    <w:p w14:paraId="590ADEC2">
      <w:pPr>
        <w:widowControl/>
        <w:spacing w:line="360" w:lineRule="auto"/>
        <w:ind w:firstLine="560" w:firstLineChars="200"/>
        <w:rPr>
          <w:kern w:val="0"/>
          <w:sz w:val="28"/>
          <w:szCs w:val="28"/>
          <w:lang w:bidi="ar"/>
        </w:rPr>
      </w:pPr>
      <w:r>
        <w:rPr>
          <w:kern w:val="0"/>
          <w:sz w:val="28"/>
          <w:szCs w:val="28"/>
          <w:lang w:bidi="ar"/>
        </w:rPr>
        <w:t>矿山应按照自然资源部门、生态环境部门、水利部门的要求，推进矿山固废（废石、废渣等）综合利用，结合矿山生产需求及周边产业特点，制定固废综合利用方案，提高固废资源化利用率。</w:t>
      </w:r>
    </w:p>
    <w:p w14:paraId="111099A9">
      <w:pPr>
        <w:widowControl/>
        <w:spacing w:line="360" w:lineRule="auto"/>
        <w:ind w:firstLine="560" w:firstLineChars="200"/>
        <w:rPr>
          <w:kern w:val="0"/>
          <w:sz w:val="28"/>
          <w:szCs w:val="28"/>
          <w:lang w:bidi="ar"/>
        </w:rPr>
      </w:pPr>
      <w:r>
        <w:rPr>
          <w:rFonts w:hint="eastAsia"/>
          <w:kern w:val="0"/>
          <w:sz w:val="28"/>
          <w:szCs w:val="28"/>
          <w:lang w:bidi="ar"/>
        </w:rPr>
        <w:t>6</w:t>
      </w:r>
      <w:r>
        <w:rPr>
          <w:kern w:val="0"/>
          <w:sz w:val="28"/>
          <w:szCs w:val="28"/>
          <w:lang w:bidi="ar"/>
        </w:rPr>
        <w:t>、生产</w:t>
      </w:r>
      <w:r>
        <w:rPr>
          <w:rFonts w:hint="eastAsia"/>
          <w:kern w:val="0"/>
          <w:sz w:val="28"/>
          <w:szCs w:val="28"/>
          <w:lang w:bidi="ar"/>
        </w:rPr>
        <w:t>废水</w:t>
      </w:r>
      <w:r>
        <w:rPr>
          <w:kern w:val="0"/>
          <w:sz w:val="28"/>
          <w:szCs w:val="28"/>
          <w:lang w:bidi="ar"/>
        </w:rPr>
        <w:t>与生活污水的处理</w:t>
      </w:r>
    </w:p>
    <w:p w14:paraId="44E3B26C">
      <w:pPr>
        <w:widowControl/>
        <w:spacing w:line="360" w:lineRule="auto"/>
        <w:ind w:firstLine="560" w:firstLineChars="200"/>
        <w:rPr>
          <w:kern w:val="0"/>
          <w:sz w:val="28"/>
          <w:szCs w:val="28"/>
          <w:lang w:bidi="ar"/>
        </w:rPr>
      </w:pPr>
      <w:r>
        <w:rPr>
          <w:kern w:val="0"/>
          <w:sz w:val="28"/>
          <w:szCs w:val="28"/>
          <w:lang w:bidi="ar"/>
        </w:rPr>
        <w:t>矿山应按照生态环境部门、水利部门的要求，建设、升级生产与生活污水处理设施，对矿坑水、员工生活污水进行分类处理，确保</w:t>
      </w:r>
      <w:r>
        <w:rPr>
          <w:rFonts w:hint="eastAsia"/>
          <w:kern w:val="0"/>
          <w:sz w:val="28"/>
          <w:szCs w:val="28"/>
          <w:lang w:bidi="ar"/>
        </w:rPr>
        <w:t>污水综合利用</w:t>
      </w:r>
      <w:r>
        <w:rPr>
          <w:kern w:val="0"/>
          <w:sz w:val="28"/>
          <w:szCs w:val="28"/>
          <w:lang w:bidi="ar"/>
        </w:rPr>
        <w:t>；规范污水处理设施运行管理，定期开展检修维护，确保设施稳定运行。</w:t>
      </w:r>
      <w:r>
        <w:rPr>
          <w:rFonts w:hint="eastAsia"/>
          <w:kern w:val="0"/>
          <w:sz w:val="28"/>
          <w:szCs w:val="28"/>
          <w:lang w:bidi="ar"/>
        </w:rPr>
        <w:t>落实</w:t>
      </w:r>
      <w:r>
        <w:rPr>
          <w:kern w:val="0"/>
          <w:sz w:val="28"/>
          <w:szCs w:val="28"/>
          <w:lang w:bidi="ar"/>
        </w:rPr>
        <w:t>生态环境部门</w:t>
      </w:r>
      <w:r>
        <w:rPr>
          <w:rFonts w:hint="eastAsia"/>
          <w:kern w:val="0"/>
          <w:sz w:val="28"/>
          <w:szCs w:val="28"/>
          <w:lang w:bidi="ar"/>
        </w:rPr>
        <w:t>开展的</w:t>
      </w:r>
      <w:r>
        <w:rPr>
          <w:kern w:val="0"/>
          <w:sz w:val="28"/>
          <w:szCs w:val="28"/>
          <w:lang w:bidi="ar"/>
        </w:rPr>
        <w:t>污水处理环保监督</w:t>
      </w:r>
      <w:r>
        <w:rPr>
          <w:rFonts w:hint="eastAsia"/>
          <w:kern w:val="0"/>
          <w:sz w:val="28"/>
          <w:szCs w:val="28"/>
          <w:lang w:bidi="ar"/>
        </w:rPr>
        <w:t>工作</w:t>
      </w:r>
      <w:r>
        <w:rPr>
          <w:kern w:val="0"/>
          <w:sz w:val="28"/>
          <w:szCs w:val="28"/>
          <w:lang w:bidi="ar"/>
        </w:rPr>
        <w:t>，水利部门</w:t>
      </w:r>
      <w:r>
        <w:rPr>
          <w:rFonts w:hint="eastAsia"/>
          <w:kern w:val="0"/>
          <w:sz w:val="28"/>
          <w:szCs w:val="28"/>
          <w:lang w:bidi="ar"/>
        </w:rPr>
        <w:t>开展的</w:t>
      </w:r>
      <w:r>
        <w:rPr>
          <w:kern w:val="0"/>
          <w:sz w:val="28"/>
          <w:szCs w:val="28"/>
          <w:lang w:bidi="ar"/>
        </w:rPr>
        <w:t>水资源回用统筹协调</w:t>
      </w:r>
      <w:r>
        <w:rPr>
          <w:rFonts w:hint="eastAsia"/>
          <w:kern w:val="0"/>
          <w:sz w:val="28"/>
          <w:szCs w:val="28"/>
          <w:lang w:bidi="ar"/>
        </w:rPr>
        <w:t>工作</w:t>
      </w:r>
      <w:r>
        <w:rPr>
          <w:kern w:val="0"/>
          <w:sz w:val="28"/>
          <w:szCs w:val="28"/>
          <w:lang w:bidi="ar"/>
        </w:rPr>
        <w:t>。</w:t>
      </w:r>
    </w:p>
    <w:p w14:paraId="6E40C4C1">
      <w:pPr>
        <w:pStyle w:val="4"/>
        <w:spacing w:before="0" w:beforeLines="0"/>
        <w:ind w:firstLine="602" w:firstLineChars="200"/>
        <w:rPr>
          <w:rFonts w:ascii="Times New Roman" w:hAnsi="Times New Roman"/>
        </w:rPr>
      </w:pPr>
      <w:bookmarkStart w:id="129" w:name="_Toc28905"/>
      <w:r>
        <w:rPr>
          <w:rFonts w:ascii="Times New Roman" w:hAnsi="Times New Roman"/>
        </w:rPr>
        <w:t>第二节  修复措施</w:t>
      </w:r>
      <w:bookmarkEnd w:id="129"/>
    </w:p>
    <w:p w14:paraId="45C9130E">
      <w:pPr>
        <w:spacing w:line="360" w:lineRule="auto"/>
        <w:ind w:firstLine="562" w:firstLineChars="200"/>
        <w:outlineLvl w:val="2"/>
        <w:rPr>
          <w:b/>
          <w:bCs/>
          <w:sz w:val="28"/>
          <w:szCs w:val="24"/>
        </w:rPr>
      </w:pPr>
      <w:r>
        <w:rPr>
          <w:b/>
          <w:bCs/>
          <w:sz w:val="28"/>
          <w:szCs w:val="24"/>
        </w:rPr>
        <w:t>一、地貌重塑</w:t>
      </w:r>
    </w:p>
    <w:p w14:paraId="4DECCC23">
      <w:pPr>
        <w:widowControl/>
        <w:spacing w:line="360" w:lineRule="auto"/>
        <w:ind w:firstLine="560" w:firstLineChars="200"/>
        <w:rPr>
          <w:sz w:val="28"/>
          <w:szCs w:val="28"/>
        </w:rPr>
      </w:pPr>
      <w:r>
        <w:rPr>
          <w:sz w:val="28"/>
          <w:szCs w:val="28"/>
        </w:rPr>
        <w:t>在推进地貌修复工程时，地貌重塑作业，避免分阶段施工导致的生态断档实现“地貌平整-土壤改良-保水固土”的区域化连续作业。</w:t>
      </w:r>
    </w:p>
    <w:p w14:paraId="10604292">
      <w:pPr>
        <w:widowControl/>
        <w:spacing w:line="360" w:lineRule="auto"/>
        <w:ind w:firstLine="560" w:firstLineChars="200"/>
        <w:rPr>
          <w:sz w:val="28"/>
          <w:szCs w:val="28"/>
        </w:rPr>
      </w:pPr>
      <w:r>
        <w:rPr>
          <w:sz w:val="28"/>
          <w:szCs w:val="28"/>
        </w:rPr>
        <w:t>清理垫坡施工时尽量利用原有平台进行规整、减少坡度角，并对坡面松散堆积体进行清理，然后采取机械和人工相结合的办法，对不规则且坡度较大的土质斜坡进行降坡，增强坡体稳定性；对表层坑洼不平的区域进行场地平整，同时采用人工和机械相结合的方式对平整后的表面进行必要的碾压，平整坡度基本控制在</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%之间，使平整后的地形坡度与当地地形坡度相协调。</w:t>
      </w:r>
    </w:p>
    <w:p w14:paraId="57E68513">
      <w:pPr>
        <w:spacing w:line="360" w:lineRule="auto"/>
        <w:ind w:firstLine="560" w:firstLineChars="200"/>
        <w:rPr>
          <w:sz w:val="28"/>
          <w:szCs w:val="28"/>
        </w:rPr>
      </w:pPr>
      <w:r>
        <w:rPr>
          <w:sz w:val="28"/>
          <w:szCs w:val="28"/>
        </w:rPr>
        <w:t>1、危坡清理</w:t>
      </w:r>
    </w:p>
    <w:p w14:paraId="418BFFEC">
      <w:pPr>
        <w:spacing w:line="360" w:lineRule="auto"/>
        <w:ind w:firstLine="560" w:firstLineChars="200"/>
        <w:rPr>
          <w:sz w:val="28"/>
          <w:szCs w:val="28"/>
        </w:rPr>
      </w:pPr>
      <w:r>
        <w:rPr>
          <w:sz w:val="28"/>
          <w:szCs w:val="28"/>
        </w:rPr>
        <w:t>治理区内露天采场边坡岩体风化强烈，节理裂隙发育，岩体多层碎块状。削坡清危可以有效地清除坡体上部不稳定地质体，有效增加坡体的稳定性。</w:t>
      </w:r>
    </w:p>
    <w:p w14:paraId="32E5C84B">
      <w:pPr>
        <w:spacing w:line="360" w:lineRule="auto"/>
        <w:ind w:firstLine="560" w:firstLineChars="200"/>
        <w:rPr>
          <w:sz w:val="28"/>
          <w:szCs w:val="28"/>
        </w:rPr>
      </w:pPr>
      <w:r>
        <w:rPr>
          <w:sz w:val="28"/>
          <w:szCs w:val="28"/>
        </w:rPr>
        <w:t>2、回填</w:t>
      </w:r>
    </w:p>
    <w:p w14:paraId="3441AAA1">
      <w:pPr>
        <w:spacing w:line="360" w:lineRule="auto"/>
        <w:ind w:firstLine="560" w:firstLineChars="200"/>
        <w:rPr>
          <w:sz w:val="28"/>
          <w:szCs w:val="28"/>
        </w:rPr>
      </w:pPr>
      <w:r>
        <w:rPr>
          <w:sz w:val="28"/>
          <w:szCs w:val="28"/>
        </w:rPr>
        <w:t>拟建露天采场、钻机平台以及部分场地切坡的回填，回填物源主要为废石、建筑固废，选取细颗粒排弃物，采取机械拉运，人工填充的方法。回填过程中没</w:t>
      </w:r>
      <w:r>
        <w:rPr>
          <w:rFonts w:hint="eastAsia" w:ascii="宋体" w:hAnsi="宋体" w:cs="宋体"/>
          <w:spacing w:val="13"/>
          <w:sz w:val="32"/>
          <w:szCs w:val="32"/>
        </w:rPr>
        <w:t>***</w:t>
      </w:r>
      <w:r>
        <w:rPr>
          <w:sz w:val="28"/>
          <w:szCs w:val="28"/>
        </w:rPr>
        <w:t>m左右分层应用木杠或夯石分层捣实，从周边向中心逐步回填，尽量减少机械作业产生新的环境问题。</w:t>
      </w:r>
    </w:p>
    <w:p w14:paraId="563BC3F8">
      <w:pPr>
        <w:spacing w:line="360" w:lineRule="auto"/>
        <w:ind w:firstLine="560" w:firstLineChars="200"/>
        <w:rPr>
          <w:sz w:val="28"/>
          <w:szCs w:val="28"/>
        </w:rPr>
      </w:pPr>
      <w:r>
        <w:rPr>
          <w:sz w:val="28"/>
          <w:szCs w:val="28"/>
        </w:rPr>
        <w:t>3、清运</w:t>
      </w:r>
    </w:p>
    <w:p w14:paraId="4DD9E6FF">
      <w:pPr>
        <w:spacing w:line="360" w:lineRule="auto"/>
        <w:ind w:firstLine="560" w:firstLineChars="200"/>
        <w:rPr>
          <w:sz w:val="28"/>
          <w:szCs w:val="28"/>
        </w:rPr>
      </w:pPr>
      <w:r>
        <w:rPr>
          <w:sz w:val="28"/>
          <w:szCs w:val="28"/>
        </w:rPr>
        <w:t>清运废石利用自卸汽车装运，清理过程中，要求地表清理平整干净，避免出现杂乱、高低不平的地段。</w:t>
      </w:r>
    </w:p>
    <w:p w14:paraId="3B7F9FAD">
      <w:pPr>
        <w:spacing w:line="360" w:lineRule="auto"/>
        <w:ind w:firstLine="560" w:firstLineChars="200"/>
        <w:rPr>
          <w:sz w:val="28"/>
          <w:szCs w:val="28"/>
        </w:rPr>
      </w:pPr>
      <w:r>
        <w:rPr>
          <w:sz w:val="28"/>
          <w:szCs w:val="28"/>
        </w:rPr>
        <w:t>4、垫坡整形</w:t>
      </w:r>
    </w:p>
    <w:p w14:paraId="2A1D7DED">
      <w:pPr>
        <w:spacing w:line="360" w:lineRule="auto"/>
        <w:ind w:firstLine="560" w:firstLineChars="200"/>
        <w:rPr>
          <w:sz w:val="28"/>
          <w:szCs w:val="28"/>
        </w:rPr>
      </w:pPr>
      <w:r>
        <w:rPr>
          <w:sz w:val="28"/>
          <w:szCs w:val="28"/>
        </w:rPr>
        <w:t>采用削高垫低的整形方式使整形边坡降缓坡度，使整形后边坡角度≤25°确保治理后的场地最大限度的与周围地形地貌景观相协调，无凹凸、切坡和陡坎存在。块度大的回填至底部，块度小的回填至顶部。</w:t>
      </w:r>
    </w:p>
    <w:p w14:paraId="4874AAEA">
      <w:pPr>
        <w:spacing w:line="360" w:lineRule="auto"/>
        <w:ind w:firstLine="560" w:firstLineChars="200"/>
        <w:rPr>
          <w:sz w:val="28"/>
          <w:szCs w:val="28"/>
        </w:rPr>
      </w:pPr>
      <w:r>
        <w:rPr>
          <w:sz w:val="28"/>
          <w:szCs w:val="28"/>
        </w:rPr>
        <w:t>5、硬化地面清除</w:t>
      </w:r>
    </w:p>
    <w:p w14:paraId="3ECDA73A">
      <w:pPr>
        <w:spacing w:line="360" w:lineRule="auto"/>
        <w:ind w:firstLine="560" w:firstLineChars="200"/>
        <w:rPr>
          <w:sz w:val="28"/>
          <w:szCs w:val="28"/>
        </w:rPr>
      </w:pPr>
      <w:r>
        <w:rPr>
          <w:sz w:val="28"/>
          <w:szCs w:val="28"/>
        </w:rPr>
        <w:t>对工业场地</w:t>
      </w:r>
      <w:r>
        <w:rPr>
          <w:rFonts w:hint="eastAsia"/>
          <w:sz w:val="28"/>
          <w:szCs w:val="28"/>
        </w:rPr>
        <w:t>、检斤房</w:t>
      </w:r>
      <w:r>
        <w:rPr>
          <w:sz w:val="28"/>
          <w:szCs w:val="28"/>
        </w:rPr>
        <w:t>形成的地表硬化层进行清除工作，利用挖掘机、推土机破碎硬化层，利用自卸汽车装运清理出来的砌体、混凝土及废渣到采场内部用于采场回填治理工作。</w:t>
      </w:r>
    </w:p>
    <w:p w14:paraId="72953C33">
      <w:pPr>
        <w:spacing w:line="360" w:lineRule="auto"/>
        <w:ind w:firstLine="560" w:firstLineChars="200"/>
        <w:rPr>
          <w:sz w:val="28"/>
          <w:szCs w:val="28"/>
        </w:rPr>
      </w:pPr>
      <w:r>
        <w:rPr>
          <w:sz w:val="28"/>
          <w:szCs w:val="28"/>
        </w:rPr>
        <w:t>6、石方整平</w:t>
      </w:r>
    </w:p>
    <w:p w14:paraId="62337274">
      <w:pPr>
        <w:spacing w:line="360" w:lineRule="auto"/>
        <w:ind w:firstLine="560" w:firstLineChars="200"/>
        <w:rPr>
          <w:sz w:val="28"/>
          <w:szCs w:val="28"/>
        </w:rPr>
      </w:pPr>
      <w:r>
        <w:rPr>
          <w:sz w:val="28"/>
          <w:szCs w:val="28"/>
        </w:rPr>
        <w:t>设计对较陡和不协调切坡进行整形，使整形后边坡角度≤</w:t>
      </w:r>
      <w:r>
        <w:rPr>
          <w:rFonts w:hint="eastAsia" w:ascii="宋体" w:hAnsi="宋体" w:cs="宋体"/>
          <w:spacing w:val="13"/>
          <w:sz w:val="32"/>
          <w:szCs w:val="32"/>
        </w:rPr>
        <w:t>***</w:t>
      </w:r>
      <w:r>
        <w:rPr>
          <w:sz w:val="28"/>
          <w:szCs w:val="28"/>
        </w:rPr>
        <w:t>°，使之最大限度的与周围的地形地貌景观向协调，对局部过于弯曲、凸凹的地段修直平顺，整平实施后的场地应无凹凸，以满足植被恢复条件。</w:t>
      </w:r>
    </w:p>
    <w:p w14:paraId="6ABAA4C7">
      <w:pPr>
        <w:spacing w:line="360" w:lineRule="auto"/>
        <w:ind w:firstLine="562" w:firstLineChars="200"/>
        <w:outlineLvl w:val="2"/>
        <w:rPr>
          <w:b/>
          <w:bCs/>
          <w:sz w:val="28"/>
          <w:szCs w:val="24"/>
        </w:rPr>
      </w:pPr>
      <w:r>
        <w:rPr>
          <w:b/>
          <w:bCs/>
          <w:sz w:val="28"/>
          <w:szCs w:val="24"/>
        </w:rPr>
        <w:t>二、土壤重构</w:t>
      </w:r>
    </w:p>
    <w:p w14:paraId="155061ED">
      <w:pPr>
        <w:spacing w:line="360" w:lineRule="auto"/>
        <w:ind w:firstLine="560" w:firstLineChars="200"/>
        <w:rPr>
          <w:sz w:val="28"/>
          <w:szCs w:val="28"/>
        </w:rPr>
      </w:pPr>
      <w:r>
        <w:rPr>
          <w:sz w:val="28"/>
          <w:szCs w:val="28"/>
        </w:rPr>
        <w:t>1、覆土</w:t>
      </w:r>
    </w:p>
    <w:p w14:paraId="47C98FB3">
      <w:pPr>
        <w:spacing w:line="360" w:lineRule="auto"/>
        <w:ind w:firstLine="560" w:firstLineChars="200"/>
        <w:rPr>
          <w:sz w:val="28"/>
          <w:szCs w:val="28"/>
        </w:rPr>
      </w:pPr>
      <w:r>
        <w:rPr>
          <w:sz w:val="28"/>
          <w:szCs w:val="28"/>
        </w:rPr>
        <w:t>将表土用自卸汽车运至需覆土区域，后由机械与人工将土层平铺在场地上。</w:t>
      </w:r>
    </w:p>
    <w:p w14:paraId="1A9A8E43">
      <w:pPr>
        <w:spacing w:line="360" w:lineRule="auto"/>
        <w:ind w:firstLine="560" w:firstLineChars="200"/>
        <w:rPr>
          <w:sz w:val="28"/>
          <w:szCs w:val="28"/>
        </w:rPr>
      </w:pPr>
      <w:r>
        <w:rPr>
          <w:sz w:val="28"/>
          <w:szCs w:val="28"/>
        </w:rPr>
        <w:t>覆盖土层厚度应参照《土地复垦质量控制标准》（TD/T 1036-2013）中“表D.1东北山丘平原土地复垦质量控制标准”执行，且覆土后场地坡度应与原地面坡度一致。拟复垦耕地的场地有效土层厚度不低于</w:t>
      </w:r>
      <w:r>
        <w:rPr>
          <w:rFonts w:hint="eastAsia" w:ascii="宋体" w:hAnsi="宋体" w:cs="宋体"/>
          <w:spacing w:val="13"/>
          <w:sz w:val="32"/>
          <w:szCs w:val="32"/>
        </w:rPr>
        <w:t>***</w:t>
      </w:r>
      <w:r>
        <w:rPr>
          <w:sz w:val="28"/>
          <w:szCs w:val="28"/>
        </w:rPr>
        <w:t>m，拟复垦林地的场地有效土层厚度不低于</w:t>
      </w:r>
      <w:r>
        <w:rPr>
          <w:rFonts w:hint="eastAsia" w:ascii="宋体" w:hAnsi="宋体" w:cs="宋体"/>
          <w:spacing w:val="13"/>
          <w:sz w:val="32"/>
          <w:szCs w:val="32"/>
        </w:rPr>
        <w:t>***</w:t>
      </w:r>
      <w:r>
        <w:rPr>
          <w:sz w:val="28"/>
          <w:szCs w:val="28"/>
        </w:rPr>
        <w:t>m，拟复垦草地的场地有效土层厚度不低于</w:t>
      </w:r>
      <w:r>
        <w:rPr>
          <w:rFonts w:hint="eastAsia" w:ascii="宋体" w:hAnsi="宋体" w:cs="宋体"/>
          <w:spacing w:val="13"/>
          <w:sz w:val="32"/>
          <w:szCs w:val="32"/>
        </w:rPr>
        <w:t>***</w:t>
      </w:r>
      <w:r>
        <w:rPr>
          <w:sz w:val="28"/>
          <w:szCs w:val="28"/>
        </w:rPr>
        <w:t>m。经过治理措施后，表土层能够满足植被生长。</w:t>
      </w:r>
    </w:p>
    <w:p w14:paraId="365057B6">
      <w:pPr>
        <w:spacing w:line="360" w:lineRule="auto"/>
        <w:ind w:firstLine="560" w:firstLineChars="200"/>
        <w:rPr>
          <w:sz w:val="28"/>
          <w:szCs w:val="28"/>
        </w:rPr>
      </w:pPr>
      <w:r>
        <w:rPr>
          <w:sz w:val="28"/>
          <w:szCs w:val="28"/>
        </w:rPr>
        <w:t>2、土地平整</w:t>
      </w:r>
    </w:p>
    <w:p w14:paraId="4341C3DF">
      <w:pPr>
        <w:spacing w:line="360" w:lineRule="auto"/>
        <w:ind w:firstLine="560" w:firstLineChars="200"/>
        <w:rPr>
          <w:sz w:val="28"/>
          <w:szCs w:val="28"/>
        </w:rPr>
      </w:pPr>
      <w:r>
        <w:rPr>
          <w:sz w:val="28"/>
          <w:szCs w:val="28"/>
        </w:rPr>
        <w:t>土地平整工程主要是对场地进行机械平整，防止地面起伏、水土流失，改善土壤结构，为进一步的植被恢复工程创造良好的条件。用平地机对场地进行平整，使场地尽可能平坦避免出现高低不平的地段，最终使地面达到平整并达到植被立地条件。</w:t>
      </w:r>
    </w:p>
    <w:p w14:paraId="4D042B49">
      <w:pPr>
        <w:spacing w:line="360" w:lineRule="auto"/>
        <w:ind w:firstLine="560" w:firstLineChars="200"/>
        <w:rPr>
          <w:sz w:val="28"/>
          <w:szCs w:val="28"/>
        </w:rPr>
      </w:pPr>
      <w:r>
        <w:rPr>
          <w:sz w:val="28"/>
          <w:szCs w:val="28"/>
        </w:rPr>
        <w:t>3、翻耕</w:t>
      </w:r>
    </w:p>
    <w:p w14:paraId="33FD713A">
      <w:pPr>
        <w:spacing w:line="360" w:lineRule="auto"/>
        <w:ind w:firstLine="560" w:firstLineChars="200"/>
        <w:rPr>
          <w:sz w:val="28"/>
          <w:szCs w:val="28"/>
        </w:rPr>
      </w:pPr>
      <w:r>
        <w:rPr>
          <w:sz w:val="28"/>
          <w:szCs w:val="28"/>
        </w:rPr>
        <w:t>土地平整造成一定的土壤压实，使土壤对降雨入渗能力降低。为了恢复土地的使用功能，翻松地表土地，翻耕采用拖拉机和三铧犁，打破紧实层，疏松土壤，增加透水透气性能，提高抗旱耐涝能力。</w:t>
      </w:r>
    </w:p>
    <w:p w14:paraId="1CED9284">
      <w:pPr>
        <w:spacing w:line="360" w:lineRule="auto"/>
        <w:ind w:firstLine="560" w:firstLineChars="200"/>
        <w:rPr>
          <w:sz w:val="28"/>
          <w:szCs w:val="28"/>
        </w:rPr>
      </w:pPr>
      <w:r>
        <w:rPr>
          <w:sz w:val="28"/>
          <w:szCs w:val="28"/>
        </w:rPr>
        <w:t>4、土壤培肥</w:t>
      </w:r>
    </w:p>
    <w:p w14:paraId="611AA0A0">
      <w:pPr>
        <w:spacing w:line="360" w:lineRule="auto"/>
        <w:ind w:firstLine="560" w:firstLineChars="200"/>
        <w:rPr>
          <w:sz w:val="28"/>
          <w:szCs w:val="28"/>
        </w:rPr>
      </w:pPr>
      <w:r>
        <w:rPr>
          <w:sz w:val="28"/>
          <w:szCs w:val="28"/>
        </w:rPr>
        <w:t>在土壤重构中，土壤培肥改良是核心环节，其方法及步骤为：首先进行土壤本底调查，明确土壤理化性质障碍；其次，通过客土等方式进行物理结构改良，施加有机肥以快速提升土壤有机质与肥力。</w:t>
      </w:r>
    </w:p>
    <w:p w14:paraId="55910FB0">
      <w:pPr>
        <w:spacing w:line="360" w:lineRule="auto"/>
        <w:ind w:firstLine="562" w:firstLineChars="200"/>
        <w:outlineLvl w:val="2"/>
        <w:rPr>
          <w:b/>
          <w:bCs/>
          <w:sz w:val="28"/>
          <w:szCs w:val="24"/>
        </w:rPr>
      </w:pPr>
      <w:r>
        <w:rPr>
          <w:b/>
          <w:bCs/>
          <w:sz w:val="28"/>
          <w:szCs w:val="24"/>
        </w:rPr>
        <w:t>三、植被重建</w:t>
      </w:r>
    </w:p>
    <w:p w14:paraId="3913AC8D">
      <w:pPr>
        <w:widowControl/>
        <w:spacing w:line="360" w:lineRule="auto"/>
        <w:ind w:firstLine="560" w:firstLineChars="200"/>
        <w:jc w:val="left"/>
        <w:rPr>
          <w:kern w:val="0"/>
          <w:sz w:val="28"/>
          <w:szCs w:val="28"/>
        </w:rPr>
      </w:pPr>
      <w:r>
        <w:rPr>
          <w:sz w:val="28"/>
          <w:szCs w:val="28"/>
        </w:rPr>
        <w:t>1、</w:t>
      </w:r>
      <w:r>
        <w:rPr>
          <w:kern w:val="0"/>
          <w:sz w:val="28"/>
          <w:szCs w:val="28"/>
        </w:rPr>
        <w:t>植被品种筛选</w:t>
      </w:r>
    </w:p>
    <w:p w14:paraId="42CF805A">
      <w:pPr>
        <w:widowControl/>
        <w:spacing w:line="360" w:lineRule="auto"/>
        <w:ind w:firstLine="560" w:firstLineChars="200"/>
        <w:jc w:val="left"/>
        <w:rPr>
          <w:kern w:val="0"/>
          <w:sz w:val="28"/>
          <w:szCs w:val="28"/>
        </w:rPr>
      </w:pPr>
      <w:r>
        <w:rPr>
          <w:kern w:val="0"/>
          <w:sz w:val="28"/>
          <w:szCs w:val="28"/>
        </w:rPr>
        <w:t>依据矿区现状生态系统类型，植物种类，参照周边生态系统，以及对矿区生态修复适宜性评价成果。</w:t>
      </w:r>
    </w:p>
    <w:p w14:paraId="2D7BE273">
      <w:pPr>
        <w:widowControl/>
        <w:spacing w:line="360" w:lineRule="auto"/>
        <w:ind w:firstLine="560" w:firstLineChars="200"/>
        <w:rPr>
          <w:kern w:val="0"/>
          <w:sz w:val="28"/>
          <w:szCs w:val="28"/>
        </w:rPr>
      </w:pPr>
      <w:r>
        <w:rPr>
          <w:kern w:val="0"/>
          <w:sz w:val="28"/>
          <w:szCs w:val="28"/>
        </w:rPr>
        <w:t>复垦林地树种优先选择本地物种，乔木首选</w:t>
      </w:r>
      <w:r>
        <w:rPr>
          <w:sz w:val="28"/>
          <w:szCs w:val="28"/>
        </w:rPr>
        <w:t>松树</w:t>
      </w:r>
      <w:r>
        <w:rPr>
          <w:kern w:val="0"/>
          <w:sz w:val="28"/>
          <w:szCs w:val="28"/>
        </w:rPr>
        <w:t>（备选榆树），耐重度盐碱，泌盐能力强，改善土壤盐分结构，耐旱耐涝，适合碱性土，避免初期碱性胁迫导致成活率低；</w:t>
      </w:r>
    </w:p>
    <w:p w14:paraId="04AB22E2">
      <w:pPr>
        <w:widowControl/>
        <w:spacing w:line="360" w:lineRule="auto"/>
        <w:ind w:firstLine="560" w:firstLineChars="200"/>
        <w:jc w:val="left"/>
        <w:rPr>
          <w:kern w:val="0"/>
          <w:sz w:val="28"/>
          <w:szCs w:val="28"/>
        </w:rPr>
      </w:pPr>
      <w:r>
        <w:rPr>
          <w:kern w:val="0"/>
          <w:sz w:val="28"/>
          <w:szCs w:val="28"/>
        </w:rPr>
        <w:t>复垦草地草种优先选择本地物种，羊草（备选本氏针茅），固氮能力强，根系发达，提升土壤有机质。</w:t>
      </w:r>
    </w:p>
    <w:p w14:paraId="3465E80F">
      <w:pPr>
        <w:widowControl/>
        <w:spacing w:line="360" w:lineRule="auto"/>
        <w:ind w:firstLine="560" w:firstLineChars="200"/>
        <w:jc w:val="left"/>
        <w:rPr>
          <w:kern w:val="0"/>
          <w:sz w:val="28"/>
          <w:szCs w:val="28"/>
        </w:rPr>
      </w:pPr>
      <w:r>
        <w:rPr>
          <w:kern w:val="0"/>
          <w:sz w:val="28"/>
          <w:szCs w:val="28"/>
        </w:rPr>
        <w:t>根据以上特点，确定本次土地复垦方案植被品种乔木选择油松（备选</w:t>
      </w:r>
      <w:r>
        <w:rPr>
          <w:rFonts w:hint="eastAsia"/>
          <w:kern w:val="0"/>
          <w:sz w:val="28"/>
          <w:szCs w:val="28"/>
        </w:rPr>
        <w:t>榆</w:t>
      </w:r>
      <w:r>
        <w:rPr>
          <w:kern w:val="0"/>
          <w:sz w:val="28"/>
          <w:szCs w:val="28"/>
        </w:rPr>
        <w:t>树），草种选择羊草（备选本氏针茅）。</w:t>
      </w:r>
    </w:p>
    <w:p w14:paraId="44844484">
      <w:pPr>
        <w:widowControl/>
        <w:spacing w:line="360" w:lineRule="auto"/>
        <w:ind w:firstLine="560" w:firstLineChars="200"/>
        <w:rPr>
          <w:sz w:val="28"/>
          <w:szCs w:val="28"/>
        </w:rPr>
      </w:pPr>
      <w:r>
        <w:rPr>
          <w:sz w:val="28"/>
          <w:szCs w:val="28"/>
        </w:rPr>
        <w:t>2、恢复植被措施</w:t>
      </w:r>
    </w:p>
    <w:p w14:paraId="21455738">
      <w:pPr>
        <w:widowControl/>
        <w:spacing w:line="360" w:lineRule="auto"/>
        <w:ind w:firstLine="560" w:firstLineChars="200"/>
        <w:rPr>
          <w:sz w:val="28"/>
          <w:szCs w:val="28"/>
        </w:rPr>
      </w:pPr>
      <w:r>
        <w:rPr>
          <w:sz w:val="28"/>
          <w:szCs w:val="28"/>
        </w:rPr>
        <w:t>对破坏区进行造林种草，根据“因地制宜，因害设防，适地适树”的原则选择优良乡土品种。本次方案植被品种乔木选择松树（备选</w:t>
      </w:r>
      <w:r>
        <w:rPr>
          <w:rFonts w:hint="eastAsia"/>
          <w:sz w:val="28"/>
          <w:szCs w:val="28"/>
        </w:rPr>
        <w:t>杨树</w:t>
      </w:r>
      <w:r>
        <w:rPr>
          <w:sz w:val="28"/>
          <w:szCs w:val="28"/>
        </w:rPr>
        <w:t>），</w:t>
      </w:r>
      <w:r>
        <w:rPr>
          <w:kern w:val="0"/>
          <w:sz w:val="28"/>
          <w:szCs w:val="28"/>
        </w:rPr>
        <w:t>草种选择羊草（备选本氏针茅）</w:t>
      </w:r>
      <w:r>
        <w:rPr>
          <w:sz w:val="28"/>
          <w:szCs w:val="28"/>
        </w:rPr>
        <w:t>。</w:t>
      </w:r>
    </w:p>
    <w:p w14:paraId="7C2FBBF5">
      <w:pPr>
        <w:spacing w:line="360" w:lineRule="auto"/>
        <w:ind w:firstLine="560" w:firstLineChars="200"/>
        <w:rPr>
          <w:sz w:val="28"/>
          <w:szCs w:val="28"/>
        </w:rPr>
      </w:pPr>
      <w:r>
        <w:rPr>
          <w:sz w:val="28"/>
          <w:szCs w:val="28"/>
        </w:rPr>
        <w:t>（1）种植</w:t>
      </w:r>
      <w:r>
        <w:rPr>
          <w:rFonts w:hint="eastAsia"/>
          <w:sz w:val="28"/>
          <w:szCs w:val="28"/>
        </w:rPr>
        <w:t>灌木</w:t>
      </w:r>
    </w:p>
    <w:p w14:paraId="4E4AA42F">
      <w:pPr>
        <w:spacing w:line="360" w:lineRule="auto"/>
        <w:ind w:firstLine="560" w:firstLineChars="200"/>
        <w:rPr>
          <w:sz w:val="28"/>
          <w:szCs w:val="28"/>
        </w:rPr>
      </w:pPr>
      <w:r>
        <w:rPr>
          <w:rFonts w:hint="eastAsia"/>
          <w:sz w:val="28"/>
          <w:szCs w:val="28"/>
        </w:rPr>
        <w:t>灌木层采用山杏+柠条双品种混交模式（主栽山杏、辅栽柠条），落实灌灌混交要求，依托山杏保水固土、柠条耐贫瘠的特性，适配林地恢复立地条件。</w:t>
      </w:r>
    </w:p>
    <w:p w14:paraId="2089746B">
      <w:pPr>
        <w:spacing w:line="360" w:lineRule="auto"/>
        <w:ind w:firstLine="560" w:firstLineChars="200"/>
        <w:rPr>
          <w:sz w:val="28"/>
          <w:szCs w:val="28"/>
        </w:rPr>
      </w:pPr>
      <w:r>
        <w:rPr>
          <w:rFonts w:hint="eastAsia"/>
          <w:sz w:val="28"/>
          <w:szCs w:val="28"/>
        </w:rPr>
        <w:t>灌木混交比例为山杏</w:t>
      </w:r>
      <w:r>
        <w:rPr>
          <w:rFonts w:hint="eastAsia" w:ascii="宋体" w:hAnsi="宋体" w:cs="宋体"/>
          <w:spacing w:val="13"/>
          <w:sz w:val="32"/>
          <w:szCs w:val="32"/>
        </w:rPr>
        <w:t>***</w:t>
      </w:r>
      <w:r>
        <w:rPr>
          <w:rFonts w:hint="eastAsia"/>
          <w:sz w:val="28"/>
          <w:szCs w:val="28"/>
        </w:rPr>
        <w:t>%、柠条</w:t>
      </w:r>
      <w:r>
        <w:rPr>
          <w:rFonts w:hint="eastAsia" w:ascii="宋体" w:hAnsi="宋体" w:cs="宋体"/>
          <w:spacing w:val="13"/>
          <w:sz w:val="32"/>
          <w:szCs w:val="32"/>
        </w:rPr>
        <w:t>***</w:t>
      </w:r>
      <w:r>
        <w:rPr>
          <w:rFonts w:hint="eastAsia"/>
          <w:sz w:val="28"/>
          <w:szCs w:val="28"/>
        </w:rPr>
        <w:t>%，沿乔木林下空隙、林缘带状、块状混植，填补林下植被空白，构建复层防护结构。</w:t>
      </w:r>
    </w:p>
    <w:p w14:paraId="54440270">
      <w:pPr>
        <w:spacing w:line="360" w:lineRule="auto"/>
        <w:ind w:firstLine="560" w:firstLineChars="200"/>
        <w:rPr>
          <w:sz w:val="28"/>
          <w:szCs w:val="28"/>
        </w:rPr>
      </w:pPr>
      <w:r>
        <w:rPr>
          <w:rFonts w:hint="eastAsia"/>
          <w:sz w:val="28"/>
          <w:szCs w:val="28"/>
        </w:rPr>
        <w:t>山杏：1-2年生健壮苗木，地径≥</w:t>
      </w:r>
      <w:r>
        <w:rPr>
          <w:rFonts w:hint="eastAsia" w:ascii="宋体" w:hAnsi="宋体" w:cs="宋体"/>
          <w:spacing w:val="13"/>
          <w:sz w:val="32"/>
          <w:szCs w:val="32"/>
        </w:rPr>
        <w:t>***</w:t>
      </w:r>
      <w:r>
        <w:rPr>
          <w:rFonts w:hint="eastAsia"/>
          <w:sz w:val="28"/>
          <w:szCs w:val="28"/>
        </w:rPr>
        <w:t>cm，苗高≥</w:t>
      </w:r>
      <w:r>
        <w:rPr>
          <w:rFonts w:hint="eastAsia" w:ascii="宋体" w:hAnsi="宋体" w:cs="宋体"/>
          <w:spacing w:val="13"/>
          <w:sz w:val="32"/>
          <w:szCs w:val="32"/>
        </w:rPr>
        <w:t>***</w:t>
      </w:r>
      <w:r>
        <w:rPr>
          <w:rFonts w:hint="eastAsia"/>
          <w:sz w:val="28"/>
          <w:szCs w:val="28"/>
        </w:rPr>
        <w:t>m，分枝饱满，根系完整；</w:t>
      </w:r>
    </w:p>
    <w:p w14:paraId="501E6D29">
      <w:pPr>
        <w:spacing w:line="360" w:lineRule="auto"/>
        <w:ind w:firstLine="560" w:firstLineChars="200"/>
        <w:rPr>
          <w:sz w:val="28"/>
          <w:szCs w:val="28"/>
        </w:rPr>
      </w:pPr>
      <w:r>
        <w:rPr>
          <w:rFonts w:hint="eastAsia"/>
          <w:sz w:val="28"/>
          <w:szCs w:val="28"/>
        </w:rPr>
        <w:t>柠条：1年生实生苗，苗高≥</w:t>
      </w:r>
      <w:r>
        <w:rPr>
          <w:rFonts w:hint="eastAsia" w:ascii="宋体" w:hAnsi="宋体" w:cs="宋体"/>
          <w:spacing w:val="13"/>
          <w:sz w:val="32"/>
          <w:szCs w:val="32"/>
        </w:rPr>
        <w:t>***</w:t>
      </w:r>
      <w:r>
        <w:rPr>
          <w:rFonts w:hint="eastAsia"/>
          <w:sz w:val="28"/>
          <w:szCs w:val="28"/>
        </w:rPr>
        <w:t>m，根系发达，无枯梢、无病虫害。</w:t>
      </w:r>
    </w:p>
    <w:p w14:paraId="3A4E9C01">
      <w:pPr>
        <w:spacing w:line="360" w:lineRule="auto"/>
        <w:ind w:firstLine="560" w:firstLineChars="200"/>
        <w:rPr>
          <w:sz w:val="28"/>
          <w:szCs w:val="28"/>
        </w:rPr>
      </w:pPr>
      <w:r>
        <w:rPr>
          <w:rFonts w:hint="eastAsia"/>
          <w:sz w:val="28"/>
          <w:szCs w:val="28"/>
        </w:rPr>
        <w:t>山杏苗木全部带土球栽植，土球直径≥</w:t>
      </w:r>
      <w:r>
        <w:rPr>
          <w:rFonts w:hint="eastAsia" w:ascii="宋体" w:hAnsi="宋体" w:cs="宋体"/>
          <w:spacing w:val="13"/>
          <w:sz w:val="32"/>
          <w:szCs w:val="32"/>
        </w:rPr>
        <w:t>***</w:t>
      </w:r>
      <w:r>
        <w:rPr>
          <w:rFonts w:hint="eastAsia"/>
          <w:sz w:val="28"/>
          <w:szCs w:val="28"/>
        </w:rPr>
        <w:t>cm、高度≥</w:t>
      </w:r>
      <w:r>
        <w:rPr>
          <w:rFonts w:hint="eastAsia" w:ascii="宋体" w:hAnsi="宋体" w:cs="宋体"/>
          <w:spacing w:val="13"/>
          <w:sz w:val="32"/>
          <w:szCs w:val="32"/>
        </w:rPr>
        <w:t>***</w:t>
      </w:r>
      <w:r>
        <w:rPr>
          <w:rFonts w:hint="eastAsia"/>
          <w:sz w:val="28"/>
          <w:szCs w:val="28"/>
        </w:rPr>
        <w:t>cm，草绳包扎紧实，避免根系损伤；柠条适应性极强，可采用裸根栽植，栽植前修剪弱根、烂根，保留健康主根和须根即可。</w:t>
      </w:r>
    </w:p>
    <w:p w14:paraId="74C3B198">
      <w:pPr>
        <w:spacing w:line="360" w:lineRule="auto"/>
        <w:ind w:firstLine="560" w:firstLineChars="200"/>
        <w:rPr>
          <w:sz w:val="28"/>
          <w:szCs w:val="28"/>
        </w:rPr>
      </w:pPr>
      <w:r>
        <w:rPr>
          <w:rFonts w:hint="eastAsia"/>
          <w:sz w:val="28"/>
          <w:szCs w:val="28"/>
        </w:rPr>
        <w:t>春播或秋播，裸根苗用</w:t>
      </w:r>
      <w:r>
        <w:rPr>
          <w:rFonts w:hint="eastAsia" w:ascii="宋体" w:hAnsi="宋体" w:cs="宋体"/>
          <w:spacing w:val="13"/>
          <w:sz w:val="32"/>
          <w:szCs w:val="32"/>
        </w:rPr>
        <w:t>***</w:t>
      </w:r>
      <w:r>
        <w:rPr>
          <w:rFonts w:hint="eastAsia"/>
          <w:sz w:val="28"/>
          <w:szCs w:val="28"/>
        </w:rPr>
        <w:t>%腐植酸溶液浸泡根系</w:t>
      </w:r>
      <w:r>
        <w:rPr>
          <w:rFonts w:hint="eastAsia" w:ascii="宋体" w:hAnsi="宋体" w:cs="宋体"/>
          <w:spacing w:val="13"/>
          <w:sz w:val="32"/>
          <w:szCs w:val="32"/>
        </w:rPr>
        <w:t>***</w:t>
      </w:r>
      <w:r>
        <w:rPr>
          <w:rFonts w:hint="eastAsia"/>
          <w:sz w:val="28"/>
          <w:szCs w:val="28"/>
        </w:rPr>
        <w:t>小时，保留根部土壤，蘸取稀释的根瘤菌剂（或生根剂），提升抗碱和发根能力。</w:t>
      </w:r>
    </w:p>
    <w:p w14:paraId="12810F41">
      <w:pPr>
        <w:spacing w:line="360" w:lineRule="auto"/>
        <w:ind w:firstLine="560" w:firstLineChars="200"/>
        <w:rPr>
          <w:sz w:val="28"/>
          <w:szCs w:val="28"/>
        </w:rPr>
      </w:pPr>
      <w:r>
        <w:rPr>
          <w:rFonts w:hint="eastAsia"/>
          <w:sz w:val="28"/>
          <w:szCs w:val="28"/>
        </w:rPr>
        <w:t>定植株行距1m×1m（每亩</w:t>
      </w:r>
      <w:r>
        <w:rPr>
          <w:rFonts w:hint="eastAsia" w:ascii="宋体" w:hAnsi="宋体" w:cs="宋体"/>
          <w:spacing w:val="13"/>
          <w:sz w:val="32"/>
          <w:szCs w:val="32"/>
        </w:rPr>
        <w:t>***</w:t>
      </w:r>
      <w:r>
        <w:rPr>
          <w:rFonts w:hint="eastAsia"/>
          <w:sz w:val="28"/>
          <w:szCs w:val="28"/>
        </w:rPr>
        <w:t>株），定植穴中央挖小坑，放入苗木扶正，回填土壤并分层压实，地表覆秸秆保墒。</w:t>
      </w:r>
    </w:p>
    <w:p w14:paraId="7C32EDFA">
      <w:pPr>
        <w:spacing w:line="360" w:lineRule="auto"/>
        <w:ind w:firstLine="560" w:firstLineChars="200"/>
        <w:rPr>
          <w:sz w:val="28"/>
          <w:szCs w:val="28"/>
        </w:rPr>
      </w:pPr>
      <w:r>
        <w:rPr>
          <w:rFonts w:hint="eastAsia"/>
          <w:sz w:val="28"/>
          <w:szCs w:val="28"/>
        </w:rPr>
        <w:t>定植后第2年春季，施腐熟羊粪+过磷酸钙，环状沟施，覆土后浇水，补充养分并降碱。</w:t>
      </w:r>
    </w:p>
    <w:p w14:paraId="48E086F5">
      <w:pPr>
        <w:spacing w:line="360" w:lineRule="auto"/>
        <w:ind w:firstLine="560" w:firstLineChars="200"/>
        <w:rPr>
          <w:sz w:val="28"/>
          <w:szCs w:val="28"/>
        </w:rPr>
      </w:pPr>
      <w:r>
        <w:rPr>
          <w:rFonts w:hint="eastAsia"/>
          <w:sz w:val="28"/>
          <w:szCs w:val="28"/>
        </w:rPr>
        <w:t>碱性土壤易发生立枯病、根腐病，加强排水降低土壤湿度；冬季清理林地落叶，减少虫源；冬季用草绳缠绕树干，防止冻害和盐碱侵蚀；春季修剪病弱枝、交叉枝，保持树形通风透光，促进生长。</w:t>
      </w:r>
    </w:p>
    <w:p w14:paraId="68A637A6">
      <w:pPr>
        <w:spacing w:line="360" w:lineRule="auto"/>
        <w:ind w:firstLine="560" w:firstLineChars="200"/>
        <w:rPr>
          <w:sz w:val="28"/>
          <w:szCs w:val="28"/>
        </w:rPr>
      </w:pPr>
      <w:r>
        <w:rPr>
          <w:sz w:val="28"/>
          <w:szCs w:val="28"/>
        </w:rPr>
        <w:t>（2）撒播草籽</w:t>
      </w:r>
    </w:p>
    <w:p w14:paraId="4BB1C28E">
      <w:pPr>
        <w:autoSpaceDE w:val="0"/>
        <w:autoSpaceDN w:val="0"/>
        <w:adjustRightInd w:val="0"/>
        <w:spacing w:line="360" w:lineRule="auto"/>
        <w:ind w:firstLine="560" w:firstLineChars="200"/>
        <w:rPr>
          <w:kern w:val="0"/>
          <w:sz w:val="28"/>
          <w:szCs w:val="28"/>
        </w:rPr>
      </w:pPr>
      <w:r>
        <w:rPr>
          <w:rFonts w:hint="eastAsia"/>
          <w:kern w:val="0"/>
          <w:sz w:val="28"/>
          <w:szCs w:val="28"/>
        </w:rPr>
        <w:t>人工牧草地采用羊草+披碱草混播模式，兼顾生态修复、水土保持与草地覆盖效果，适配林下及林间空地生长环境。</w:t>
      </w:r>
    </w:p>
    <w:p w14:paraId="7D81A6F6">
      <w:pPr>
        <w:autoSpaceDE w:val="0"/>
        <w:autoSpaceDN w:val="0"/>
        <w:adjustRightInd w:val="0"/>
        <w:spacing w:line="360" w:lineRule="auto"/>
        <w:ind w:firstLine="560" w:firstLineChars="200"/>
        <w:rPr>
          <w:kern w:val="0"/>
          <w:sz w:val="28"/>
          <w:szCs w:val="28"/>
        </w:rPr>
      </w:pPr>
      <w:r>
        <w:rPr>
          <w:rFonts w:hint="eastAsia"/>
          <w:kern w:val="0"/>
          <w:sz w:val="28"/>
          <w:szCs w:val="28"/>
        </w:rPr>
        <w:t>草本种子重量配比为羊草</w:t>
      </w:r>
      <w:r>
        <w:rPr>
          <w:rFonts w:hint="eastAsia" w:ascii="宋体" w:hAnsi="宋体" w:cs="宋体"/>
          <w:spacing w:val="13"/>
          <w:sz w:val="32"/>
          <w:szCs w:val="32"/>
        </w:rPr>
        <w:t>***</w:t>
      </w:r>
      <w:r>
        <w:rPr>
          <w:rFonts w:hint="eastAsia"/>
          <w:kern w:val="0"/>
          <w:sz w:val="28"/>
          <w:szCs w:val="28"/>
        </w:rPr>
        <w:t>%、披碱草</w:t>
      </w:r>
      <w:r>
        <w:rPr>
          <w:rFonts w:hint="eastAsia" w:ascii="宋体" w:hAnsi="宋体" w:cs="宋体"/>
          <w:spacing w:val="13"/>
          <w:sz w:val="32"/>
          <w:szCs w:val="32"/>
        </w:rPr>
        <w:t>***</w:t>
      </w:r>
      <w:r>
        <w:rPr>
          <w:rFonts w:hint="eastAsia"/>
          <w:kern w:val="0"/>
          <w:sz w:val="28"/>
          <w:szCs w:val="28"/>
        </w:rPr>
        <w:t>%，混合均匀后统一撒播，实现草本层互补生长，羊草固氮培肥，披碱草耐贫瘠、抗倒伏，提升草地整体稳定性。</w:t>
      </w:r>
    </w:p>
    <w:p w14:paraId="71EF225A">
      <w:pPr>
        <w:autoSpaceDE w:val="0"/>
        <w:autoSpaceDN w:val="0"/>
        <w:adjustRightInd w:val="0"/>
        <w:spacing w:line="360" w:lineRule="auto"/>
        <w:ind w:firstLine="560" w:firstLineChars="200"/>
        <w:rPr>
          <w:kern w:val="0"/>
          <w:sz w:val="28"/>
          <w:szCs w:val="28"/>
        </w:rPr>
      </w:pPr>
      <w:r>
        <w:rPr>
          <w:rFonts w:hint="eastAsia"/>
          <w:kern w:val="0"/>
          <w:sz w:val="28"/>
          <w:szCs w:val="28"/>
        </w:rPr>
        <w:t>选用当年新种，种子纯净度≥</w:t>
      </w:r>
      <w:r>
        <w:rPr>
          <w:rFonts w:hint="eastAsia" w:ascii="宋体" w:hAnsi="宋体" w:cs="宋体"/>
          <w:spacing w:val="13"/>
          <w:sz w:val="32"/>
          <w:szCs w:val="32"/>
        </w:rPr>
        <w:t>***</w:t>
      </w:r>
      <w:r>
        <w:rPr>
          <w:rFonts w:hint="eastAsia"/>
          <w:kern w:val="0"/>
          <w:sz w:val="28"/>
          <w:szCs w:val="28"/>
        </w:rPr>
        <w:t>%，发芽率≥</w:t>
      </w:r>
      <w:r>
        <w:rPr>
          <w:rFonts w:hint="eastAsia" w:ascii="宋体" w:hAnsi="宋体" w:cs="宋体"/>
          <w:spacing w:val="13"/>
          <w:sz w:val="32"/>
          <w:szCs w:val="32"/>
        </w:rPr>
        <w:t>***</w:t>
      </w:r>
      <w:r>
        <w:rPr>
          <w:rFonts w:hint="eastAsia"/>
          <w:kern w:val="0"/>
          <w:sz w:val="28"/>
          <w:szCs w:val="28"/>
        </w:rPr>
        <w:t>%，无霉变、无虫蛀、无杂质，符合林业生态播种标准。</w:t>
      </w:r>
    </w:p>
    <w:p w14:paraId="7E05C19D">
      <w:pPr>
        <w:autoSpaceDE w:val="0"/>
        <w:autoSpaceDN w:val="0"/>
        <w:adjustRightInd w:val="0"/>
        <w:spacing w:line="360" w:lineRule="auto"/>
        <w:ind w:firstLine="560" w:firstLineChars="200"/>
        <w:rPr>
          <w:kern w:val="0"/>
          <w:sz w:val="28"/>
          <w:szCs w:val="28"/>
        </w:rPr>
      </w:pPr>
      <w:r>
        <w:rPr>
          <w:rFonts w:hint="eastAsia"/>
          <w:kern w:val="0"/>
          <w:sz w:val="28"/>
          <w:szCs w:val="28"/>
        </w:rPr>
        <w:t>草本采用种子混播方式，无苗木移栽环节，无需带土球。整体播种量为每亩</w:t>
      </w:r>
      <w:r>
        <w:rPr>
          <w:rFonts w:hint="eastAsia" w:ascii="宋体" w:hAnsi="宋体" w:cs="宋体"/>
          <w:spacing w:val="13"/>
          <w:sz w:val="32"/>
          <w:szCs w:val="32"/>
        </w:rPr>
        <w:t>***</w:t>
      </w:r>
      <w:r>
        <w:rPr>
          <w:rFonts w:hint="eastAsia"/>
          <w:kern w:val="0"/>
          <w:sz w:val="28"/>
          <w:szCs w:val="28"/>
        </w:rPr>
        <w:t>kg，其中羊草</w:t>
      </w:r>
      <w:r>
        <w:rPr>
          <w:rFonts w:hint="eastAsia" w:ascii="宋体" w:hAnsi="宋体" w:cs="宋体"/>
          <w:spacing w:val="13"/>
          <w:sz w:val="32"/>
          <w:szCs w:val="32"/>
        </w:rPr>
        <w:t>***</w:t>
      </w:r>
      <w:r>
        <w:rPr>
          <w:rFonts w:hint="eastAsia"/>
          <w:kern w:val="0"/>
          <w:sz w:val="28"/>
          <w:szCs w:val="28"/>
        </w:rPr>
        <w:t>kg/亩、披碱草</w:t>
      </w:r>
      <w:r>
        <w:rPr>
          <w:rFonts w:hint="eastAsia" w:ascii="宋体" w:hAnsi="宋体" w:cs="宋体"/>
          <w:spacing w:val="13"/>
          <w:sz w:val="32"/>
          <w:szCs w:val="32"/>
        </w:rPr>
        <w:t>***</w:t>
      </w:r>
      <w:r>
        <w:rPr>
          <w:rFonts w:hint="eastAsia"/>
          <w:kern w:val="0"/>
          <w:sz w:val="28"/>
          <w:szCs w:val="28"/>
        </w:rPr>
        <w:t>kg/亩。播种前对表层土壤进行浅翻整地、耙平细碎，清除石块、杂草，播种后覆细土</w:t>
      </w:r>
      <w:r>
        <w:rPr>
          <w:rFonts w:hint="eastAsia" w:ascii="宋体" w:hAnsi="宋体" w:cs="宋体"/>
          <w:spacing w:val="13"/>
          <w:sz w:val="32"/>
          <w:szCs w:val="32"/>
        </w:rPr>
        <w:t>***</w:t>
      </w:r>
      <w:r>
        <w:rPr>
          <w:rFonts w:hint="eastAsia"/>
          <w:kern w:val="0"/>
          <w:sz w:val="28"/>
          <w:szCs w:val="28"/>
        </w:rPr>
        <w:t>-</w:t>
      </w:r>
      <w:r>
        <w:rPr>
          <w:rFonts w:hint="eastAsia" w:ascii="宋体" w:hAnsi="宋体" w:cs="宋体"/>
          <w:spacing w:val="13"/>
          <w:sz w:val="32"/>
          <w:szCs w:val="32"/>
        </w:rPr>
        <w:t>***</w:t>
      </w:r>
      <w:r>
        <w:rPr>
          <w:rFonts w:hint="eastAsia"/>
          <w:kern w:val="0"/>
          <w:sz w:val="28"/>
          <w:szCs w:val="28"/>
        </w:rPr>
        <w:t>cm，适度镇压保墒，保障种子出苗率。</w:t>
      </w:r>
    </w:p>
    <w:p w14:paraId="3DE1AC08">
      <w:pPr>
        <w:autoSpaceDE w:val="0"/>
        <w:autoSpaceDN w:val="0"/>
        <w:adjustRightInd w:val="0"/>
        <w:spacing w:line="360" w:lineRule="auto"/>
        <w:ind w:firstLine="560" w:firstLineChars="200"/>
        <w:rPr>
          <w:kern w:val="0"/>
          <w:sz w:val="28"/>
          <w:szCs w:val="28"/>
        </w:rPr>
      </w:pPr>
      <w:r>
        <w:rPr>
          <w:rFonts w:hint="eastAsia"/>
          <w:kern w:val="0"/>
          <w:sz w:val="28"/>
          <w:szCs w:val="28"/>
        </w:rPr>
        <w:t>苗期除阔叶杂草或喷专用除草剂，成株期刈割结合中耕；根腐病、霜霉病喷多菌灵等，蚜虫等用吡虫啉类药剂。</w:t>
      </w:r>
    </w:p>
    <w:p w14:paraId="15917C76">
      <w:pPr>
        <w:spacing w:line="360" w:lineRule="auto"/>
        <w:ind w:firstLine="560" w:firstLineChars="200"/>
        <w:rPr>
          <w:sz w:val="28"/>
          <w:szCs w:val="28"/>
          <w:lang w:val="zh-CN"/>
        </w:rPr>
      </w:pPr>
      <w:r>
        <w:rPr>
          <w:sz w:val="28"/>
          <w:szCs w:val="28"/>
        </w:rPr>
        <w:t>3、</w:t>
      </w:r>
      <w:r>
        <w:rPr>
          <w:sz w:val="28"/>
          <w:szCs w:val="28"/>
          <w:lang w:val="zh-CN"/>
        </w:rPr>
        <w:t>提高地力措施</w:t>
      </w:r>
    </w:p>
    <w:p w14:paraId="09606E46">
      <w:pPr>
        <w:tabs>
          <w:tab w:val="left" w:pos="870"/>
        </w:tabs>
        <w:spacing w:line="360" w:lineRule="auto"/>
        <w:ind w:firstLine="560" w:firstLineChars="200"/>
        <w:rPr>
          <w:sz w:val="28"/>
          <w:szCs w:val="28"/>
        </w:rPr>
      </w:pPr>
      <w:r>
        <w:rPr>
          <w:sz w:val="28"/>
          <w:szCs w:val="28"/>
        </w:rPr>
        <w:t>通过物理改良工艺，增施腐熟有机肥，如羊粪、堆肥，通过有机质分解产生有机酸，缓慢调节pH值，消除其不良影响，改良土壤的性质，施用量为每公顷</w:t>
      </w:r>
      <w:r>
        <w:rPr>
          <w:rFonts w:hint="eastAsia" w:ascii="宋体" w:hAnsi="宋体" w:cs="宋体"/>
          <w:spacing w:val="13"/>
          <w:sz w:val="32"/>
          <w:szCs w:val="32"/>
        </w:rPr>
        <w:t>***</w:t>
      </w:r>
      <w:r>
        <w:rPr>
          <w:sz w:val="28"/>
          <w:szCs w:val="28"/>
        </w:rPr>
        <w:t>kg，施肥应选择阴雨天进行，施用方式草地为撒施，林木则将肥料拌合于填土中，土壤培肥工程计入管护费用中。</w:t>
      </w:r>
    </w:p>
    <w:p w14:paraId="537317C5">
      <w:pPr>
        <w:spacing w:line="360" w:lineRule="auto"/>
        <w:ind w:firstLine="562" w:firstLineChars="200"/>
        <w:outlineLvl w:val="2"/>
        <w:rPr>
          <w:b/>
          <w:bCs/>
          <w:sz w:val="28"/>
          <w:szCs w:val="24"/>
        </w:rPr>
      </w:pPr>
      <w:r>
        <w:rPr>
          <w:b/>
          <w:bCs/>
          <w:sz w:val="28"/>
          <w:szCs w:val="24"/>
        </w:rPr>
        <w:t>四、景观营造</w:t>
      </w:r>
    </w:p>
    <w:p w14:paraId="0163BE15">
      <w:pPr>
        <w:tabs>
          <w:tab w:val="left" w:pos="870"/>
        </w:tabs>
        <w:spacing w:line="360" w:lineRule="auto"/>
        <w:ind w:firstLine="560" w:firstLineChars="200"/>
        <w:rPr>
          <w:sz w:val="28"/>
          <w:szCs w:val="28"/>
        </w:rPr>
      </w:pPr>
      <w:r>
        <w:rPr>
          <w:sz w:val="28"/>
          <w:szCs w:val="28"/>
        </w:rPr>
        <w:t>1、重建矿区植被群落：</w:t>
      </w:r>
    </w:p>
    <w:p w14:paraId="6A7FD31D">
      <w:pPr>
        <w:tabs>
          <w:tab w:val="left" w:pos="870"/>
        </w:tabs>
        <w:spacing w:line="360" w:lineRule="auto"/>
        <w:ind w:firstLine="560" w:firstLineChars="200"/>
        <w:rPr>
          <w:sz w:val="28"/>
          <w:szCs w:val="28"/>
        </w:rPr>
      </w:pPr>
      <w:r>
        <w:rPr>
          <w:sz w:val="28"/>
          <w:szCs w:val="28"/>
        </w:rPr>
        <w:t>遵循“适地适树、乡土优先”的原则，通过土壤改良、先锋植物引入、乔灌草立体配置等方式，模拟自然群落结构进行植被恢复。重点构建具有高稳定性、高生物多样性和自我维持能力的近自然植物群落，形成绿色基底。</w:t>
      </w:r>
    </w:p>
    <w:p w14:paraId="44D2F52C">
      <w:pPr>
        <w:tabs>
          <w:tab w:val="left" w:pos="870"/>
        </w:tabs>
        <w:spacing w:line="360" w:lineRule="auto"/>
        <w:ind w:firstLine="560" w:firstLineChars="200"/>
        <w:rPr>
          <w:sz w:val="28"/>
          <w:szCs w:val="28"/>
        </w:rPr>
      </w:pPr>
      <w:r>
        <w:rPr>
          <w:sz w:val="28"/>
          <w:szCs w:val="28"/>
        </w:rPr>
        <w:t>2、优化矿区景观格局：</w:t>
      </w:r>
    </w:p>
    <w:p w14:paraId="6C148507">
      <w:pPr>
        <w:tabs>
          <w:tab w:val="left" w:pos="870"/>
        </w:tabs>
        <w:spacing w:line="360" w:lineRule="auto"/>
        <w:ind w:firstLine="560" w:firstLineChars="200"/>
        <w:rPr>
          <w:sz w:val="28"/>
          <w:szCs w:val="28"/>
        </w:rPr>
      </w:pPr>
      <w:r>
        <w:rPr>
          <w:sz w:val="28"/>
          <w:szCs w:val="28"/>
        </w:rPr>
        <w:t>在整体规划上，打破单一呆板的格局，通过地形重塑，巧妙布置耕地、林地、草地，形成空间异质性高、层次丰富的“斑块-廊道-基质”景观结构，构建一个功能完整、地形地貌协调、自我维持、富有韧性且兼具生产与审美价值的生态景观。</w:t>
      </w:r>
    </w:p>
    <w:p w14:paraId="6A405AE5">
      <w:pPr>
        <w:tabs>
          <w:tab w:val="left" w:pos="870"/>
        </w:tabs>
        <w:spacing w:line="360" w:lineRule="auto"/>
        <w:ind w:firstLine="560" w:firstLineChars="200"/>
        <w:rPr>
          <w:sz w:val="28"/>
          <w:szCs w:val="28"/>
        </w:rPr>
      </w:pPr>
      <w:r>
        <w:rPr>
          <w:sz w:val="28"/>
          <w:szCs w:val="28"/>
        </w:rPr>
        <w:t>3、文化功能重构与提升：</w:t>
      </w:r>
    </w:p>
    <w:p w14:paraId="41EBFF0C">
      <w:pPr>
        <w:tabs>
          <w:tab w:val="left" w:pos="870"/>
        </w:tabs>
        <w:spacing w:line="360" w:lineRule="auto"/>
        <w:ind w:firstLine="560" w:firstLineChars="200"/>
        <w:rPr>
          <w:sz w:val="28"/>
          <w:szCs w:val="28"/>
        </w:rPr>
      </w:pPr>
      <w:r>
        <w:rPr>
          <w:sz w:val="28"/>
          <w:szCs w:val="28"/>
        </w:rPr>
        <w:t>首先，将矿区修复区域视为区域生态系统的有机组成部分，通过建设生态林带，将其与周边山林、农田等自然生态系统有效连接，促进物种交流与基因流动，增强区域生态系统的完整性与韧性；再通过绿色矿山建设，与矿区文化共同提升。</w:t>
      </w:r>
    </w:p>
    <w:p w14:paraId="15A452DE">
      <w:pPr>
        <w:tabs>
          <w:tab w:val="left" w:pos="870"/>
        </w:tabs>
        <w:spacing w:line="360" w:lineRule="auto"/>
        <w:ind w:firstLine="560" w:firstLineChars="200"/>
        <w:rPr>
          <w:sz w:val="28"/>
          <w:szCs w:val="28"/>
        </w:rPr>
      </w:pPr>
      <w:r>
        <w:rPr>
          <w:sz w:val="28"/>
          <w:szCs w:val="28"/>
        </w:rPr>
        <w:t>4、绿色矿山建设：</w:t>
      </w:r>
    </w:p>
    <w:p w14:paraId="5C0BCA84">
      <w:pPr>
        <w:widowControl/>
        <w:spacing w:line="360" w:lineRule="auto"/>
        <w:ind w:firstLine="560" w:firstLineChars="200"/>
        <w:rPr>
          <w:sz w:val="28"/>
          <w:szCs w:val="28"/>
        </w:rPr>
      </w:pPr>
      <w:r>
        <w:rPr>
          <w:rFonts w:hint="eastAsia"/>
          <w:sz w:val="28"/>
          <w:szCs w:val="28"/>
        </w:rPr>
        <w:t>根据《内蒙古自治区人民政府办公厅关于进一步加强绿色矿山建设的通知》（内政办发〔2025〕24号）文件精神，以及《非金属行业绿色矿山建设规范》（DZ/T 0312-2018）等，结合矿山实际情况，制定技改扩建部分绿色矿山建设方案，推动矿山绿色低碳转型。</w:t>
      </w:r>
    </w:p>
    <w:p w14:paraId="4B6508D0">
      <w:pPr>
        <w:widowControl/>
        <w:spacing w:line="360" w:lineRule="auto"/>
        <w:ind w:firstLine="560" w:firstLineChars="200"/>
        <w:rPr>
          <w:sz w:val="28"/>
          <w:szCs w:val="28"/>
        </w:rPr>
      </w:pPr>
      <w:r>
        <w:rPr>
          <w:rFonts w:hint="eastAsia"/>
          <w:sz w:val="28"/>
          <w:szCs w:val="28"/>
        </w:rPr>
        <w:t>本次矿山建设严格按照绿色矿山建设标准。</w:t>
      </w:r>
    </w:p>
    <w:p w14:paraId="7E0FEBC0">
      <w:pPr>
        <w:widowControl/>
        <w:spacing w:line="360" w:lineRule="auto"/>
        <w:ind w:firstLine="560" w:firstLineChars="200"/>
        <w:rPr>
          <w:sz w:val="28"/>
          <w:szCs w:val="28"/>
        </w:rPr>
      </w:pPr>
      <w:r>
        <w:rPr>
          <w:rFonts w:hint="eastAsia"/>
          <w:sz w:val="28"/>
          <w:szCs w:val="28"/>
        </w:rPr>
        <w:t>矿区规划建设布局合理，标识、标牌等规范统一，清晰美观，矿区生产生活运行有序，管理规范。</w:t>
      </w:r>
    </w:p>
    <w:p w14:paraId="43D41CEF">
      <w:pPr>
        <w:widowControl/>
        <w:spacing w:line="360" w:lineRule="auto"/>
        <w:ind w:firstLine="560" w:firstLineChars="200"/>
        <w:rPr>
          <w:sz w:val="28"/>
          <w:szCs w:val="28"/>
        </w:rPr>
      </w:pPr>
      <w:r>
        <w:rPr>
          <w:rFonts w:hint="eastAsia"/>
          <w:sz w:val="28"/>
          <w:szCs w:val="28"/>
        </w:rPr>
        <w:t>矿山生产、运输、储存过程中做好防尘保洁措施，确保矿区环境卫生整洁。</w:t>
      </w:r>
    </w:p>
    <w:p w14:paraId="3B66E427">
      <w:pPr>
        <w:widowControl/>
        <w:spacing w:line="360" w:lineRule="auto"/>
        <w:ind w:firstLine="560" w:firstLineChars="200"/>
        <w:rPr>
          <w:sz w:val="28"/>
          <w:szCs w:val="28"/>
        </w:rPr>
      </w:pPr>
      <w:r>
        <w:rPr>
          <w:rFonts w:hint="eastAsia"/>
          <w:sz w:val="28"/>
          <w:szCs w:val="28"/>
        </w:rPr>
        <w:t>生产过程中产生的废气和粉尘、废水、噪声、固废等污染物得到有效处置，达标排放。</w:t>
      </w:r>
    </w:p>
    <w:p w14:paraId="754B7226">
      <w:pPr>
        <w:widowControl/>
        <w:spacing w:line="360" w:lineRule="auto"/>
        <w:ind w:firstLine="560" w:firstLineChars="200"/>
        <w:rPr>
          <w:sz w:val="28"/>
          <w:szCs w:val="28"/>
        </w:rPr>
      </w:pPr>
      <w:r>
        <w:rPr>
          <w:rFonts w:hint="eastAsia"/>
          <w:sz w:val="28"/>
          <w:szCs w:val="28"/>
        </w:rPr>
        <w:t>充分利用矿区自然资源，因地制宜建设“花园式”矿山，矿区绿化覆盖率达到可绿化面积的</w:t>
      </w:r>
      <w:r>
        <w:rPr>
          <w:rFonts w:hint="eastAsia" w:ascii="宋体" w:hAnsi="宋体" w:cs="宋体"/>
          <w:spacing w:val="13"/>
          <w:sz w:val="32"/>
          <w:szCs w:val="32"/>
        </w:rPr>
        <w:t>***</w:t>
      </w:r>
      <w:r>
        <w:rPr>
          <w:rFonts w:hint="eastAsia"/>
          <w:sz w:val="28"/>
          <w:szCs w:val="28"/>
        </w:rPr>
        <w:t>%，基本实现矿区环境天蓝、地绿、水净。</w:t>
      </w:r>
    </w:p>
    <w:p w14:paraId="6A670EAB">
      <w:pPr>
        <w:widowControl/>
        <w:spacing w:line="360" w:lineRule="auto"/>
        <w:ind w:firstLine="560" w:firstLineChars="200"/>
        <w:rPr>
          <w:sz w:val="28"/>
          <w:szCs w:val="28"/>
        </w:rPr>
      </w:pPr>
      <w:r>
        <w:rPr>
          <w:rFonts w:hint="eastAsia"/>
          <w:sz w:val="28"/>
          <w:szCs w:val="28"/>
        </w:rPr>
        <w:t>矿山在建设及生产过程中，认真落实环评报告书、矿区生态修复方案、水土保持等相关内容，保护矿区生态环境。切实履行矿区生态修复义务，做到资源开发利用方案、矿区生态修复方案同时设计、同时施工、同时投入生产和管理，确保矿区环境得到及时治理和恢复。</w:t>
      </w:r>
    </w:p>
    <w:p w14:paraId="0EAAA17F">
      <w:pPr>
        <w:widowControl/>
        <w:spacing w:line="360" w:lineRule="auto"/>
        <w:ind w:firstLine="560" w:firstLineChars="200"/>
        <w:rPr>
          <w:sz w:val="28"/>
          <w:szCs w:val="28"/>
        </w:rPr>
      </w:pPr>
      <w:r>
        <w:rPr>
          <w:rFonts w:hint="eastAsia"/>
          <w:sz w:val="28"/>
          <w:szCs w:val="28"/>
        </w:rPr>
        <w:t>上述措施将协同推进，旨在将受损矿区建设成为一个与周边环境和诸共生、兼具生态效益与景观价值的生命共同体。</w:t>
      </w:r>
    </w:p>
    <w:p w14:paraId="430243C7">
      <w:pPr>
        <w:pStyle w:val="4"/>
        <w:spacing w:before="120" w:beforeLines="50"/>
        <w:rPr>
          <w:rFonts w:ascii="Times New Roman" w:hAnsi="Times New Roman"/>
        </w:rPr>
      </w:pPr>
      <w:bookmarkStart w:id="130" w:name="_Toc28668"/>
      <w:r>
        <w:rPr>
          <w:rFonts w:ascii="Times New Roman" w:hAnsi="Times New Roman"/>
        </w:rPr>
        <w:t>第三节  工程内容</w:t>
      </w:r>
      <w:bookmarkEnd w:id="130"/>
    </w:p>
    <w:p w14:paraId="48EEFD70">
      <w:pPr>
        <w:spacing w:line="360" w:lineRule="auto"/>
        <w:ind w:firstLine="560" w:firstLineChars="200"/>
        <w:rPr>
          <w:sz w:val="28"/>
          <w:szCs w:val="28"/>
        </w:rPr>
      </w:pPr>
      <w:bookmarkStart w:id="131" w:name="_Hlk238902841"/>
      <w:r>
        <w:rPr>
          <w:sz w:val="28"/>
          <w:szCs w:val="28"/>
        </w:rPr>
        <w:t>复垦责任范围内土地复垦后的主要利用方向林地、草地。针对复垦单元设计复垦工程，主要包括地貌重塑工程、土壤重构工程、植被重建工程等。本方案计划对</w:t>
      </w:r>
      <w:r>
        <w:rPr>
          <w:rFonts w:hint="eastAsia"/>
          <w:sz w:val="28"/>
          <w:szCs w:val="28"/>
        </w:rPr>
        <w:t>拟建露天采场、</w:t>
      </w:r>
      <w:bookmarkStart w:id="132" w:name="_Hlk240534684"/>
      <w:r>
        <w:rPr>
          <w:rFonts w:hint="eastAsia"/>
          <w:sz w:val="28"/>
          <w:szCs w:val="28"/>
        </w:rPr>
        <w:t>拟建排土场</w:t>
      </w:r>
      <w:bookmarkEnd w:id="132"/>
      <w:r>
        <w:rPr>
          <w:rFonts w:hint="eastAsia"/>
          <w:sz w:val="28"/>
          <w:szCs w:val="28"/>
        </w:rPr>
        <w:t>、拟建办公生活区、拟建截洪沟、拟建矿区道路、</w:t>
      </w:r>
      <w:r>
        <w:rPr>
          <w:rFonts w:hint="eastAsia"/>
          <w:snapToGrid w:val="0"/>
          <w:sz w:val="28"/>
          <w:szCs w:val="28"/>
        </w:rPr>
        <w:t>工业场地、</w:t>
      </w:r>
      <w:r>
        <w:rPr>
          <w:rFonts w:hint="eastAsia"/>
          <w:sz w:val="28"/>
          <w:szCs w:val="28"/>
        </w:rPr>
        <w:t>露天采场（矿证外）、</w:t>
      </w:r>
      <w:r>
        <w:rPr>
          <w:rFonts w:hint="eastAsia"/>
          <w:snapToGrid w:val="0"/>
          <w:sz w:val="28"/>
          <w:szCs w:val="28"/>
        </w:rPr>
        <w:t>废石场1、废石场2、废石场3、钻机平台、生活区、办公区、门卫、矿区道路</w:t>
      </w:r>
      <w:r>
        <w:rPr>
          <w:rFonts w:hint="eastAsia"/>
          <w:sz w:val="28"/>
          <w:szCs w:val="28"/>
        </w:rPr>
        <w:t>等</w:t>
      </w:r>
      <w:r>
        <w:rPr>
          <w:sz w:val="28"/>
          <w:szCs w:val="28"/>
        </w:rPr>
        <w:t>进行工程设计，针对不同复垦单元的复垦措施，分述如下：</w:t>
      </w:r>
    </w:p>
    <w:p w14:paraId="137D8ADB">
      <w:pPr>
        <w:pStyle w:val="5"/>
        <w:spacing w:line="360" w:lineRule="auto"/>
        <w:ind w:firstLine="562" w:firstLineChars="200"/>
        <w:rPr>
          <w:rFonts w:ascii="Times New Roman"/>
          <w:b/>
          <w:sz w:val="28"/>
          <w:szCs w:val="24"/>
        </w:rPr>
      </w:pPr>
      <w:bookmarkStart w:id="133" w:name="_Hlk240554063"/>
      <w:r>
        <w:rPr>
          <w:rFonts w:ascii="Times New Roman"/>
          <w:b/>
          <w:sz w:val="28"/>
          <w:szCs w:val="24"/>
        </w:rPr>
        <w:t>一、拟建</w:t>
      </w:r>
      <w:r>
        <w:rPr>
          <w:rFonts w:hint="eastAsia" w:ascii="Times New Roman"/>
          <w:b/>
          <w:sz w:val="28"/>
          <w:szCs w:val="24"/>
        </w:rPr>
        <w:t>露天采场</w:t>
      </w:r>
    </w:p>
    <w:p w14:paraId="5244ACE1">
      <w:pPr>
        <w:widowControl/>
        <w:spacing w:line="360" w:lineRule="auto"/>
        <w:ind w:firstLine="560" w:firstLineChars="200"/>
        <w:rPr>
          <w:sz w:val="28"/>
          <w:szCs w:val="28"/>
        </w:rPr>
      </w:pPr>
      <w:r>
        <w:rPr>
          <w:sz w:val="28"/>
          <w:szCs w:val="28"/>
        </w:rPr>
        <w:t>1、危岩体清理</w:t>
      </w:r>
    </w:p>
    <w:p w14:paraId="2FA90BDB">
      <w:pPr>
        <w:widowControl/>
        <w:spacing w:line="360" w:lineRule="auto"/>
        <w:ind w:firstLine="560" w:firstLineChars="200"/>
        <w:rPr>
          <w:sz w:val="28"/>
          <w:szCs w:val="28"/>
        </w:rPr>
      </w:pPr>
      <w:r>
        <w:rPr>
          <w:sz w:val="28"/>
          <w:szCs w:val="28"/>
        </w:rPr>
        <w:t>对采坑内局部不稳定岩质边坡、浮石，适宜采用局部削坡和清理浮石方式进行防治的工程。清理时，将表层裂隙发育且风化严重的部分清除（表层约</w:t>
      </w:r>
      <w:r>
        <w:rPr>
          <w:rFonts w:hint="eastAsia" w:ascii="宋体" w:hAnsi="宋体" w:cs="宋体"/>
          <w:spacing w:val="13"/>
          <w:sz w:val="32"/>
          <w:szCs w:val="32"/>
        </w:rPr>
        <w:t>***</w:t>
      </w:r>
      <w:r>
        <w:rPr>
          <w:sz w:val="28"/>
          <w:szCs w:val="28"/>
        </w:rPr>
        <w:t>m厚度破碎清理），局部可根据现场实际情况适当增加或减少。清理危岩体工程量估算如下：Qx=n×L</w:t>
      </w:r>
      <w:r>
        <w:rPr>
          <w:sz w:val="28"/>
          <w:szCs w:val="28"/>
          <w:vertAlign w:val="subscript"/>
        </w:rPr>
        <w:t>l</w:t>
      </w:r>
      <w:r>
        <w:rPr>
          <w:sz w:val="28"/>
          <w:szCs w:val="28"/>
        </w:rPr>
        <w:t>×v，式中：Qx为清理危岩体方量（m</w:t>
      </w:r>
      <w:r>
        <w:rPr>
          <w:sz w:val="28"/>
          <w:szCs w:val="28"/>
          <w:vertAlign w:val="superscript"/>
        </w:rPr>
        <w:t>3</w:t>
      </w:r>
      <w:r>
        <w:rPr>
          <w:sz w:val="28"/>
          <w:szCs w:val="28"/>
        </w:rPr>
        <w:t>）；根据周围矿山治理经验，n为边坡清理危岩体系数</w:t>
      </w:r>
      <w:r>
        <w:rPr>
          <w:rFonts w:hint="eastAsia" w:ascii="宋体" w:hAnsi="宋体" w:cs="宋体"/>
          <w:spacing w:val="13"/>
          <w:sz w:val="32"/>
          <w:szCs w:val="32"/>
        </w:rPr>
        <w:t>***</w:t>
      </w:r>
      <w:r>
        <w:rPr>
          <w:sz w:val="28"/>
          <w:szCs w:val="28"/>
        </w:rPr>
        <w:t>％，L</w:t>
      </w:r>
      <w:r>
        <w:rPr>
          <w:sz w:val="28"/>
          <w:szCs w:val="28"/>
          <w:vertAlign w:val="subscript"/>
        </w:rPr>
        <w:t>l</w:t>
      </w:r>
      <w:r>
        <w:rPr>
          <w:sz w:val="28"/>
          <w:szCs w:val="28"/>
        </w:rPr>
        <w:t>为治理边坡长度（m），v为单位坡长清理方量（本方案取值3m</w:t>
      </w:r>
      <w:r>
        <w:rPr>
          <w:sz w:val="28"/>
          <w:szCs w:val="28"/>
          <w:vertAlign w:val="superscript"/>
        </w:rPr>
        <w:t>3</w:t>
      </w:r>
      <w:r>
        <w:rPr>
          <w:sz w:val="28"/>
          <w:szCs w:val="28"/>
        </w:rPr>
        <w:t>/m）。</w:t>
      </w:r>
    </w:p>
    <w:p w14:paraId="03389B6A">
      <w:pPr>
        <w:widowControl/>
        <w:spacing w:line="360" w:lineRule="auto"/>
        <w:ind w:firstLine="560" w:firstLineChars="200"/>
        <w:rPr>
          <w:sz w:val="28"/>
          <w:szCs w:val="28"/>
        </w:rPr>
      </w:pPr>
      <w:r>
        <w:rPr>
          <w:sz w:val="28"/>
          <w:szCs w:val="28"/>
        </w:rPr>
        <w:t>露天采场总共</w:t>
      </w:r>
      <w:r>
        <w:rPr>
          <w:rFonts w:hint="eastAsia" w:ascii="宋体" w:hAnsi="宋体" w:cs="宋体"/>
          <w:spacing w:val="13"/>
          <w:sz w:val="32"/>
          <w:szCs w:val="32"/>
        </w:rPr>
        <w:t>***</w:t>
      </w:r>
      <w:r>
        <w:rPr>
          <w:sz w:val="28"/>
          <w:szCs w:val="28"/>
        </w:rPr>
        <w:t>阶台阶边坡最外边坡</w:t>
      </w:r>
      <w:r>
        <w:rPr>
          <w:rFonts w:hint="eastAsia" w:ascii="宋体" w:hAnsi="宋体" w:cs="宋体"/>
          <w:spacing w:val="13"/>
          <w:sz w:val="32"/>
          <w:szCs w:val="32"/>
        </w:rPr>
        <w:t>***</w:t>
      </w:r>
      <w:r>
        <w:rPr>
          <w:sz w:val="28"/>
          <w:szCs w:val="28"/>
        </w:rPr>
        <w:t>m，总清理危岩体边坡长度</w:t>
      </w:r>
      <w:r>
        <w:rPr>
          <w:rFonts w:hint="eastAsia" w:ascii="宋体" w:hAnsi="宋体" w:cs="宋体"/>
          <w:spacing w:val="13"/>
          <w:sz w:val="32"/>
          <w:szCs w:val="32"/>
        </w:rPr>
        <w:t>***</w:t>
      </w:r>
      <w:r>
        <w:rPr>
          <w:sz w:val="28"/>
          <w:szCs w:val="28"/>
        </w:rPr>
        <w:t>m，则总清理危岩体工程量为</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2DAEF698">
      <w:pPr>
        <w:widowControl/>
        <w:spacing w:line="360" w:lineRule="auto"/>
        <w:ind w:firstLine="560" w:firstLineChars="200"/>
        <w:rPr>
          <w:sz w:val="28"/>
          <w:szCs w:val="28"/>
        </w:rPr>
      </w:pPr>
      <w:r>
        <w:rPr>
          <w:rFonts w:hint="eastAsia"/>
          <w:sz w:val="28"/>
          <w:szCs w:val="28"/>
        </w:rPr>
        <w:t>2、回填</w:t>
      </w:r>
    </w:p>
    <w:p w14:paraId="2C36EAD5">
      <w:pPr>
        <w:widowControl/>
        <w:spacing w:line="360" w:lineRule="auto"/>
        <w:ind w:firstLine="560" w:firstLineChars="200"/>
        <w:rPr>
          <w:sz w:val="28"/>
          <w:szCs w:val="28"/>
        </w:rPr>
      </w:pPr>
      <w:r>
        <w:rPr>
          <w:sz w:val="28"/>
          <w:szCs w:val="28"/>
        </w:rPr>
        <w:t>矿山闭坑后，计划将</w:t>
      </w:r>
      <w:r>
        <w:rPr>
          <w:rFonts w:hint="eastAsia"/>
          <w:sz w:val="28"/>
          <w:szCs w:val="28"/>
        </w:rPr>
        <w:t>排土</w:t>
      </w:r>
      <w:r>
        <w:rPr>
          <w:sz w:val="28"/>
          <w:szCs w:val="28"/>
        </w:rPr>
        <w:t>场内</w:t>
      </w:r>
      <w:r>
        <w:rPr>
          <w:rFonts w:hint="eastAsia"/>
          <w:sz w:val="28"/>
          <w:szCs w:val="28"/>
        </w:rPr>
        <w:t>废石及建筑垃圾全部回填至露天采场底部，排土</w:t>
      </w:r>
      <w:r>
        <w:rPr>
          <w:sz w:val="28"/>
          <w:szCs w:val="28"/>
        </w:rPr>
        <w:t>场内</w:t>
      </w:r>
      <w:r>
        <w:rPr>
          <w:rFonts w:hint="eastAsia"/>
          <w:sz w:val="28"/>
          <w:szCs w:val="28"/>
        </w:rPr>
        <w:t>废石预计总计</w:t>
      </w:r>
      <w:r>
        <w:rPr>
          <w:rFonts w:hint="eastAsia" w:ascii="宋体" w:hAnsi="宋体" w:cs="宋体"/>
          <w:spacing w:val="13"/>
          <w:sz w:val="32"/>
          <w:szCs w:val="32"/>
        </w:rPr>
        <w:t>***</w:t>
      </w:r>
      <w:r>
        <w:rPr>
          <w:bCs/>
          <w:sz w:val="28"/>
          <w:szCs w:val="28"/>
        </w:rPr>
        <w:t>m</w:t>
      </w:r>
      <w:r>
        <w:rPr>
          <w:bCs/>
          <w:sz w:val="28"/>
          <w:szCs w:val="28"/>
          <w:vertAlign w:val="superscript"/>
        </w:rPr>
        <w:t>3</w:t>
      </w:r>
      <w:r>
        <w:rPr>
          <w:rFonts w:hint="eastAsia"/>
          <w:bCs/>
          <w:sz w:val="28"/>
          <w:szCs w:val="28"/>
        </w:rPr>
        <w:t>，建筑垃圾清运工程量为</w:t>
      </w:r>
      <w:r>
        <w:rPr>
          <w:rFonts w:hint="eastAsia" w:ascii="宋体" w:hAnsi="宋体" w:cs="宋体"/>
          <w:spacing w:val="13"/>
          <w:sz w:val="32"/>
          <w:szCs w:val="32"/>
        </w:rPr>
        <w:t>***</w:t>
      </w:r>
      <w:r>
        <w:rPr>
          <w:bCs/>
          <w:sz w:val="28"/>
          <w:szCs w:val="28"/>
        </w:rPr>
        <w:t>m</w:t>
      </w:r>
      <w:r>
        <w:rPr>
          <w:bCs/>
          <w:sz w:val="28"/>
          <w:szCs w:val="28"/>
          <w:vertAlign w:val="superscript"/>
        </w:rPr>
        <w:t>3</w:t>
      </w:r>
      <w:r>
        <w:rPr>
          <w:rFonts w:hint="eastAsia"/>
          <w:bCs/>
          <w:sz w:val="28"/>
          <w:szCs w:val="28"/>
        </w:rPr>
        <w:t>，扣除拟建截洪沟回填的</w:t>
      </w:r>
      <w:r>
        <w:rPr>
          <w:rFonts w:hint="eastAsia" w:ascii="宋体" w:hAnsi="宋体" w:cs="宋体"/>
          <w:spacing w:val="13"/>
          <w:sz w:val="32"/>
          <w:szCs w:val="32"/>
        </w:rPr>
        <w:t>***</w:t>
      </w:r>
      <w:r>
        <w:rPr>
          <w:bCs/>
          <w:sz w:val="28"/>
          <w:szCs w:val="28"/>
        </w:rPr>
        <w:t>m</w:t>
      </w:r>
      <w:r>
        <w:rPr>
          <w:bCs/>
          <w:sz w:val="28"/>
          <w:szCs w:val="28"/>
          <w:vertAlign w:val="superscript"/>
        </w:rPr>
        <w:t>3</w:t>
      </w:r>
      <w:r>
        <w:rPr>
          <w:rFonts w:hint="eastAsia"/>
          <w:bCs/>
          <w:sz w:val="28"/>
          <w:szCs w:val="28"/>
        </w:rPr>
        <w:t>，剩余</w:t>
      </w:r>
      <w:r>
        <w:rPr>
          <w:rFonts w:hint="eastAsia" w:ascii="宋体" w:hAnsi="宋体" w:cs="宋体"/>
          <w:spacing w:val="13"/>
          <w:sz w:val="32"/>
          <w:szCs w:val="32"/>
        </w:rPr>
        <w:t>***</w:t>
      </w:r>
      <w:r>
        <w:rPr>
          <w:sz w:val="28"/>
          <w:szCs w:val="28"/>
        </w:rPr>
        <w:t>m</w:t>
      </w:r>
      <w:r>
        <w:rPr>
          <w:sz w:val="28"/>
          <w:szCs w:val="28"/>
          <w:vertAlign w:val="superscript"/>
        </w:rPr>
        <w:t>3</w:t>
      </w:r>
      <w:r>
        <w:rPr>
          <w:rFonts w:hint="eastAsia"/>
          <w:sz w:val="28"/>
          <w:szCs w:val="28"/>
        </w:rPr>
        <w:t>，全部回填至拟建露天采场底部。</w:t>
      </w:r>
    </w:p>
    <w:p w14:paraId="51DBAE0B">
      <w:pPr>
        <w:widowControl/>
        <w:spacing w:line="360" w:lineRule="auto"/>
        <w:ind w:firstLine="560" w:firstLineChars="200"/>
        <w:rPr>
          <w:sz w:val="28"/>
          <w:szCs w:val="28"/>
        </w:rPr>
      </w:pPr>
      <w:bookmarkStart w:id="134" w:name="_Hlk240554460"/>
      <w:r>
        <w:rPr>
          <w:rFonts w:hint="eastAsia"/>
          <w:sz w:val="28"/>
          <w:szCs w:val="28"/>
        </w:rPr>
        <w:t>3、场地整平</w:t>
      </w:r>
    </w:p>
    <w:p w14:paraId="73B0AC77">
      <w:pPr>
        <w:widowControl/>
        <w:spacing w:line="360" w:lineRule="auto"/>
        <w:ind w:firstLine="560" w:firstLineChars="200"/>
        <w:rPr>
          <w:sz w:val="28"/>
          <w:szCs w:val="28"/>
        </w:rPr>
      </w:pPr>
      <w:r>
        <w:rPr>
          <w:rFonts w:hint="eastAsia"/>
          <w:sz w:val="28"/>
          <w:szCs w:val="28"/>
        </w:rPr>
        <w:t>对回填后的露天采场底部进行石方整平，露天采场底部面积</w:t>
      </w:r>
      <w:r>
        <w:rPr>
          <w:rFonts w:hint="eastAsia" w:ascii="宋体" w:hAnsi="宋体" w:cs="宋体"/>
          <w:spacing w:val="13"/>
          <w:sz w:val="32"/>
          <w:szCs w:val="32"/>
        </w:rPr>
        <w:t>***</w:t>
      </w:r>
      <w:r>
        <w:rPr>
          <w:bCs/>
          <w:sz w:val="28"/>
          <w:szCs w:val="28"/>
        </w:rPr>
        <w:t>m</w:t>
      </w:r>
      <w:r>
        <w:rPr>
          <w:rFonts w:hint="eastAsia"/>
          <w:bCs/>
          <w:sz w:val="28"/>
          <w:szCs w:val="28"/>
          <w:vertAlign w:val="superscript"/>
        </w:rPr>
        <w:t>2</w:t>
      </w:r>
      <w:r>
        <w:rPr>
          <w:rFonts w:hint="eastAsia"/>
          <w:bCs/>
          <w:sz w:val="28"/>
          <w:szCs w:val="28"/>
        </w:rPr>
        <w:t>，整平深度</w:t>
      </w:r>
      <w:r>
        <w:rPr>
          <w:rFonts w:hint="eastAsia" w:ascii="宋体" w:hAnsi="宋体" w:cs="宋体"/>
          <w:spacing w:val="13"/>
          <w:sz w:val="32"/>
          <w:szCs w:val="32"/>
        </w:rPr>
        <w:t>***</w:t>
      </w:r>
      <w:r>
        <w:rPr>
          <w:rFonts w:hint="eastAsia"/>
          <w:bCs/>
          <w:sz w:val="28"/>
          <w:szCs w:val="28"/>
        </w:rPr>
        <w:t>m，整平工程量为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bookmarkEnd w:id="134"/>
    </w:p>
    <w:p w14:paraId="5BD55494">
      <w:pPr>
        <w:widowControl/>
        <w:spacing w:line="360" w:lineRule="auto"/>
        <w:ind w:firstLine="560" w:firstLineChars="200"/>
        <w:rPr>
          <w:sz w:val="28"/>
          <w:szCs w:val="28"/>
        </w:rPr>
      </w:pPr>
      <w:r>
        <w:rPr>
          <w:rFonts w:hint="eastAsia"/>
          <w:sz w:val="28"/>
          <w:szCs w:val="28"/>
        </w:rPr>
        <w:t>4</w:t>
      </w:r>
      <w:r>
        <w:rPr>
          <w:sz w:val="28"/>
          <w:szCs w:val="28"/>
        </w:rPr>
        <w:t>、覆土及整平</w:t>
      </w:r>
    </w:p>
    <w:p w14:paraId="221A9BA4">
      <w:pPr>
        <w:spacing w:line="360" w:lineRule="auto"/>
        <w:ind w:firstLine="560" w:firstLineChars="200"/>
        <w:rPr>
          <w:sz w:val="28"/>
          <w:szCs w:val="28"/>
        </w:rPr>
      </w:pPr>
      <w:r>
        <w:rPr>
          <w:sz w:val="28"/>
          <w:szCs w:val="28"/>
        </w:rPr>
        <w:t>对地貌治理完成的拟建露天采场进行覆土整平，露天采场平台计划恢复</w:t>
      </w:r>
      <w:r>
        <w:rPr>
          <w:rFonts w:hint="eastAsia"/>
          <w:sz w:val="28"/>
          <w:szCs w:val="28"/>
        </w:rPr>
        <w:t>草地</w:t>
      </w:r>
      <w:r>
        <w:rPr>
          <w:sz w:val="28"/>
          <w:szCs w:val="28"/>
        </w:rPr>
        <w:t>，覆土厚度</w:t>
      </w:r>
      <w:r>
        <w:rPr>
          <w:rFonts w:hint="eastAsia" w:ascii="宋体" w:hAnsi="宋体" w:cs="宋体"/>
          <w:spacing w:val="13"/>
          <w:sz w:val="32"/>
          <w:szCs w:val="32"/>
        </w:rPr>
        <w:t>***</w:t>
      </w:r>
      <w:r>
        <w:rPr>
          <w:sz w:val="28"/>
          <w:szCs w:val="28"/>
        </w:rPr>
        <w:t>m，</w:t>
      </w:r>
      <w:r>
        <w:rPr>
          <w:rFonts w:hint="eastAsia"/>
          <w:sz w:val="28"/>
          <w:szCs w:val="28"/>
        </w:rPr>
        <w:t>覆土总面积为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则拟建</w:t>
      </w:r>
      <w:r>
        <w:rPr>
          <w:rFonts w:hint="eastAsia"/>
          <w:sz w:val="28"/>
          <w:szCs w:val="28"/>
        </w:rPr>
        <w:t>露天采场</w:t>
      </w:r>
      <w:r>
        <w:rPr>
          <w:sz w:val="28"/>
          <w:szCs w:val="28"/>
        </w:rPr>
        <w:t>覆土及整平工程量为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71D1AF4D">
      <w:pPr>
        <w:widowControl/>
        <w:spacing w:line="360" w:lineRule="auto"/>
        <w:ind w:firstLine="560" w:firstLineChars="200"/>
        <w:rPr>
          <w:sz w:val="28"/>
          <w:szCs w:val="28"/>
        </w:rPr>
      </w:pPr>
      <w:bookmarkStart w:id="135" w:name="OLE_LINK32"/>
      <w:r>
        <w:rPr>
          <w:rFonts w:hint="eastAsia"/>
          <w:sz w:val="28"/>
          <w:szCs w:val="28"/>
        </w:rPr>
        <w:t>5、播撒草籽</w:t>
      </w:r>
    </w:p>
    <w:p w14:paraId="143F1D2E">
      <w:pPr>
        <w:widowControl/>
        <w:spacing w:line="360" w:lineRule="auto"/>
        <w:ind w:firstLine="560" w:firstLineChars="200"/>
        <w:rPr>
          <w:sz w:val="28"/>
          <w:szCs w:val="28"/>
        </w:rPr>
      </w:pPr>
      <w:r>
        <w:rPr>
          <w:rFonts w:hint="eastAsia"/>
          <w:sz w:val="28"/>
          <w:szCs w:val="28"/>
        </w:rPr>
        <w:t>拟建露天采场拟恢复为草地，总面积为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则拟建</w:t>
      </w:r>
      <w:r>
        <w:rPr>
          <w:rFonts w:hint="eastAsia"/>
          <w:sz w:val="28"/>
          <w:szCs w:val="28"/>
        </w:rPr>
        <w:t>露天采场播撒草籽的工程量为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p>
    <w:p w14:paraId="544F1918">
      <w:pPr>
        <w:widowControl/>
        <w:spacing w:line="360" w:lineRule="auto"/>
        <w:jc w:val="center"/>
        <w:rPr>
          <w:rFonts w:hint="eastAsia" w:ascii="黑体" w:hAnsi="黑体" w:eastAsia="黑体"/>
          <w:sz w:val="28"/>
          <w:szCs w:val="28"/>
        </w:rPr>
      </w:pPr>
      <w:r>
        <w:rPr>
          <w:rFonts w:hint="eastAsia" w:ascii="黑体" w:hAnsi="黑体" w:eastAsia="黑体"/>
          <w:sz w:val="24"/>
          <w:szCs w:val="24"/>
        </w:rPr>
        <w:t>图4-1  拟建露天采场、拟建截洪沟、露天采场矿区外治理效果图</w:t>
      </w:r>
    </w:p>
    <w:p w14:paraId="79828E13">
      <w:pPr>
        <w:pStyle w:val="5"/>
        <w:spacing w:line="360" w:lineRule="auto"/>
        <w:ind w:firstLine="562" w:firstLineChars="200"/>
        <w:rPr>
          <w:rFonts w:ascii="Times New Roman"/>
          <w:b/>
          <w:sz w:val="28"/>
          <w:szCs w:val="24"/>
        </w:rPr>
      </w:pPr>
      <w:r>
        <w:rPr>
          <w:rFonts w:ascii="Times New Roman"/>
          <w:b/>
          <w:sz w:val="28"/>
          <w:szCs w:val="24"/>
        </w:rPr>
        <w:t>二、</w:t>
      </w:r>
      <w:r>
        <w:rPr>
          <w:rFonts w:hint="eastAsia" w:ascii="Times New Roman"/>
          <w:b/>
          <w:sz w:val="28"/>
          <w:szCs w:val="24"/>
        </w:rPr>
        <w:t>拟建排土场</w:t>
      </w:r>
    </w:p>
    <w:p w14:paraId="20915F5F">
      <w:pPr>
        <w:widowControl/>
        <w:spacing w:line="360" w:lineRule="auto"/>
        <w:ind w:firstLine="560" w:firstLineChars="200"/>
        <w:rPr>
          <w:sz w:val="28"/>
          <w:szCs w:val="28"/>
        </w:rPr>
      </w:pPr>
      <w:r>
        <w:rPr>
          <w:rFonts w:hint="eastAsia"/>
          <w:sz w:val="28"/>
          <w:szCs w:val="28"/>
        </w:rPr>
        <w:t>1、清运</w:t>
      </w:r>
    </w:p>
    <w:p w14:paraId="04048BB8">
      <w:pPr>
        <w:widowControl/>
        <w:spacing w:line="360" w:lineRule="auto"/>
        <w:ind w:firstLine="560" w:firstLineChars="200"/>
        <w:rPr>
          <w:sz w:val="28"/>
          <w:szCs w:val="28"/>
        </w:rPr>
      </w:pPr>
      <w:r>
        <w:rPr>
          <w:sz w:val="28"/>
          <w:szCs w:val="28"/>
        </w:rPr>
        <w:t>矿山闭坑后，计划将</w:t>
      </w:r>
      <w:r>
        <w:rPr>
          <w:rFonts w:hint="eastAsia"/>
          <w:sz w:val="28"/>
          <w:szCs w:val="28"/>
        </w:rPr>
        <w:t>排土</w:t>
      </w:r>
      <w:r>
        <w:rPr>
          <w:sz w:val="28"/>
          <w:szCs w:val="28"/>
        </w:rPr>
        <w:t>场内废石全部清运至露天采场用于回填，根据《</w:t>
      </w:r>
      <w:r>
        <w:rPr>
          <w:rFonts w:hint="eastAsia"/>
          <w:sz w:val="28"/>
          <w:szCs w:val="28"/>
        </w:rPr>
        <w:t>开发利用</w:t>
      </w:r>
      <w:r>
        <w:rPr>
          <w:sz w:val="28"/>
          <w:szCs w:val="28"/>
        </w:rPr>
        <w:t>方案》，矿山开采期间预计产生</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废石，因此，废石清运工程量为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3D70BAE8">
      <w:pPr>
        <w:widowControl/>
        <w:spacing w:line="360" w:lineRule="auto"/>
        <w:ind w:firstLine="560" w:firstLineChars="200"/>
        <w:rPr>
          <w:sz w:val="28"/>
          <w:szCs w:val="28"/>
        </w:rPr>
      </w:pPr>
      <w:r>
        <w:rPr>
          <w:rFonts w:hint="eastAsia"/>
          <w:sz w:val="28"/>
          <w:szCs w:val="28"/>
        </w:rPr>
        <w:t>2、场地整平</w:t>
      </w:r>
    </w:p>
    <w:p w14:paraId="28BF1E70">
      <w:pPr>
        <w:widowControl/>
        <w:spacing w:line="360" w:lineRule="auto"/>
        <w:ind w:firstLine="560" w:firstLineChars="200"/>
        <w:rPr>
          <w:sz w:val="28"/>
          <w:szCs w:val="28"/>
        </w:rPr>
      </w:pPr>
      <w:r>
        <w:rPr>
          <w:rFonts w:hint="eastAsia"/>
          <w:sz w:val="28"/>
          <w:szCs w:val="28"/>
        </w:rPr>
        <w:t>场地清运后，对场地进行平整，拟建排土场面积</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，场地整平深度为</w:t>
      </w:r>
      <w:r>
        <w:rPr>
          <w:rFonts w:hint="eastAsia" w:ascii="宋体" w:hAnsi="宋体" w:cs="宋体"/>
          <w:spacing w:val="13"/>
          <w:sz w:val="32"/>
          <w:szCs w:val="32"/>
        </w:rPr>
        <w:t>***</w:t>
      </w:r>
      <w:r>
        <w:rPr>
          <w:rFonts w:hint="eastAsia"/>
          <w:sz w:val="28"/>
          <w:szCs w:val="28"/>
        </w:rPr>
        <w:t>m，则场地整平工程量为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46FF8574">
      <w:pPr>
        <w:widowControl/>
        <w:spacing w:line="360" w:lineRule="auto"/>
        <w:ind w:firstLine="560" w:firstLineChars="200"/>
        <w:rPr>
          <w:sz w:val="28"/>
          <w:szCs w:val="28"/>
        </w:rPr>
      </w:pPr>
      <w:r>
        <w:rPr>
          <w:rFonts w:hint="eastAsia"/>
          <w:sz w:val="28"/>
          <w:szCs w:val="28"/>
        </w:rPr>
        <w:t>3</w:t>
      </w:r>
      <w:r>
        <w:rPr>
          <w:sz w:val="28"/>
          <w:szCs w:val="28"/>
        </w:rPr>
        <w:t>、覆土及整平</w:t>
      </w:r>
    </w:p>
    <w:p w14:paraId="53AF9A04">
      <w:pPr>
        <w:widowControl/>
        <w:spacing w:line="360" w:lineRule="auto"/>
        <w:ind w:firstLine="560" w:firstLineChars="200"/>
        <w:rPr>
          <w:sz w:val="28"/>
          <w:szCs w:val="28"/>
        </w:rPr>
      </w:pPr>
      <w:r>
        <w:rPr>
          <w:rFonts w:hint="eastAsia"/>
          <w:sz w:val="28"/>
          <w:szCs w:val="28"/>
        </w:rPr>
        <w:t>对整平后的拟建排土场进行覆土整平，拟建排土场计划恢复为灌木林地，</w:t>
      </w:r>
      <w:r>
        <w:rPr>
          <w:sz w:val="28"/>
          <w:szCs w:val="28"/>
        </w:rPr>
        <w:t>覆土厚度</w:t>
      </w:r>
      <w:r>
        <w:rPr>
          <w:rFonts w:hint="eastAsia" w:ascii="宋体" w:hAnsi="宋体" w:cs="宋体"/>
          <w:spacing w:val="13"/>
          <w:sz w:val="32"/>
          <w:szCs w:val="32"/>
        </w:rPr>
        <w:t>***</w:t>
      </w:r>
      <w:r>
        <w:rPr>
          <w:sz w:val="28"/>
          <w:szCs w:val="28"/>
        </w:rPr>
        <w:t>m，</w:t>
      </w:r>
      <w:r>
        <w:rPr>
          <w:rFonts w:hint="eastAsia"/>
          <w:sz w:val="28"/>
          <w:szCs w:val="28"/>
        </w:rPr>
        <w:t>覆土总面积为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则拟建</w:t>
      </w:r>
      <w:r>
        <w:rPr>
          <w:rFonts w:hint="eastAsia"/>
          <w:sz w:val="28"/>
          <w:szCs w:val="28"/>
        </w:rPr>
        <w:t>排土场</w:t>
      </w:r>
      <w:r>
        <w:rPr>
          <w:sz w:val="28"/>
          <w:szCs w:val="28"/>
        </w:rPr>
        <w:t>覆土及整平工程量为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12B4745B">
      <w:pPr>
        <w:widowControl/>
        <w:spacing w:line="360" w:lineRule="auto"/>
        <w:ind w:firstLine="560" w:firstLineChars="200"/>
        <w:rPr>
          <w:sz w:val="28"/>
          <w:szCs w:val="28"/>
        </w:rPr>
      </w:pPr>
      <w:r>
        <w:rPr>
          <w:rFonts w:hint="eastAsia"/>
          <w:sz w:val="28"/>
          <w:szCs w:val="28"/>
        </w:rPr>
        <w:t>4、恢复植被</w:t>
      </w:r>
    </w:p>
    <w:p w14:paraId="2FE085ED">
      <w:pPr>
        <w:widowControl/>
        <w:spacing w:line="360" w:lineRule="auto"/>
        <w:ind w:firstLine="560" w:firstLineChars="200"/>
        <w:rPr>
          <w:sz w:val="28"/>
          <w:szCs w:val="28"/>
        </w:rPr>
      </w:pPr>
      <w:r>
        <w:rPr>
          <w:sz w:val="28"/>
          <w:szCs w:val="28"/>
        </w:rPr>
        <w:t>拟建</w:t>
      </w:r>
      <w:r>
        <w:rPr>
          <w:rFonts w:hint="eastAsia"/>
          <w:sz w:val="28"/>
          <w:szCs w:val="28"/>
        </w:rPr>
        <w:t>排土场拟恢复为灌木林地，总面积为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，定植株行距1m×1m，</w:t>
      </w:r>
      <w:r>
        <w:rPr>
          <w:sz w:val="28"/>
          <w:szCs w:val="28"/>
        </w:rPr>
        <w:t>则拟建</w:t>
      </w:r>
      <w:r>
        <w:rPr>
          <w:rFonts w:hint="eastAsia"/>
          <w:sz w:val="28"/>
          <w:szCs w:val="28"/>
        </w:rPr>
        <w:t>排土场栽植灌木的工程量为</w:t>
      </w:r>
      <w:r>
        <w:rPr>
          <w:rFonts w:hint="eastAsia" w:ascii="宋体" w:hAnsi="宋体" w:cs="宋体"/>
          <w:spacing w:val="13"/>
          <w:sz w:val="32"/>
          <w:szCs w:val="32"/>
        </w:rPr>
        <w:t>***</w:t>
      </w:r>
      <w:r>
        <w:rPr>
          <w:rFonts w:hint="eastAsia"/>
          <w:sz w:val="28"/>
          <w:szCs w:val="28"/>
        </w:rPr>
        <w:t>株。</w:t>
      </w:r>
    </w:p>
    <w:p w14:paraId="537E97C8">
      <w:pPr>
        <w:widowControl/>
        <w:spacing w:line="360" w:lineRule="auto"/>
        <w:jc w:val="center"/>
        <w:rPr>
          <w:rFonts w:hint="eastAsia" w:ascii="黑体" w:hAnsi="黑体" w:eastAsia="黑体"/>
          <w:sz w:val="28"/>
          <w:szCs w:val="28"/>
        </w:rPr>
      </w:pPr>
      <w:r>
        <w:rPr>
          <w:rFonts w:hint="eastAsia" w:ascii="黑体" w:hAnsi="黑体" w:eastAsia="黑体"/>
          <w:sz w:val="24"/>
          <w:szCs w:val="24"/>
        </w:rPr>
        <w:t>图4-2  拟建排土场、拟建矿区道路治理效果图</w:t>
      </w:r>
    </w:p>
    <w:p w14:paraId="3A91C6D2">
      <w:pPr>
        <w:pStyle w:val="5"/>
        <w:spacing w:line="360" w:lineRule="auto"/>
        <w:ind w:firstLine="562" w:firstLineChars="200"/>
        <w:rPr>
          <w:rFonts w:ascii="Times New Roman"/>
          <w:b/>
          <w:sz w:val="28"/>
          <w:szCs w:val="24"/>
        </w:rPr>
      </w:pPr>
      <w:r>
        <w:rPr>
          <w:rFonts w:hint="eastAsia" w:ascii="Times New Roman"/>
          <w:b/>
          <w:sz w:val="28"/>
          <w:szCs w:val="24"/>
        </w:rPr>
        <w:t>三</w:t>
      </w:r>
      <w:r>
        <w:rPr>
          <w:rFonts w:ascii="Times New Roman"/>
          <w:b/>
          <w:sz w:val="28"/>
          <w:szCs w:val="24"/>
        </w:rPr>
        <w:t>、</w:t>
      </w:r>
      <w:r>
        <w:rPr>
          <w:rFonts w:hint="eastAsia" w:ascii="Times New Roman"/>
          <w:b/>
          <w:sz w:val="28"/>
          <w:szCs w:val="24"/>
        </w:rPr>
        <w:t>拟建办公生活区</w:t>
      </w:r>
    </w:p>
    <w:p w14:paraId="0585471A">
      <w:pPr>
        <w:widowControl/>
        <w:spacing w:line="360" w:lineRule="auto"/>
        <w:ind w:firstLine="560" w:firstLineChars="200"/>
        <w:rPr>
          <w:sz w:val="28"/>
          <w:szCs w:val="28"/>
        </w:rPr>
      </w:pPr>
      <w:r>
        <w:rPr>
          <w:rFonts w:hint="eastAsia"/>
          <w:sz w:val="28"/>
          <w:szCs w:val="28"/>
        </w:rPr>
        <w:t>1、拆除</w:t>
      </w:r>
    </w:p>
    <w:p w14:paraId="650557A2">
      <w:pPr>
        <w:widowControl/>
        <w:spacing w:line="360" w:lineRule="auto"/>
        <w:ind w:firstLine="560" w:firstLineChars="200"/>
        <w:rPr>
          <w:sz w:val="28"/>
          <w:szCs w:val="28"/>
        </w:rPr>
      </w:pPr>
      <w:r>
        <w:rPr>
          <w:rFonts w:hint="eastAsia"/>
          <w:sz w:val="28"/>
          <w:szCs w:val="28"/>
        </w:rPr>
        <w:t>对拟建的</w:t>
      </w:r>
      <w:bookmarkStart w:id="136" w:name="_Hlk240537478"/>
      <w:r>
        <w:rPr>
          <w:rFonts w:hint="eastAsia"/>
          <w:sz w:val="28"/>
          <w:szCs w:val="28"/>
        </w:rPr>
        <w:t>办公生活区建筑物</w:t>
      </w:r>
      <w:bookmarkEnd w:id="136"/>
      <w:r>
        <w:rPr>
          <w:rFonts w:hint="eastAsia"/>
          <w:sz w:val="28"/>
          <w:szCs w:val="28"/>
        </w:rPr>
        <w:t>进行拆除，预计拟建的办公生活区建筑物多为砖混结构，拆除量按容积的</w:t>
      </w:r>
      <w:r>
        <w:rPr>
          <w:rFonts w:hint="eastAsia" w:ascii="宋体" w:hAnsi="宋体" w:cs="宋体"/>
          <w:spacing w:val="13"/>
          <w:sz w:val="32"/>
          <w:szCs w:val="32"/>
        </w:rPr>
        <w:t>***</w:t>
      </w:r>
      <w:r>
        <w:rPr>
          <w:rFonts w:hint="eastAsia"/>
          <w:sz w:val="28"/>
          <w:szCs w:val="28"/>
        </w:rPr>
        <w:t>%计，建筑高度按照</w:t>
      </w:r>
      <w:r>
        <w:rPr>
          <w:rFonts w:hint="eastAsia" w:ascii="宋体" w:hAnsi="宋体" w:cs="宋体"/>
          <w:spacing w:val="13"/>
          <w:sz w:val="32"/>
          <w:szCs w:val="32"/>
        </w:rPr>
        <w:t>***</w:t>
      </w:r>
      <w:r>
        <w:rPr>
          <w:rFonts w:hint="eastAsia"/>
          <w:sz w:val="28"/>
          <w:szCs w:val="28"/>
        </w:rPr>
        <w:t>m计，预计拟建的办公生活区拆除工程量为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w:t>
      </w:r>
    </w:p>
    <w:p w14:paraId="18FFBB9E">
      <w:pPr>
        <w:widowControl/>
        <w:spacing w:line="360" w:lineRule="auto"/>
        <w:ind w:firstLine="560" w:firstLineChars="200"/>
        <w:rPr>
          <w:sz w:val="28"/>
          <w:szCs w:val="28"/>
        </w:rPr>
      </w:pPr>
      <w:r>
        <w:rPr>
          <w:rFonts w:hint="eastAsia"/>
          <w:sz w:val="28"/>
          <w:szCs w:val="28"/>
        </w:rPr>
        <w:t>2、清运</w:t>
      </w:r>
    </w:p>
    <w:p w14:paraId="25CD671B">
      <w:pPr>
        <w:widowControl/>
        <w:spacing w:line="360" w:lineRule="auto"/>
        <w:ind w:firstLine="560" w:firstLineChars="200"/>
        <w:rPr>
          <w:sz w:val="28"/>
          <w:szCs w:val="28"/>
        </w:rPr>
      </w:pPr>
      <w:r>
        <w:rPr>
          <w:rFonts w:hint="eastAsia"/>
          <w:sz w:val="28"/>
          <w:szCs w:val="28"/>
        </w:rPr>
        <w:t>对拆除后的建筑垃圾进行清运，用于露天采场底部回填及其他场地回填垫坡用，拆除建筑物工程量为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，则清运工程量为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w:t>
      </w:r>
    </w:p>
    <w:p w14:paraId="53F92DF4">
      <w:pPr>
        <w:widowControl/>
        <w:spacing w:line="360" w:lineRule="auto"/>
        <w:ind w:firstLine="560" w:firstLineChars="200"/>
        <w:rPr>
          <w:sz w:val="28"/>
          <w:szCs w:val="28"/>
        </w:rPr>
      </w:pPr>
      <w:r>
        <w:rPr>
          <w:rFonts w:hint="eastAsia"/>
          <w:sz w:val="28"/>
          <w:szCs w:val="28"/>
        </w:rPr>
        <w:t>3、场地整平</w:t>
      </w:r>
    </w:p>
    <w:p w14:paraId="1964DDDB">
      <w:pPr>
        <w:widowControl/>
        <w:spacing w:line="360" w:lineRule="auto"/>
        <w:ind w:firstLine="560" w:firstLineChars="200"/>
        <w:rPr>
          <w:sz w:val="28"/>
          <w:szCs w:val="28"/>
        </w:rPr>
      </w:pPr>
      <w:r>
        <w:rPr>
          <w:rFonts w:hint="eastAsia"/>
          <w:sz w:val="28"/>
          <w:szCs w:val="28"/>
        </w:rPr>
        <w:t>场地清运后，对场地进行平整，拟建办公生活区面积</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，场地整平深度为</w:t>
      </w:r>
      <w:r>
        <w:rPr>
          <w:rFonts w:hint="eastAsia" w:ascii="宋体" w:hAnsi="宋体" w:cs="宋体"/>
          <w:spacing w:val="13"/>
          <w:sz w:val="32"/>
          <w:szCs w:val="32"/>
        </w:rPr>
        <w:t>***</w:t>
      </w:r>
      <w:r>
        <w:rPr>
          <w:rFonts w:hint="eastAsia"/>
          <w:sz w:val="28"/>
          <w:szCs w:val="28"/>
        </w:rPr>
        <w:t>m，则场地整平工程量为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4D9FE9D5">
      <w:pPr>
        <w:widowControl/>
        <w:spacing w:line="360" w:lineRule="auto"/>
        <w:ind w:firstLine="560" w:firstLineChars="200"/>
        <w:rPr>
          <w:sz w:val="28"/>
          <w:szCs w:val="28"/>
        </w:rPr>
      </w:pPr>
      <w:r>
        <w:rPr>
          <w:rFonts w:hint="eastAsia"/>
          <w:sz w:val="28"/>
          <w:szCs w:val="28"/>
        </w:rPr>
        <w:t>4</w:t>
      </w:r>
      <w:r>
        <w:rPr>
          <w:sz w:val="28"/>
          <w:szCs w:val="28"/>
        </w:rPr>
        <w:t>、覆土及整平</w:t>
      </w:r>
    </w:p>
    <w:p w14:paraId="0ADA70F7">
      <w:pPr>
        <w:widowControl/>
        <w:spacing w:line="360" w:lineRule="auto"/>
        <w:ind w:firstLine="560" w:firstLineChars="200"/>
        <w:rPr>
          <w:sz w:val="28"/>
          <w:szCs w:val="28"/>
        </w:rPr>
      </w:pPr>
      <w:r>
        <w:rPr>
          <w:rFonts w:hint="eastAsia"/>
          <w:sz w:val="28"/>
          <w:szCs w:val="28"/>
        </w:rPr>
        <w:t>对整平后的拟建办公生活区进行覆土整平，拟建办公生活区计划恢复为灌木林地，</w:t>
      </w:r>
      <w:r>
        <w:rPr>
          <w:sz w:val="28"/>
          <w:szCs w:val="28"/>
        </w:rPr>
        <w:t>覆土厚度</w:t>
      </w:r>
      <w:r>
        <w:rPr>
          <w:rFonts w:hint="eastAsia" w:ascii="宋体" w:hAnsi="宋体" w:cs="宋体"/>
          <w:spacing w:val="13"/>
          <w:sz w:val="32"/>
          <w:szCs w:val="32"/>
        </w:rPr>
        <w:t>***</w:t>
      </w:r>
      <w:r>
        <w:rPr>
          <w:sz w:val="28"/>
          <w:szCs w:val="28"/>
        </w:rPr>
        <w:t>m，</w:t>
      </w:r>
      <w:r>
        <w:rPr>
          <w:rFonts w:hint="eastAsia"/>
          <w:sz w:val="28"/>
          <w:szCs w:val="28"/>
        </w:rPr>
        <w:t>覆土总面积为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则拟建</w:t>
      </w:r>
      <w:r>
        <w:rPr>
          <w:rFonts w:hint="eastAsia"/>
          <w:sz w:val="28"/>
          <w:szCs w:val="28"/>
        </w:rPr>
        <w:t>办公生活区</w:t>
      </w:r>
      <w:r>
        <w:rPr>
          <w:sz w:val="28"/>
          <w:szCs w:val="28"/>
        </w:rPr>
        <w:t>覆土及整平工程量为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792C6C60">
      <w:pPr>
        <w:widowControl/>
        <w:spacing w:line="360" w:lineRule="auto"/>
        <w:ind w:firstLine="560" w:firstLineChars="200"/>
        <w:rPr>
          <w:sz w:val="28"/>
          <w:szCs w:val="28"/>
        </w:rPr>
      </w:pPr>
      <w:r>
        <w:rPr>
          <w:rFonts w:hint="eastAsia"/>
          <w:sz w:val="28"/>
          <w:szCs w:val="28"/>
        </w:rPr>
        <w:t>5、恢复植被</w:t>
      </w:r>
    </w:p>
    <w:p w14:paraId="38468501">
      <w:pPr>
        <w:widowControl/>
        <w:spacing w:line="360" w:lineRule="auto"/>
        <w:ind w:firstLine="560" w:firstLineChars="200"/>
        <w:rPr>
          <w:sz w:val="28"/>
          <w:szCs w:val="28"/>
        </w:rPr>
      </w:pPr>
      <w:r>
        <w:rPr>
          <w:sz w:val="28"/>
          <w:szCs w:val="28"/>
        </w:rPr>
        <w:t>拟建</w:t>
      </w:r>
      <w:r>
        <w:rPr>
          <w:rFonts w:hint="eastAsia"/>
          <w:sz w:val="28"/>
          <w:szCs w:val="28"/>
        </w:rPr>
        <w:t>办公生活区拟恢复为灌木林地，总面积为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，定植株行距1m×1m，</w:t>
      </w:r>
      <w:r>
        <w:rPr>
          <w:sz w:val="28"/>
          <w:szCs w:val="28"/>
        </w:rPr>
        <w:t>则拟建</w:t>
      </w:r>
      <w:r>
        <w:rPr>
          <w:rFonts w:hint="eastAsia"/>
          <w:sz w:val="28"/>
          <w:szCs w:val="28"/>
        </w:rPr>
        <w:t>办公生活区栽植灌木的工程量为</w:t>
      </w:r>
      <w:r>
        <w:rPr>
          <w:rFonts w:hint="eastAsia" w:ascii="宋体" w:hAnsi="宋体" w:cs="宋体"/>
          <w:spacing w:val="13"/>
          <w:sz w:val="32"/>
          <w:szCs w:val="32"/>
        </w:rPr>
        <w:t>***</w:t>
      </w:r>
      <w:r>
        <w:rPr>
          <w:rFonts w:hint="eastAsia"/>
          <w:sz w:val="28"/>
          <w:szCs w:val="28"/>
        </w:rPr>
        <w:t>株。</w:t>
      </w:r>
    </w:p>
    <w:p w14:paraId="04694106">
      <w:pPr>
        <w:widowControl/>
        <w:spacing w:line="360" w:lineRule="auto"/>
        <w:rPr>
          <w:sz w:val="28"/>
          <w:szCs w:val="28"/>
        </w:rPr>
      </w:pPr>
    </w:p>
    <w:p w14:paraId="54F0257F">
      <w:pPr>
        <w:widowControl/>
        <w:spacing w:line="360" w:lineRule="auto"/>
        <w:jc w:val="center"/>
        <w:rPr>
          <w:rFonts w:hint="eastAsia" w:ascii="黑体" w:hAnsi="黑体" w:eastAsia="黑体"/>
          <w:sz w:val="28"/>
          <w:szCs w:val="28"/>
        </w:rPr>
      </w:pPr>
      <w:r>
        <w:rPr>
          <w:rFonts w:hint="eastAsia" w:ascii="黑体" w:hAnsi="黑体" w:eastAsia="黑体"/>
          <w:sz w:val="24"/>
          <w:szCs w:val="24"/>
        </w:rPr>
        <w:t>图4-3  拟建办公生活区、工业场地治理效果图</w:t>
      </w:r>
    </w:p>
    <w:p w14:paraId="1BDB5A52">
      <w:pPr>
        <w:pStyle w:val="5"/>
        <w:spacing w:line="360" w:lineRule="auto"/>
        <w:ind w:firstLine="562" w:firstLineChars="200"/>
        <w:rPr>
          <w:rFonts w:ascii="Times New Roman"/>
          <w:b/>
          <w:sz w:val="28"/>
          <w:szCs w:val="24"/>
        </w:rPr>
      </w:pPr>
      <w:r>
        <w:rPr>
          <w:rFonts w:hint="eastAsia" w:ascii="Times New Roman"/>
          <w:b/>
          <w:sz w:val="28"/>
          <w:szCs w:val="24"/>
        </w:rPr>
        <w:t>四</w:t>
      </w:r>
      <w:r>
        <w:rPr>
          <w:rFonts w:ascii="Times New Roman"/>
          <w:b/>
          <w:sz w:val="28"/>
          <w:szCs w:val="24"/>
        </w:rPr>
        <w:t>、</w:t>
      </w:r>
      <w:r>
        <w:rPr>
          <w:rFonts w:hint="eastAsia" w:ascii="Times New Roman"/>
          <w:b/>
          <w:sz w:val="28"/>
          <w:szCs w:val="24"/>
        </w:rPr>
        <w:t>拟建截洪沟</w:t>
      </w:r>
    </w:p>
    <w:p w14:paraId="4924C5D1">
      <w:pPr>
        <w:widowControl/>
        <w:spacing w:line="360" w:lineRule="auto"/>
        <w:ind w:firstLine="560" w:firstLineChars="200"/>
        <w:rPr>
          <w:sz w:val="28"/>
          <w:szCs w:val="28"/>
        </w:rPr>
      </w:pPr>
      <w:r>
        <w:rPr>
          <w:rFonts w:hint="eastAsia"/>
          <w:sz w:val="28"/>
          <w:szCs w:val="28"/>
        </w:rPr>
        <w:t>1、回填</w:t>
      </w:r>
    </w:p>
    <w:p w14:paraId="22C5CE73">
      <w:pPr>
        <w:widowControl/>
        <w:spacing w:line="360" w:lineRule="auto"/>
        <w:ind w:firstLine="560" w:firstLineChars="200"/>
        <w:rPr>
          <w:sz w:val="28"/>
          <w:szCs w:val="28"/>
        </w:rPr>
      </w:pPr>
      <w:r>
        <w:rPr>
          <w:sz w:val="28"/>
          <w:szCs w:val="28"/>
        </w:rPr>
        <w:t>矿山闭坑后，计划将</w:t>
      </w:r>
      <w:r>
        <w:rPr>
          <w:rFonts w:hint="eastAsia"/>
          <w:sz w:val="28"/>
          <w:szCs w:val="28"/>
        </w:rPr>
        <w:t>拟建截洪沟回填，预计截洪沟开挖深度</w:t>
      </w:r>
      <w:r>
        <w:rPr>
          <w:rFonts w:hint="eastAsia" w:ascii="宋体" w:hAnsi="宋体" w:cs="宋体"/>
          <w:spacing w:val="13"/>
          <w:sz w:val="32"/>
          <w:szCs w:val="32"/>
        </w:rPr>
        <w:t>***</w:t>
      </w:r>
      <w:r>
        <w:rPr>
          <w:rFonts w:hint="eastAsia"/>
          <w:sz w:val="28"/>
          <w:szCs w:val="28"/>
        </w:rPr>
        <w:t>m，截洪沟拟恢复草地，需覆土厚度为</w:t>
      </w:r>
      <w:r>
        <w:rPr>
          <w:rFonts w:hint="eastAsia" w:ascii="宋体" w:hAnsi="宋体" w:cs="宋体"/>
          <w:spacing w:val="13"/>
          <w:sz w:val="32"/>
          <w:szCs w:val="32"/>
        </w:rPr>
        <w:t>***</w:t>
      </w:r>
      <w:r>
        <w:rPr>
          <w:rFonts w:hint="eastAsia"/>
          <w:sz w:val="28"/>
          <w:szCs w:val="28"/>
        </w:rPr>
        <w:t>m，拟建截洪沟需回填</w:t>
      </w:r>
      <w:r>
        <w:rPr>
          <w:rFonts w:hint="eastAsia" w:ascii="宋体" w:hAnsi="宋体" w:cs="宋体"/>
          <w:spacing w:val="13"/>
          <w:sz w:val="32"/>
          <w:szCs w:val="32"/>
        </w:rPr>
        <w:t>***</w:t>
      </w:r>
      <w:r>
        <w:rPr>
          <w:rFonts w:hint="eastAsia"/>
          <w:sz w:val="28"/>
          <w:szCs w:val="28"/>
        </w:rPr>
        <w:t>m，预留</w:t>
      </w:r>
      <w:r>
        <w:rPr>
          <w:rFonts w:hint="eastAsia" w:ascii="宋体" w:hAnsi="宋体" w:cs="宋体"/>
          <w:spacing w:val="13"/>
          <w:sz w:val="32"/>
          <w:szCs w:val="32"/>
        </w:rPr>
        <w:t>***</w:t>
      </w:r>
      <w:r>
        <w:rPr>
          <w:rFonts w:hint="eastAsia"/>
          <w:sz w:val="28"/>
          <w:szCs w:val="28"/>
        </w:rPr>
        <w:t>m覆土，截洪沟面积</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，则拟建截洪沟需回填的工作量为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198DDE5B">
      <w:pPr>
        <w:widowControl/>
        <w:spacing w:line="360" w:lineRule="auto"/>
        <w:ind w:firstLine="560" w:firstLineChars="200"/>
        <w:rPr>
          <w:sz w:val="28"/>
          <w:szCs w:val="28"/>
        </w:rPr>
      </w:pPr>
      <w:r>
        <w:rPr>
          <w:rFonts w:hint="eastAsia"/>
          <w:sz w:val="28"/>
          <w:szCs w:val="28"/>
        </w:rPr>
        <w:t>2、场地整平</w:t>
      </w:r>
    </w:p>
    <w:p w14:paraId="729814F5">
      <w:pPr>
        <w:widowControl/>
        <w:spacing w:line="360" w:lineRule="auto"/>
        <w:ind w:firstLine="560" w:firstLineChars="200"/>
        <w:rPr>
          <w:sz w:val="28"/>
          <w:szCs w:val="28"/>
        </w:rPr>
      </w:pPr>
      <w:r>
        <w:rPr>
          <w:rFonts w:hint="eastAsia"/>
          <w:sz w:val="28"/>
          <w:szCs w:val="28"/>
        </w:rPr>
        <w:t>场地回填后，对场地进行石方平整，整平面积</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，场地整平深度为</w:t>
      </w:r>
      <w:r>
        <w:rPr>
          <w:rFonts w:hint="eastAsia" w:ascii="宋体" w:hAnsi="宋体" w:cs="宋体"/>
          <w:spacing w:val="13"/>
          <w:sz w:val="32"/>
          <w:szCs w:val="32"/>
        </w:rPr>
        <w:t>***</w:t>
      </w:r>
      <w:r>
        <w:rPr>
          <w:rFonts w:hint="eastAsia"/>
          <w:sz w:val="28"/>
          <w:szCs w:val="28"/>
        </w:rPr>
        <w:t>m，则场地整平工程量为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4F68FB48">
      <w:pPr>
        <w:widowControl/>
        <w:spacing w:line="360" w:lineRule="auto"/>
        <w:ind w:firstLine="560" w:firstLineChars="200"/>
        <w:rPr>
          <w:sz w:val="28"/>
          <w:szCs w:val="28"/>
        </w:rPr>
      </w:pPr>
      <w:r>
        <w:rPr>
          <w:rFonts w:hint="eastAsia"/>
          <w:sz w:val="28"/>
          <w:szCs w:val="28"/>
        </w:rPr>
        <w:t>3</w:t>
      </w:r>
      <w:r>
        <w:rPr>
          <w:sz w:val="28"/>
          <w:szCs w:val="28"/>
        </w:rPr>
        <w:t>、覆土及整平</w:t>
      </w:r>
    </w:p>
    <w:p w14:paraId="097CD1CD">
      <w:pPr>
        <w:spacing w:line="360" w:lineRule="auto"/>
        <w:ind w:firstLine="560" w:firstLineChars="200"/>
        <w:rPr>
          <w:sz w:val="28"/>
          <w:szCs w:val="28"/>
        </w:rPr>
      </w:pPr>
      <w:r>
        <w:rPr>
          <w:sz w:val="28"/>
          <w:szCs w:val="28"/>
        </w:rPr>
        <w:t>对地貌治理完成的拟建</w:t>
      </w:r>
      <w:r>
        <w:rPr>
          <w:rFonts w:hint="eastAsia"/>
          <w:sz w:val="28"/>
          <w:szCs w:val="28"/>
        </w:rPr>
        <w:t>截洪沟</w:t>
      </w:r>
      <w:r>
        <w:rPr>
          <w:sz w:val="28"/>
          <w:szCs w:val="28"/>
        </w:rPr>
        <w:t>进行覆土整平，</w:t>
      </w:r>
      <w:r>
        <w:rPr>
          <w:rFonts w:hint="eastAsia"/>
          <w:sz w:val="28"/>
          <w:szCs w:val="28"/>
        </w:rPr>
        <w:t>截洪沟</w:t>
      </w:r>
      <w:r>
        <w:rPr>
          <w:sz w:val="28"/>
          <w:szCs w:val="28"/>
        </w:rPr>
        <w:t>计划恢复</w:t>
      </w:r>
      <w:r>
        <w:rPr>
          <w:rFonts w:hint="eastAsia"/>
          <w:sz w:val="28"/>
          <w:szCs w:val="28"/>
        </w:rPr>
        <w:t>草地</w:t>
      </w:r>
      <w:r>
        <w:rPr>
          <w:sz w:val="28"/>
          <w:szCs w:val="28"/>
        </w:rPr>
        <w:t>，覆土厚度</w:t>
      </w:r>
      <w:r>
        <w:rPr>
          <w:rFonts w:hint="eastAsia" w:ascii="宋体" w:hAnsi="宋体" w:cs="宋体"/>
          <w:spacing w:val="13"/>
          <w:sz w:val="32"/>
          <w:szCs w:val="32"/>
        </w:rPr>
        <w:t>***</w:t>
      </w:r>
      <w:r>
        <w:rPr>
          <w:sz w:val="28"/>
          <w:szCs w:val="28"/>
        </w:rPr>
        <w:t>m，</w:t>
      </w:r>
      <w:r>
        <w:rPr>
          <w:rFonts w:hint="eastAsia"/>
          <w:sz w:val="28"/>
          <w:szCs w:val="28"/>
        </w:rPr>
        <w:t>覆土总面积为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则拟建</w:t>
      </w:r>
      <w:r>
        <w:rPr>
          <w:rFonts w:hint="eastAsia"/>
          <w:sz w:val="28"/>
          <w:szCs w:val="28"/>
        </w:rPr>
        <w:t>截洪沟</w:t>
      </w:r>
      <w:r>
        <w:rPr>
          <w:sz w:val="28"/>
          <w:szCs w:val="28"/>
        </w:rPr>
        <w:t>覆土及整平工程量为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14895461">
      <w:pPr>
        <w:widowControl/>
        <w:spacing w:line="360" w:lineRule="auto"/>
        <w:ind w:firstLine="560" w:firstLineChars="200"/>
        <w:rPr>
          <w:sz w:val="28"/>
          <w:szCs w:val="28"/>
        </w:rPr>
      </w:pPr>
      <w:r>
        <w:rPr>
          <w:rFonts w:hint="eastAsia"/>
          <w:sz w:val="28"/>
          <w:szCs w:val="28"/>
        </w:rPr>
        <w:t>4、播撒草籽</w:t>
      </w:r>
    </w:p>
    <w:p w14:paraId="7376DBD6">
      <w:pPr>
        <w:widowControl/>
        <w:spacing w:line="360" w:lineRule="auto"/>
        <w:ind w:firstLine="560" w:firstLineChars="200"/>
        <w:rPr>
          <w:sz w:val="28"/>
          <w:szCs w:val="28"/>
        </w:rPr>
      </w:pPr>
      <w:r>
        <w:rPr>
          <w:rFonts w:hint="eastAsia"/>
          <w:sz w:val="28"/>
          <w:szCs w:val="28"/>
        </w:rPr>
        <w:t>拟建截洪沟拟恢复为草地，总面积为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则拟建</w:t>
      </w:r>
      <w:r>
        <w:rPr>
          <w:rFonts w:hint="eastAsia"/>
          <w:sz w:val="28"/>
          <w:szCs w:val="28"/>
        </w:rPr>
        <w:t>截洪沟播撒草籽的工程量为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p>
    <w:p w14:paraId="31DC8F56">
      <w:pPr>
        <w:pStyle w:val="5"/>
        <w:spacing w:line="360" w:lineRule="auto"/>
        <w:ind w:firstLine="562" w:firstLineChars="200"/>
        <w:rPr>
          <w:rFonts w:ascii="Times New Roman"/>
          <w:b/>
          <w:sz w:val="28"/>
          <w:szCs w:val="24"/>
        </w:rPr>
      </w:pPr>
      <w:r>
        <w:rPr>
          <w:rFonts w:hint="eastAsia" w:ascii="Times New Roman"/>
          <w:b/>
          <w:sz w:val="28"/>
          <w:szCs w:val="24"/>
        </w:rPr>
        <w:t>五</w:t>
      </w:r>
      <w:r>
        <w:rPr>
          <w:rFonts w:ascii="Times New Roman"/>
          <w:b/>
          <w:sz w:val="28"/>
          <w:szCs w:val="24"/>
        </w:rPr>
        <w:t>、</w:t>
      </w:r>
      <w:r>
        <w:rPr>
          <w:rFonts w:hint="eastAsia" w:ascii="Times New Roman"/>
          <w:b/>
          <w:sz w:val="28"/>
          <w:szCs w:val="24"/>
        </w:rPr>
        <w:t>拟建矿区道路</w:t>
      </w:r>
    </w:p>
    <w:p w14:paraId="7573B3F9">
      <w:pPr>
        <w:widowControl/>
        <w:spacing w:line="360" w:lineRule="auto"/>
        <w:ind w:firstLine="560" w:firstLineChars="200"/>
        <w:rPr>
          <w:sz w:val="28"/>
          <w:szCs w:val="28"/>
        </w:rPr>
      </w:pPr>
      <w:r>
        <w:rPr>
          <w:rFonts w:hint="eastAsia"/>
          <w:sz w:val="28"/>
          <w:szCs w:val="28"/>
        </w:rPr>
        <w:t>1</w:t>
      </w:r>
      <w:r>
        <w:rPr>
          <w:sz w:val="28"/>
          <w:szCs w:val="28"/>
        </w:rPr>
        <w:t>、</w:t>
      </w:r>
      <w:r>
        <w:rPr>
          <w:rFonts w:hint="eastAsia"/>
          <w:sz w:val="28"/>
          <w:szCs w:val="28"/>
        </w:rPr>
        <w:t>翻耕</w:t>
      </w:r>
    </w:p>
    <w:p w14:paraId="72CC6093">
      <w:pPr>
        <w:widowControl/>
        <w:spacing w:line="360" w:lineRule="auto"/>
        <w:ind w:firstLine="560" w:firstLineChars="200"/>
        <w:rPr>
          <w:sz w:val="28"/>
          <w:szCs w:val="28"/>
        </w:rPr>
      </w:pPr>
      <w:r>
        <w:rPr>
          <w:rFonts w:hint="eastAsia"/>
          <w:sz w:val="28"/>
          <w:szCs w:val="28"/>
        </w:rPr>
        <w:t>对压实后的</w:t>
      </w:r>
      <w:r>
        <w:rPr>
          <w:sz w:val="28"/>
          <w:szCs w:val="28"/>
        </w:rPr>
        <w:t>拟建</w:t>
      </w:r>
      <w:r>
        <w:rPr>
          <w:rFonts w:hint="eastAsia"/>
          <w:sz w:val="28"/>
          <w:szCs w:val="28"/>
        </w:rPr>
        <w:t>矿区道路</w:t>
      </w:r>
      <w:r>
        <w:rPr>
          <w:sz w:val="28"/>
          <w:szCs w:val="28"/>
        </w:rPr>
        <w:t>进行</w:t>
      </w:r>
      <w:r>
        <w:rPr>
          <w:rFonts w:hint="eastAsia"/>
          <w:sz w:val="28"/>
          <w:szCs w:val="28"/>
        </w:rPr>
        <w:t>翻耕松土，翻耕面积</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，翻耕深度</w:t>
      </w:r>
      <w:r>
        <w:rPr>
          <w:rFonts w:hint="eastAsia" w:ascii="宋体" w:hAnsi="宋体" w:cs="宋体"/>
          <w:spacing w:val="13"/>
          <w:sz w:val="32"/>
          <w:szCs w:val="32"/>
        </w:rPr>
        <w:t>***</w:t>
      </w:r>
      <w:r>
        <w:rPr>
          <w:rFonts w:hint="eastAsia"/>
          <w:sz w:val="28"/>
          <w:szCs w:val="28"/>
        </w:rPr>
        <w:t>m，</w:t>
      </w:r>
      <w:r>
        <w:rPr>
          <w:sz w:val="28"/>
          <w:szCs w:val="28"/>
        </w:rPr>
        <w:t>拟建</w:t>
      </w:r>
      <w:r>
        <w:rPr>
          <w:rFonts w:hint="eastAsia"/>
          <w:sz w:val="28"/>
          <w:szCs w:val="28"/>
        </w:rPr>
        <w:t>矿区道路翻耕</w:t>
      </w:r>
      <w:r>
        <w:rPr>
          <w:sz w:val="28"/>
          <w:szCs w:val="28"/>
        </w:rPr>
        <w:t>工程量为</w:t>
      </w:r>
      <w:r>
        <w:rPr>
          <w:rFonts w:hint="eastAsia" w:ascii="宋体" w:hAnsi="宋体" w:cs="宋体"/>
          <w:spacing w:val="13"/>
          <w:sz w:val="32"/>
          <w:szCs w:val="32"/>
        </w:rPr>
        <w:t>***</w:t>
      </w:r>
      <w:r>
        <w:rPr>
          <w:sz w:val="28"/>
          <w:szCs w:val="28"/>
        </w:rPr>
        <w:t>m</w:t>
      </w:r>
      <w:r>
        <w:rPr>
          <w:rFonts w:hint="eastAsia"/>
          <w:sz w:val="28"/>
          <w:szCs w:val="28"/>
          <w:vertAlign w:val="superscript"/>
        </w:rPr>
        <w:t>2</w:t>
      </w:r>
      <w:r>
        <w:rPr>
          <w:sz w:val="28"/>
          <w:szCs w:val="28"/>
        </w:rPr>
        <w:t>。</w:t>
      </w:r>
    </w:p>
    <w:p w14:paraId="25A1D0D4">
      <w:pPr>
        <w:widowControl/>
        <w:spacing w:line="360" w:lineRule="auto"/>
        <w:ind w:firstLine="560" w:firstLineChars="200"/>
        <w:rPr>
          <w:sz w:val="28"/>
          <w:szCs w:val="28"/>
        </w:rPr>
      </w:pPr>
      <w:r>
        <w:rPr>
          <w:rFonts w:hint="eastAsia"/>
          <w:sz w:val="28"/>
          <w:szCs w:val="28"/>
        </w:rPr>
        <w:t>2、播撒草籽</w:t>
      </w:r>
    </w:p>
    <w:p w14:paraId="4BD51E5F">
      <w:pPr>
        <w:widowControl/>
        <w:spacing w:line="360" w:lineRule="auto"/>
        <w:ind w:firstLine="560" w:firstLineChars="200"/>
        <w:rPr>
          <w:sz w:val="28"/>
          <w:szCs w:val="28"/>
        </w:rPr>
      </w:pPr>
      <w:r>
        <w:rPr>
          <w:rFonts w:hint="eastAsia"/>
          <w:sz w:val="28"/>
          <w:szCs w:val="28"/>
        </w:rPr>
        <w:t>拟建矿区道路拟恢复为草地，总面积为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则拟建</w:t>
      </w:r>
      <w:r>
        <w:rPr>
          <w:rFonts w:hint="eastAsia"/>
          <w:sz w:val="28"/>
          <w:szCs w:val="28"/>
        </w:rPr>
        <w:t>矿区道路播撒草籽的工程量为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p>
    <w:p w14:paraId="49FAF5AF">
      <w:pPr>
        <w:pStyle w:val="5"/>
        <w:spacing w:line="360" w:lineRule="auto"/>
        <w:ind w:firstLine="562" w:firstLineChars="200"/>
        <w:rPr>
          <w:rFonts w:ascii="Times New Roman"/>
          <w:b/>
          <w:sz w:val="28"/>
          <w:szCs w:val="24"/>
        </w:rPr>
      </w:pPr>
      <w:r>
        <w:rPr>
          <w:rFonts w:hint="eastAsia" w:ascii="Times New Roman"/>
          <w:b/>
          <w:sz w:val="28"/>
          <w:szCs w:val="24"/>
        </w:rPr>
        <w:t>六</w:t>
      </w:r>
      <w:r>
        <w:rPr>
          <w:rFonts w:ascii="Times New Roman"/>
          <w:b/>
          <w:sz w:val="28"/>
          <w:szCs w:val="24"/>
        </w:rPr>
        <w:t>、</w:t>
      </w:r>
      <w:r>
        <w:rPr>
          <w:rFonts w:hint="eastAsia" w:ascii="Times New Roman"/>
          <w:b/>
          <w:sz w:val="28"/>
          <w:szCs w:val="24"/>
        </w:rPr>
        <w:t>工业场地</w:t>
      </w:r>
    </w:p>
    <w:p w14:paraId="3BB005E1">
      <w:pPr>
        <w:widowControl/>
        <w:spacing w:line="360" w:lineRule="auto"/>
        <w:ind w:firstLine="560" w:firstLineChars="200"/>
        <w:rPr>
          <w:sz w:val="28"/>
          <w:szCs w:val="28"/>
        </w:rPr>
      </w:pPr>
      <w:r>
        <w:rPr>
          <w:rFonts w:hint="eastAsia"/>
          <w:sz w:val="28"/>
          <w:szCs w:val="28"/>
        </w:rPr>
        <w:t>1、拆除</w:t>
      </w:r>
    </w:p>
    <w:p w14:paraId="6ADE5144">
      <w:pPr>
        <w:widowControl/>
        <w:spacing w:line="360" w:lineRule="auto"/>
        <w:ind w:firstLine="560" w:firstLineChars="200"/>
        <w:rPr>
          <w:sz w:val="28"/>
          <w:szCs w:val="28"/>
        </w:rPr>
      </w:pPr>
      <w:r>
        <w:rPr>
          <w:rFonts w:hint="eastAsia"/>
          <w:sz w:val="28"/>
          <w:szCs w:val="28"/>
        </w:rPr>
        <w:t>对拟建的工业场地建筑物进行拆除，预计拟建的工业场地建筑物多为砖混结构，拆除量按容积的</w:t>
      </w:r>
      <w:r>
        <w:rPr>
          <w:rFonts w:hint="eastAsia" w:ascii="宋体" w:hAnsi="宋体" w:cs="宋体"/>
          <w:spacing w:val="13"/>
          <w:sz w:val="32"/>
          <w:szCs w:val="32"/>
        </w:rPr>
        <w:t>***</w:t>
      </w:r>
      <w:r>
        <w:rPr>
          <w:rFonts w:hint="eastAsia"/>
          <w:sz w:val="28"/>
          <w:szCs w:val="28"/>
        </w:rPr>
        <w:t>%计，建筑高度按照</w:t>
      </w:r>
      <w:r>
        <w:rPr>
          <w:rFonts w:hint="eastAsia" w:ascii="宋体" w:hAnsi="宋体" w:cs="宋体"/>
          <w:spacing w:val="13"/>
          <w:sz w:val="32"/>
          <w:szCs w:val="32"/>
        </w:rPr>
        <w:t>***</w:t>
      </w:r>
      <w:r>
        <w:rPr>
          <w:rFonts w:hint="eastAsia"/>
          <w:sz w:val="28"/>
          <w:szCs w:val="28"/>
        </w:rPr>
        <w:t>m计，预计工业场地拆除工程量为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w:t>
      </w:r>
    </w:p>
    <w:p w14:paraId="6DE0974F">
      <w:pPr>
        <w:widowControl/>
        <w:spacing w:line="360" w:lineRule="auto"/>
        <w:ind w:firstLine="560" w:firstLineChars="200"/>
        <w:rPr>
          <w:sz w:val="28"/>
          <w:szCs w:val="28"/>
        </w:rPr>
      </w:pPr>
      <w:r>
        <w:rPr>
          <w:rFonts w:hint="eastAsia"/>
          <w:sz w:val="28"/>
          <w:szCs w:val="28"/>
        </w:rPr>
        <w:t>2、清运</w:t>
      </w:r>
    </w:p>
    <w:p w14:paraId="5C19AA68">
      <w:pPr>
        <w:widowControl/>
        <w:spacing w:line="360" w:lineRule="auto"/>
        <w:ind w:firstLine="560" w:firstLineChars="200"/>
        <w:rPr>
          <w:sz w:val="28"/>
          <w:szCs w:val="28"/>
        </w:rPr>
      </w:pPr>
      <w:r>
        <w:rPr>
          <w:rFonts w:hint="eastAsia"/>
          <w:sz w:val="28"/>
          <w:szCs w:val="28"/>
        </w:rPr>
        <w:t>对拆除后的建筑垃圾进行清运，用于露天采场底部回填及其他场地回填垫坡用，拆除建筑物工程量为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，则清运工程量为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w:t>
      </w:r>
    </w:p>
    <w:p w14:paraId="5FAB4999">
      <w:pPr>
        <w:widowControl/>
        <w:spacing w:line="360" w:lineRule="auto"/>
        <w:ind w:firstLine="560" w:firstLineChars="200"/>
        <w:rPr>
          <w:sz w:val="28"/>
          <w:szCs w:val="28"/>
        </w:rPr>
      </w:pPr>
      <w:r>
        <w:rPr>
          <w:rFonts w:hint="eastAsia"/>
          <w:sz w:val="28"/>
          <w:szCs w:val="28"/>
        </w:rPr>
        <w:t>3、场地整平</w:t>
      </w:r>
    </w:p>
    <w:p w14:paraId="4933490D">
      <w:pPr>
        <w:widowControl/>
        <w:spacing w:line="360" w:lineRule="auto"/>
        <w:ind w:firstLine="560" w:firstLineChars="200"/>
        <w:rPr>
          <w:sz w:val="28"/>
          <w:szCs w:val="28"/>
        </w:rPr>
      </w:pPr>
      <w:r>
        <w:rPr>
          <w:rFonts w:hint="eastAsia"/>
          <w:sz w:val="28"/>
          <w:szCs w:val="28"/>
        </w:rPr>
        <w:t>场地清运后，对场地进行平整，工业场地面积</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，场地整平深度为</w:t>
      </w:r>
      <w:r>
        <w:rPr>
          <w:rFonts w:hint="eastAsia" w:ascii="宋体" w:hAnsi="宋体" w:cs="宋体"/>
          <w:spacing w:val="13"/>
          <w:sz w:val="32"/>
          <w:szCs w:val="32"/>
        </w:rPr>
        <w:t>***</w:t>
      </w:r>
      <w:r>
        <w:rPr>
          <w:rFonts w:hint="eastAsia"/>
          <w:sz w:val="28"/>
          <w:szCs w:val="28"/>
        </w:rPr>
        <w:t>m，则场地整平工程量为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4F8642BA">
      <w:pPr>
        <w:widowControl/>
        <w:spacing w:line="360" w:lineRule="auto"/>
        <w:ind w:firstLine="560" w:firstLineChars="200"/>
        <w:rPr>
          <w:sz w:val="28"/>
          <w:szCs w:val="28"/>
        </w:rPr>
      </w:pPr>
      <w:r>
        <w:rPr>
          <w:rFonts w:hint="eastAsia"/>
          <w:sz w:val="28"/>
          <w:szCs w:val="28"/>
        </w:rPr>
        <w:t>4</w:t>
      </w:r>
      <w:r>
        <w:rPr>
          <w:sz w:val="28"/>
          <w:szCs w:val="28"/>
        </w:rPr>
        <w:t>、覆土及整平</w:t>
      </w:r>
    </w:p>
    <w:p w14:paraId="6CBAAC97">
      <w:pPr>
        <w:spacing w:line="360" w:lineRule="auto"/>
        <w:ind w:firstLine="560" w:firstLineChars="200"/>
        <w:rPr>
          <w:sz w:val="28"/>
          <w:szCs w:val="28"/>
        </w:rPr>
      </w:pPr>
      <w:r>
        <w:rPr>
          <w:rFonts w:hint="eastAsia"/>
          <w:sz w:val="28"/>
          <w:szCs w:val="28"/>
        </w:rPr>
        <w:t>对整平后的工业场地进行覆土整平，工业场地计划恢复为灌木林地，</w:t>
      </w:r>
      <w:r>
        <w:rPr>
          <w:sz w:val="28"/>
          <w:szCs w:val="28"/>
        </w:rPr>
        <w:t>覆土厚度</w:t>
      </w:r>
      <w:r>
        <w:rPr>
          <w:rFonts w:hint="eastAsia" w:ascii="宋体" w:hAnsi="宋体" w:cs="宋体"/>
          <w:spacing w:val="13"/>
          <w:sz w:val="32"/>
          <w:szCs w:val="32"/>
        </w:rPr>
        <w:t>***</w:t>
      </w:r>
      <w:r>
        <w:rPr>
          <w:sz w:val="28"/>
          <w:szCs w:val="28"/>
        </w:rPr>
        <w:t>m，</w:t>
      </w:r>
      <w:r>
        <w:rPr>
          <w:rFonts w:hint="eastAsia"/>
          <w:sz w:val="28"/>
          <w:szCs w:val="28"/>
        </w:rPr>
        <w:t>覆土总面积为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w:t>
      </w:r>
      <w:r>
        <w:rPr>
          <w:rFonts w:hint="eastAsia"/>
          <w:sz w:val="28"/>
          <w:szCs w:val="28"/>
        </w:rPr>
        <w:t>工业场地</w:t>
      </w:r>
      <w:r>
        <w:rPr>
          <w:sz w:val="28"/>
          <w:szCs w:val="28"/>
        </w:rPr>
        <w:t>覆土及整平工程量为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507C0096">
      <w:pPr>
        <w:widowControl/>
        <w:spacing w:line="360" w:lineRule="auto"/>
        <w:ind w:firstLine="560" w:firstLineChars="200"/>
        <w:rPr>
          <w:sz w:val="28"/>
          <w:szCs w:val="28"/>
        </w:rPr>
      </w:pPr>
      <w:r>
        <w:rPr>
          <w:rFonts w:hint="eastAsia"/>
          <w:sz w:val="28"/>
          <w:szCs w:val="28"/>
        </w:rPr>
        <w:t>5、恢复植被</w:t>
      </w:r>
    </w:p>
    <w:p w14:paraId="402F4B57">
      <w:pPr>
        <w:spacing w:line="360" w:lineRule="auto"/>
        <w:ind w:firstLine="560" w:firstLineChars="200"/>
        <w:rPr>
          <w:sz w:val="28"/>
          <w:szCs w:val="28"/>
        </w:rPr>
      </w:pPr>
      <w:r>
        <w:rPr>
          <w:rFonts w:hint="eastAsia"/>
          <w:sz w:val="28"/>
          <w:szCs w:val="28"/>
        </w:rPr>
        <w:t>工业场地拟恢复为灌木林地，总面积为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，定植株行距</w:t>
      </w:r>
      <w:r>
        <w:rPr>
          <w:rFonts w:hint="eastAsia" w:ascii="宋体" w:hAnsi="宋体" w:cs="宋体"/>
          <w:spacing w:val="13"/>
          <w:sz w:val="32"/>
          <w:szCs w:val="32"/>
        </w:rPr>
        <w:t>***</w:t>
      </w:r>
      <w:r>
        <w:rPr>
          <w:rFonts w:hint="eastAsia"/>
          <w:sz w:val="28"/>
          <w:szCs w:val="28"/>
        </w:rPr>
        <w:t>m×</w:t>
      </w:r>
      <w:r>
        <w:rPr>
          <w:rFonts w:hint="eastAsia" w:ascii="宋体" w:hAnsi="宋体" w:cs="宋体"/>
          <w:spacing w:val="13"/>
          <w:sz w:val="32"/>
          <w:szCs w:val="32"/>
        </w:rPr>
        <w:t>***</w:t>
      </w:r>
      <w:r>
        <w:rPr>
          <w:rFonts w:hint="eastAsia"/>
          <w:sz w:val="28"/>
          <w:szCs w:val="28"/>
        </w:rPr>
        <w:t>m，</w:t>
      </w:r>
      <w:r>
        <w:rPr>
          <w:sz w:val="28"/>
          <w:szCs w:val="28"/>
        </w:rPr>
        <w:t>则</w:t>
      </w:r>
      <w:r>
        <w:rPr>
          <w:rFonts w:hint="eastAsia"/>
          <w:sz w:val="28"/>
          <w:szCs w:val="28"/>
        </w:rPr>
        <w:t>工业场地栽植灌木的工程量为</w:t>
      </w:r>
      <w:r>
        <w:rPr>
          <w:rFonts w:hint="eastAsia" w:ascii="宋体" w:hAnsi="宋体" w:cs="宋体"/>
          <w:spacing w:val="13"/>
          <w:sz w:val="32"/>
          <w:szCs w:val="32"/>
        </w:rPr>
        <w:t>***</w:t>
      </w:r>
      <w:r>
        <w:rPr>
          <w:rFonts w:hint="eastAsia"/>
          <w:sz w:val="28"/>
          <w:szCs w:val="28"/>
        </w:rPr>
        <w:t>株。</w:t>
      </w:r>
    </w:p>
    <w:bookmarkEnd w:id="135"/>
    <w:p w14:paraId="716A2211">
      <w:pPr>
        <w:pStyle w:val="5"/>
        <w:spacing w:line="360" w:lineRule="auto"/>
        <w:ind w:firstLine="562" w:firstLineChars="200"/>
        <w:rPr>
          <w:rFonts w:ascii="Times New Roman"/>
          <w:b/>
          <w:sz w:val="28"/>
          <w:szCs w:val="24"/>
        </w:rPr>
      </w:pPr>
      <w:r>
        <w:rPr>
          <w:rFonts w:hint="eastAsia" w:ascii="Times New Roman"/>
          <w:b/>
          <w:sz w:val="28"/>
          <w:szCs w:val="24"/>
        </w:rPr>
        <w:t>七</w:t>
      </w:r>
      <w:r>
        <w:rPr>
          <w:rFonts w:ascii="Times New Roman"/>
          <w:b/>
          <w:sz w:val="28"/>
          <w:szCs w:val="24"/>
        </w:rPr>
        <w:t>、</w:t>
      </w:r>
      <w:r>
        <w:rPr>
          <w:rFonts w:hint="eastAsia" w:ascii="Times New Roman"/>
          <w:b/>
          <w:sz w:val="28"/>
          <w:szCs w:val="24"/>
        </w:rPr>
        <w:t>露天采场（矿区外）</w:t>
      </w:r>
    </w:p>
    <w:p w14:paraId="0FA9E1BC">
      <w:pPr>
        <w:widowControl/>
        <w:spacing w:line="360" w:lineRule="auto"/>
        <w:ind w:firstLine="560" w:firstLineChars="200"/>
        <w:rPr>
          <w:sz w:val="28"/>
          <w:szCs w:val="28"/>
        </w:rPr>
      </w:pPr>
      <w:r>
        <w:rPr>
          <w:rFonts w:hint="eastAsia"/>
          <w:sz w:val="28"/>
          <w:szCs w:val="28"/>
        </w:rPr>
        <w:t>1、</w:t>
      </w:r>
      <w:bookmarkStart w:id="137" w:name="OLE_LINK13"/>
      <w:r>
        <w:rPr>
          <w:rFonts w:hint="eastAsia"/>
          <w:sz w:val="28"/>
          <w:szCs w:val="28"/>
        </w:rPr>
        <w:t>垫坡整形</w:t>
      </w:r>
      <w:bookmarkEnd w:id="137"/>
    </w:p>
    <w:p w14:paraId="0345B102">
      <w:pPr>
        <w:widowControl/>
        <w:spacing w:line="360" w:lineRule="auto"/>
        <w:ind w:firstLine="560" w:firstLineChars="200"/>
        <w:rPr>
          <w:sz w:val="28"/>
          <w:szCs w:val="28"/>
        </w:rPr>
      </w:pPr>
      <w:r>
        <w:rPr>
          <w:rFonts w:hint="eastAsia"/>
          <w:sz w:val="28"/>
          <w:szCs w:val="28"/>
        </w:rPr>
        <w:t>对露天采场矿区外东侧超采部分进行边坡整形，</w:t>
      </w:r>
      <w:bookmarkStart w:id="138" w:name="OLE_LINK12"/>
      <w:r>
        <w:rPr>
          <w:rFonts w:hint="eastAsia"/>
          <w:sz w:val="28"/>
          <w:szCs w:val="28"/>
        </w:rPr>
        <w:t>采场外缘</w:t>
      </w:r>
      <w:bookmarkEnd w:id="138"/>
      <w:r>
        <w:rPr>
          <w:rFonts w:hint="eastAsia"/>
          <w:sz w:val="28"/>
          <w:szCs w:val="28"/>
        </w:rPr>
        <w:t>分布有</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°的边坡，由于边坡过陡，对地貌景观影响较大，本次设计对采场外缘边坡采取垫坡的措施，垫坡后形成的缓坡角度约</w:t>
      </w:r>
      <w:r>
        <w:rPr>
          <w:rFonts w:hint="eastAsia" w:ascii="宋体" w:hAnsi="宋体" w:cs="宋体"/>
          <w:spacing w:val="13"/>
          <w:sz w:val="32"/>
          <w:szCs w:val="32"/>
        </w:rPr>
        <w:t>***</w:t>
      </w:r>
      <w:r>
        <w:rPr>
          <w:rFonts w:hint="eastAsia"/>
          <w:sz w:val="28"/>
          <w:szCs w:val="28"/>
        </w:rPr>
        <w:t>°，方便覆土恢复植被。经计算，垫坡总长度</w:t>
      </w:r>
      <w:r>
        <w:rPr>
          <w:rFonts w:hint="eastAsia" w:ascii="宋体" w:hAnsi="宋体" w:cs="宋体"/>
          <w:spacing w:val="13"/>
          <w:sz w:val="32"/>
          <w:szCs w:val="32"/>
        </w:rPr>
        <w:t>***</w:t>
      </w:r>
      <w:r>
        <w:rPr>
          <w:rFonts w:hint="eastAsia"/>
          <w:sz w:val="28"/>
          <w:szCs w:val="28"/>
        </w:rPr>
        <w:t>m，垫坡总工程量为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w:t>
      </w:r>
    </w:p>
    <w:p w14:paraId="23A446B0">
      <w:pPr>
        <w:widowControl/>
        <w:spacing w:line="360" w:lineRule="auto"/>
        <w:ind w:firstLine="560" w:firstLineChars="200"/>
        <w:rPr>
          <w:sz w:val="28"/>
          <w:szCs w:val="28"/>
        </w:rPr>
      </w:pPr>
      <w:r>
        <w:rPr>
          <w:rFonts w:hint="eastAsia"/>
          <w:sz w:val="28"/>
          <w:szCs w:val="28"/>
        </w:rPr>
        <w:t>对露天采场矿区外南侧超采部分立陡边坡进行垫坡，由于南侧超采部分边坡过高，本次设计将其设计分台阶垫坡，整体与南侧废石场2治理效果相衔接，边坡分3层台阶，每层台阶15m高，台阶坡面角30°，经计算露天采场矿区外南侧超采部分垫坡需要7200m</w:t>
      </w:r>
      <w:r>
        <w:rPr>
          <w:rFonts w:hint="eastAsia"/>
          <w:sz w:val="28"/>
          <w:szCs w:val="28"/>
          <w:vertAlign w:val="superscript"/>
        </w:rPr>
        <w:t>3</w:t>
      </w:r>
      <w:r>
        <w:rPr>
          <w:rFonts w:hint="eastAsia"/>
          <w:sz w:val="28"/>
          <w:szCs w:val="28"/>
        </w:rPr>
        <w:t>。</w:t>
      </w:r>
    </w:p>
    <w:p w14:paraId="703880D0">
      <w:pPr>
        <w:widowControl/>
        <w:spacing w:line="360" w:lineRule="auto"/>
        <w:ind w:firstLine="560" w:firstLineChars="200"/>
        <w:rPr>
          <w:sz w:val="28"/>
          <w:szCs w:val="28"/>
        </w:rPr>
      </w:pPr>
      <w:r>
        <w:rPr>
          <w:rFonts w:hint="eastAsia"/>
          <w:sz w:val="28"/>
          <w:szCs w:val="28"/>
        </w:rPr>
        <w:t>因此，露天采场矿区外总垫坡工程量为9500m</w:t>
      </w:r>
      <w:r>
        <w:rPr>
          <w:rFonts w:hint="eastAsia"/>
          <w:sz w:val="28"/>
          <w:szCs w:val="28"/>
          <w:vertAlign w:val="superscript"/>
        </w:rPr>
        <w:t>3</w:t>
      </w:r>
      <w:r>
        <w:rPr>
          <w:rFonts w:hint="eastAsia"/>
          <w:sz w:val="28"/>
          <w:szCs w:val="28"/>
        </w:rPr>
        <w:t>。</w:t>
      </w:r>
    </w:p>
    <w:p w14:paraId="42B2A938">
      <w:pPr>
        <w:widowControl/>
        <w:spacing w:line="360" w:lineRule="auto"/>
        <w:ind w:firstLine="560" w:firstLineChars="200"/>
        <w:rPr>
          <w:sz w:val="28"/>
          <w:szCs w:val="28"/>
        </w:rPr>
      </w:pPr>
      <w:r>
        <w:rPr>
          <w:rFonts w:hint="eastAsia"/>
          <w:sz w:val="28"/>
          <w:szCs w:val="28"/>
        </w:rPr>
        <w:t>2</w:t>
      </w:r>
      <w:r>
        <w:rPr>
          <w:sz w:val="28"/>
          <w:szCs w:val="28"/>
        </w:rPr>
        <w:t>、覆土及整平</w:t>
      </w:r>
    </w:p>
    <w:p w14:paraId="5B129458">
      <w:pPr>
        <w:widowControl/>
        <w:spacing w:line="360" w:lineRule="auto"/>
        <w:ind w:firstLine="560" w:firstLineChars="200"/>
        <w:rPr>
          <w:sz w:val="28"/>
          <w:szCs w:val="28"/>
        </w:rPr>
      </w:pPr>
      <w:r>
        <w:rPr>
          <w:sz w:val="28"/>
          <w:szCs w:val="28"/>
        </w:rPr>
        <w:t>对</w:t>
      </w:r>
      <w:r>
        <w:rPr>
          <w:rFonts w:hint="eastAsia"/>
          <w:sz w:val="28"/>
          <w:szCs w:val="28"/>
        </w:rPr>
        <w:t>边坡整形</w:t>
      </w:r>
      <w:r>
        <w:rPr>
          <w:sz w:val="28"/>
          <w:szCs w:val="28"/>
        </w:rPr>
        <w:t>完成的</w:t>
      </w:r>
      <w:bookmarkStart w:id="139" w:name="OLE_LINK37"/>
      <w:r>
        <w:rPr>
          <w:sz w:val="28"/>
          <w:szCs w:val="28"/>
        </w:rPr>
        <w:t>露天采场</w:t>
      </w:r>
      <w:r>
        <w:rPr>
          <w:rFonts w:hint="eastAsia"/>
          <w:sz w:val="28"/>
          <w:szCs w:val="28"/>
        </w:rPr>
        <w:t>（矿区外）</w:t>
      </w:r>
      <w:bookmarkEnd w:id="139"/>
      <w:r>
        <w:rPr>
          <w:sz w:val="28"/>
          <w:szCs w:val="28"/>
        </w:rPr>
        <w:t>进行覆土整平，露计划恢复</w:t>
      </w:r>
      <w:r>
        <w:rPr>
          <w:rFonts w:hint="eastAsia"/>
          <w:sz w:val="28"/>
          <w:szCs w:val="28"/>
        </w:rPr>
        <w:t>草地</w:t>
      </w:r>
      <w:r>
        <w:rPr>
          <w:sz w:val="28"/>
          <w:szCs w:val="28"/>
        </w:rPr>
        <w:t>，覆土厚度</w:t>
      </w:r>
      <w:r>
        <w:rPr>
          <w:rFonts w:hint="eastAsia" w:ascii="宋体" w:hAnsi="宋体" w:cs="宋体"/>
          <w:spacing w:val="13"/>
          <w:sz w:val="32"/>
          <w:szCs w:val="32"/>
        </w:rPr>
        <w:t>***</w:t>
      </w:r>
      <w:r>
        <w:rPr>
          <w:sz w:val="28"/>
          <w:szCs w:val="28"/>
        </w:rPr>
        <w:t>m，</w:t>
      </w:r>
      <w:r>
        <w:rPr>
          <w:rFonts w:hint="eastAsia"/>
          <w:sz w:val="28"/>
          <w:szCs w:val="28"/>
        </w:rPr>
        <w:t>覆土总面积为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（扣除与拟建截洪沟重合面积</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则拟建</w:t>
      </w:r>
      <w:r>
        <w:rPr>
          <w:rFonts w:hint="eastAsia"/>
          <w:sz w:val="28"/>
          <w:szCs w:val="28"/>
        </w:rPr>
        <w:t>露天采场</w:t>
      </w:r>
      <w:r>
        <w:rPr>
          <w:sz w:val="28"/>
          <w:szCs w:val="28"/>
        </w:rPr>
        <w:t>覆土及整平工程量为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72D1ED5A">
      <w:pPr>
        <w:widowControl/>
        <w:spacing w:line="360" w:lineRule="auto"/>
        <w:ind w:firstLine="560" w:firstLineChars="200"/>
        <w:rPr>
          <w:sz w:val="28"/>
          <w:szCs w:val="28"/>
        </w:rPr>
      </w:pPr>
      <w:bookmarkStart w:id="140" w:name="OLE_LINK45"/>
      <w:r>
        <w:rPr>
          <w:rFonts w:hint="eastAsia"/>
          <w:sz w:val="28"/>
          <w:szCs w:val="28"/>
        </w:rPr>
        <w:t>3、播撒草籽</w:t>
      </w:r>
    </w:p>
    <w:p w14:paraId="7A8B796C">
      <w:pPr>
        <w:widowControl/>
        <w:spacing w:line="360" w:lineRule="auto"/>
        <w:ind w:firstLine="560" w:firstLineChars="200"/>
        <w:rPr>
          <w:sz w:val="28"/>
          <w:szCs w:val="28"/>
        </w:rPr>
      </w:pPr>
      <w:r>
        <w:rPr>
          <w:sz w:val="28"/>
          <w:szCs w:val="28"/>
        </w:rPr>
        <w:t>露天采场</w:t>
      </w:r>
      <w:r>
        <w:rPr>
          <w:rFonts w:hint="eastAsia"/>
          <w:sz w:val="28"/>
          <w:szCs w:val="28"/>
        </w:rPr>
        <w:t>（矿区外）拟恢复为草地，总面积为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w:t>
      </w:r>
      <w:r>
        <w:rPr>
          <w:rFonts w:hint="eastAsia"/>
          <w:sz w:val="28"/>
          <w:szCs w:val="28"/>
        </w:rPr>
        <w:t>露天采场（矿区外）播撒草籽的工程量为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p>
    <w:p w14:paraId="53BE1B72">
      <w:pPr>
        <w:widowControl/>
        <w:spacing w:line="360" w:lineRule="auto"/>
        <w:jc w:val="center"/>
        <w:rPr>
          <w:sz w:val="28"/>
          <w:szCs w:val="28"/>
        </w:rPr>
      </w:pPr>
      <w:r>
        <w:rPr>
          <w:rFonts w:hint="eastAsia" w:ascii="黑体" w:hAnsi="黑体" w:eastAsia="黑体"/>
          <w:sz w:val="24"/>
          <w:szCs w:val="24"/>
        </w:rPr>
        <w:t>图4-4  露天采场（矿区外）南侧分台阶垫坡治理平面图</w:t>
      </w:r>
    </w:p>
    <w:p w14:paraId="3F2FBDF4">
      <w:pPr>
        <w:widowControl/>
        <w:spacing w:line="360" w:lineRule="auto"/>
        <w:jc w:val="center"/>
        <w:rPr>
          <w:rFonts w:hint="eastAsia" w:ascii="黑体" w:hAnsi="黑体" w:eastAsia="黑体"/>
          <w:sz w:val="28"/>
          <w:szCs w:val="28"/>
        </w:rPr>
      </w:pPr>
      <w:r>
        <w:rPr>
          <w:rFonts w:hint="eastAsia" w:ascii="黑体" w:hAnsi="黑体" w:eastAsia="黑体"/>
          <w:sz w:val="24"/>
          <w:szCs w:val="24"/>
        </w:rPr>
        <w:t>图4-5  露天采场（矿区外）南侧分台阶垫坡治理剖面图</w:t>
      </w:r>
    </w:p>
    <w:p w14:paraId="259715CE">
      <w:pPr>
        <w:pStyle w:val="5"/>
        <w:spacing w:line="360" w:lineRule="auto"/>
        <w:ind w:firstLine="562" w:firstLineChars="200"/>
        <w:rPr>
          <w:rFonts w:ascii="Times New Roman"/>
          <w:b/>
          <w:sz w:val="28"/>
          <w:szCs w:val="24"/>
        </w:rPr>
      </w:pPr>
      <w:r>
        <w:rPr>
          <w:rFonts w:hint="eastAsia" w:ascii="Times New Roman"/>
          <w:b/>
          <w:sz w:val="28"/>
          <w:szCs w:val="24"/>
        </w:rPr>
        <w:t>八</w:t>
      </w:r>
      <w:r>
        <w:rPr>
          <w:rFonts w:ascii="Times New Roman"/>
          <w:b/>
          <w:sz w:val="28"/>
          <w:szCs w:val="24"/>
        </w:rPr>
        <w:t>、</w:t>
      </w:r>
      <w:r>
        <w:rPr>
          <w:rFonts w:hint="eastAsia" w:ascii="Times New Roman"/>
          <w:b/>
          <w:sz w:val="28"/>
          <w:szCs w:val="24"/>
        </w:rPr>
        <w:t>废石场1</w:t>
      </w:r>
    </w:p>
    <w:p w14:paraId="302C4359">
      <w:pPr>
        <w:widowControl/>
        <w:spacing w:line="360" w:lineRule="auto"/>
        <w:ind w:firstLine="560" w:firstLineChars="200"/>
        <w:rPr>
          <w:sz w:val="28"/>
          <w:szCs w:val="28"/>
        </w:rPr>
      </w:pPr>
      <w:r>
        <w:rPr>
          <w:rFonts w:hint="eastAsia"/>
          <w:sz w:val="28"/>
          <w:szCs w:val="28"/>
        </w:rPr>
        <w:t>废石场1属于前期堆放废石料所利用，现状场地内废石已被清理，该场地通过历史遗留矿山治理，形成2阶台阶，但台阶上缘存在散落碎石，边坡堆放凌乱，本方案计划将边坡重新规整取直。</w:t>
      </w:r>
    </w:p>
    <w:p w14:paraId="2D207A0F">
      <w:pPr>
        <w:widowControl/>
        <w:spacing w:line="360" w:lineRule="auto"/>
        <w:ind w:firstLine="560" w:firstLineChars="200"/>
        <w:rPr>
          <w:sz w:val="28"/>
          <w:szCs w:val="28"/>
        </w:rPr>
      </w:pPr>
      <w:r>
        <w:rPr>
          <w:rFonts w:hint="eastAsia"/>
          <w:sz w:val="28"/>
          <w:szCs w:val="28"/>
        </w:rPr>
        <w:t>1、边坡清理</w:t>
      </w:r>
    </w:p>
    <w:p w14:paraId="51F76B4A">
      <w:pPr>
        <w:widowControl/>
        <w:spacing w:line="360" w:lineRule="auto"/>
        <w:ind w:firstLine="560" w:firstLineChars="200"/>
        <w:rPr>
          <w:sz w:val="28"/>
          <w:szCs w:val="28"/>
        </w:rPr>
      </w:pPr>
      <w:r>
        <w:rPr>
          <w:rFonts w:hint="eastAsia"/>
          <w:sz w:val="28"/>
          <w:szCs w:val="28"/>
        </w:rPr>
        <w:t>现状废石场1上缘坡高1-4m，坡角50-70°，坡长度约100m，本次计划将边坡规则取值，上部边坡放缓至25°，放缓清运出的废石回填至场地西侧底部采坑，经计算，边坡清理总长度100m，边坡清理总工程量为2480m</w:t>
      </w:r>
      <w:r>
        <w:rPr>
          <w:rFonts w:hint="eastAsia"/>
          <w:sz w:val="28"/>
          <w:szCs w:val="28"/>
          <w:vertAlign w:val="superscript"/>
        </w:rPr>
        <w:t>3</w:t>
      </w:r>
      <w:r>
        <w:rPr>
          <w:rFonts w:hint="eastAsia"/>
          <w:sz w:val="28"/>
          <w:szCs w:val="28"/>
        </w:rPr>
        <w:t>。</w:t>
      </w:r>
    </w:p>
    <w:p w14:paraId="1BDBC78F">
      <w:pPr>
        <w:widowControl/>
        <w:spacing w:line="360" w:lineRule="auto"/>
        <w:ind w:firstLine="560" w:firstLineChars="200"/>
        <w:rPr>
          <w:sz w:val="28"/>
          <w:szCs w:val="28"/>
        </w:rPr>
      </w:pPr>
      <w:r>
        <w:rPr>
          <w:rFonts w:hint="eastAsia"/>
          <w:sz w:val="28"/>
          <w:szCs w:val="28"/>
        </w:rPr>
        <w:t>2、回填</w:t>
      </w:r>
    </w:p>
    <w:p w14:paraId="59836BF9">
      <w:pPr>
        <w:widowControl/>
        <w:spacing w:line="360" w:lineRule="auto"/>
        <w:ind w:firstLine="560" w:firstLineChars="200"/>
        <w:rPr>
          <w:sz w:val="28"/>
          <w:szCs w:val="28"/>
        </w:rPr>
      </w:pPr>
      <w:r>
        <w:rPr>
          <w:rFonts w:hint="eastAsia"/>
          <w:sz w:val="28"/>
          <w:szCs w:val="28"/>
        </w:rPr>
        <w:t>将上部边坡清理的废石回填至场地西侧底部采坑，清理废石的工程量为为700m</w:t>
      </w:r>
      <w:r>
        <w:rPr>
          <w:rFonts w:hint="eastAsia"/>
          <w:sz w:val="28"/>
          <w:szCs w:val="28"/>
          <w:vertAlign w:val="superscript"/>
        </w:rPr>
        <w:t>3</w:t>
      </w:r>
      <w:r>
        <w:rPr>
          <w:rFonts w:hint="eastAsia"/>
          <w:sz w:val="28"/>
          <w:szCs w:val="28"/>
        </w:rPr>
        <w:t>，则场底回填工程量为2480m</w:t>
      </w:r>
      <w:r>
        <w:rPr>
          <w:rFonts w:hint="eastAsia"/>
          <w:sz w:val="28"/>
          <w:szCs w:val="28"/>
          <w:vertAlign w:val="superscript"/>
        </w:rPr>
        <w:t>3</w:t>
      </w:r>
      <w:r>
        <w:rPr>
          <w:rFonts w:hint="eastAsia"/>
          <w:sz w:val="28"/>
          <w:szCs w:val="28"/>
        </w:rPr>
        <w:t>。</w:t>
      </w:r>
    </w:p>
    <w:p w14:paraId="21D2240C">
      <w:pPr>
        <w:widowControl/>
        <w:spacing w:line="360" w:lineRule="auto"/>
        <w:ind w:firstLine="560" w:firstLineChars="200"/>
        <w:rPr>
          <w:sz w:val="28"/>
          <w:szCs w:val="28"/>
        </w:rPr>
      </w:pPr>
      <w:r>
        <w:rPr>
          <w:rFonts w:hint="eastAsia"/>
          <w:sz w:val="28"/>
          <w:szCs w:val="28"/>
        </w:rPr>
        <w:t>3、场地整平</w:t>
      </w:r>
    </w:p>
    <w:p w14:paraId="15BDAC1D">
      <w:pPr>
        <w:widowControl/>
        <w:spacing w:line="360" w:lineRule="auto"/>
        <w:ind w:firstLine="560" w:firstLineChars="200"/>
        <w:rPr>
          <w:sz w:val="28"/>
          <w:szCs w:val="28"/>
        </w:rPr>
      </w:pPr>
      <w:r>
        <w:rPr>
          <w:rFonts w:hint="eastAsia"/>
          <w:sz w:val="28"/>
          <w:szCs w:val="28"/>
        </w:rPr>
        <w:t>将回填后的场地进行整平，整平深度0.3m，回填面积2</w:t>
      </w:r>
      <w:r>
        <w:rPr>
          <w:sz w:val="28"/>
          <w:szCs w:val="28"/>
        </w:rPr>
        <w:t>180</w:t>
      </w:r>
      <w:r>
        <w:rPr>
          <w:rFonts w:hint="eastAsia"/>
          <w:sz w:val="28"/>
          <w:szCs w:val="28"/>
        </w:rPr>
        <w:t>m</w:t>
      </w:r>
      <w:r>
        <w:rPr>
          <w:rFonts w:hint="eastAsia"/>
          <w:sz w:val="28"/>
          <w:szCs w:val="28"/>
          <w:vertAlign w:val="superscript"/>
        </w:rPr>
        <w:t>3</w:t>
      </w:r>
      <w:r>
        <w:rPr>
          <w:rFonts w:hint="eastAsia"/>
          <w:sz w:val="28"/>
          <w:szCs w:val="28"/>
        </w:rPr>
        <w:t>，则石方整平工程量为654m</w:t>
      </w:r>
      <w:r>
        <w:rPr>
          <w:rFonts w:hint="eastAsia"/>
          <w:sz w:val="28"/>
          <w:szCs w:val="28"/>
          <w:vertAlign w:val="superscript"/>
        </w:rPr>
        <w:t>3</w:t>
      </w:r>
      <w:r>
        <w:rPr>
          <w:rFonts w:hint="eastAsia"/>
          <w:sz w:val="28"/>
          <w:szCs w:val="28"/>
        </w:rPr>
        <w:t>。</w:t>
      </w:r>
    </w:p>
    <w:p w14:paraId="2880A084">
      <w:pPr>
        <w:widowControl/>
        <w:spacing w:line="360" w:lineRule="auto"/>
        <w:ind w:firstLine="560" w:firstLineChars="200"/>
        <w:rPr>
          <w:sz w:val="28"/>
          <w:szCs w:val="28"/>
        </w:rPr>
      </w:pPr>
      <w:r>
        <w:rPr>
          <w:rFonts w:hint="eastAsia"/>
          <w:sz w:val="28"/>
          <w:szCs w:val="28"/>
        </w:rPr>
        <w:t>4</w:t>
      </w:r>
      <w:r>
        <w:rPr>
          <w:sz w:val="28"/>
          <w:szCs w:val="28"/>
        </w:rPr>
        <w:t>、覆土及整平</w:t>
      </w:r>
    </w:p>
    <w:p w14:paraId="699AA278">
      <w:pPr>
        <w:spacing w:line="360" w:lineRule="auto"/>
        <w:ind w:firstLine="560" w:firstLineChars="200"/>
        <w:rPr>
          <w:sz w:val="28"/>
          <w:szCs w:val="28"/>
        </w:rPr>
      </w:pPr>
      <w:r>
        <w:rPr>
          <w:rFonts w:hint="eastAsia"/>
          <w:sz w:val="28"/>
          <w:szCs w:val="28"/>
        </w:rPr>
        <w:t>对整平后的废石场1进行覆土整平，废石场1计划恢复为灌木林地，</w:t>
      </w:r>
      <w:r>
        <w:rPr>
          <w:sz w:val="28"/>
          <w:szCs w:val="28"/>
        </w:rPr>
        <w:t>覆土厚度</w:t>
      </w:r>
      <w:r>
        <w:rPr>
          <w:rFonts w:hint="eastAsia" w:ascii="宋体" w:hAnsi="宋体" w:cs="宋体"/>
          <w:spacing w:val="13"/>
          <w:sz w:val="32"/>
          <w:szCs w:val="32"/>
        </w:rPr>
        <w:t>***</w:t>
      </w:r>
      <w:r>
        <w:rPr>
          <w:sz w:val="28"/>
          <w:szCs w:val="28"/>
        </w:rPr>
        <w:t>m，</w:t>
      </w:r>
      <w:r>
        <w:rPr>
          <w:rFonts w:hint="eastAsia"/>
          <w:sz w:val="28"/>
          <w:szCs w:val="28"/>
        </w:rPr>
        <w:t>覆土总面积为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w:t>
      </w:r>
      <w:r>
        <w:rPr>
          <w:rFonts w:hint="eastAsia"/>
          <w:sz w:val="28"/>
          <w:szCs w:val="28"/>
        </w:rPr>
        <w:t>废石场1</w:t>
      </w:r>
      <w:r>
        <w:rPr>
          <w:sz w:val="28"/>
          <w:szCs w:val="28"/>
        </w:rPr>
        <w:t>覆土及整平工程量为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6C57D079">
      <w:pPr>
        <w:widowControl/>
        <w:spacing w:line="360" w:lineRule="auto"/>
        <w:ind w:firstLine="560" w:firstLineChars="200"/>
        <w:rPr>
          <w:sz w:val="28"/>
          <w:szCs w:val="28"/>
        </w:rPr>
      </w:pPr>
      <w:r>
        <w:rPr>
          <w:rFonts w:hint="eastAsia"/>
          <w:sz w:val="28"/>
          <w:szCs w:val="28"/>
        </w:rPr>
        <w:t>5、恢复植被</w:t>
      </w:r>
    </w:p>
    <w:p w14:paraId="7FE5ADF6">
      <w:pPr>
        <w:widowControl/>
        <w:spacing w:line="360" w:lineRule="auto"/>
        <w:ind w:firstLine="560" w:firstLineChars="200"/>
        <w:rPr>
          <w:sz w:val="28"/>
          <w:szCs w:val="28"/>
        </w:rPr>
      </w:pPr>
      <w:r>
        <w:rPr>
          <w:rFonts w:hint="eastAsia"/>
          <w:sz w:val="28"/>
          <w:szCs w:val="28"/>
        </w:rPr>
        <w:t>废石场1拟恢复为灌木林地，总面积为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，定植株行距</w:t>
      </w:r>
      <w:r>
        <w:rPr>
          <w:rFonts w:hint="eastAsia" w:ascii="宋体" w:hAnsi="宋体" w:cs="宋体"/>
          <w:spacing w:val="13"/>
          <w:sz w:val="32"/>
          <w:szCs w:val="32"/>
        </w:rPr>
        <w:t>***</w:t>
      </w:r>
      <w:r>
        <w:rPr>
          <w:rFonts w:hint="eastAsia"/>
          <w:sz w:val="28"/>
          <w:szCs w:val="28"/>
        </w:rPr>
        <w:t>m×</w:t>
      </w:r>
      <w:r>
        <w:rPr>
          <w:rFonts w:hint="eastAsia" w:ascii="宋体" w:hAnsi="宋体" w:cs="宋体"/>
          <w:spacing w:val="13"/>
          <w:sz w:val="32"/>
          <w:szCs w:val="32"/>
        </w:rPr>
        <w:t>***</w:t>
      </w:r>
      <w:r>
        <w:rPr>
          <w:rFonts w:hint="eastAsia"/>
          <w:sz w:val="28"/>
          <w:szCs w:val="28"/>
        </w:rPr>
        <w:t>m，</w:t>
      </w:r>
      <w:r>
        <w:rPr>
          <w:sz w:val="28"/>
          <w:szCs w:val="28"/>
        </w:rPr>
        <w:t>则</w:t>
      </w:r>
      <w:r>
        <w:rPr>
          <w:rFonts w:hint="eastAsia"/>
          <w:sz w:val="28"/>
          <w:szCs w:val="28"/>
        </w:rPr>
        <w:t>废石场1栽植灌木的工程量为</w:t>
      </w:r>
      <w:r>
        <w:rPr>
          <w:rFonts w:hint="eastAsia" w:ascii="宋体" w:hAnsi="宋体" w:cs="宋体"/>
          <w:spacing w:val="13"/>
          <w:sz w:val="32"/>
          <w:szCs w:val="32"/>
        </w:rPr>
        <w:t>***</w:t>
      </w:r>
      <w:r>
        <w:rPr>
          <w:rFonts w:hint="eastAsia"/>
          <w:sz w:val="28"/>
          <w:szCs w:val="28"/>
        </w:rPr>
        <w:t>株。</w:t>
      </w:r>
    </w:p>
    <w:p w14:paraId="294FA7E3">
      <w:pPr>
        <w:widowControl/>
        <w:spacing w:line="360" w:lineRule="auto"/>
        <w:jc w:val="center"/>
        <w:rPr>
          <w:rFonts w:hint="eastAsia" w:ascii="黑体" w:hAnsi="黑体" w:eastAsia="黑体"/>
          <w:sz w:val="28"/>
          <w:szCs w:val="28"/>
        </w:rPr>
      </w:pPr>
      <w:r>
        <w:rPr>
          <w:rFonts w:hint="eastAsia" w:ascii="黑体" w:hAnsi="黑体" w:eastAsia="黑体"/>
          <w:sz w:val="24"/>
          <w:szCs w:val="24"/>
        </w:rPr>
        <w:t>图4-6  废石场1治理效果图</w:t>
      </w:r>
    </w:p>
    <w:p w14:paraId="6FE86A22">
      <w:pPr>
        <w:pStyle w:val="5"/>
        <w:spacing w:line="360" w:lineRule="auto"/>
        <w:ind w:firstLine="562" w:firstLineChars="200"/>
        <w:rPr>
          <w:rFonts w:ascii="Times New Roman"/>
          <w:b/>
          <w:sz w:val="28"/>
          <w:szCs w:val="24"/>
        </w:rPr>
      </w:pPr>
      <w:r>
        <w:rPr>
          <w:rFonts w:hint="eastAsia" w:ascii="Times New Roman"/>
          <w:b/>
          <w:sz w:val="28"/>
          <w:szCs w:val="24"/>
        </w:rPr>
        <w:t>九</w:t>
      </w:r>
      <w:r>
        <w:rPr>
          <w:rFonts w:ascii="Times New Roman"/>
          <w:b/>
          <w:sz w:val="28"/>
          <w:szCs w:val="24"/>
        </w:rPr>
        <w:t>、</w:t>
      </w:r>
      <w:r>
        <w:rPr>
          <w:rFonts w:hint="eastAsia" w:ascii="Times New Roman"/>
          <w:b/>
          <w:sz w:val="28"/>
          <w:szCs w:val="24"/>
        </w:rPr>
        <w:t>废石场2</w:t>
      </w:r>
    </w:p>
    <w:p w14:paraId="423C7CCF">
      <w:pPr>
        <w:spacing w:line="360" w:lineRule="auto"/>
        <w:ind w:firstLine="560" w:firstLineChars="200"/>
        <w:rPr>
          <w:sz w:val="28"/>
          <w:szCs w:val="28"/>
        </w:rPr>
      </w:pPr>
      <w:r>
        <w:rPr>
          <w:rFonts w:hint="eastAsia"/>
          <w:sz w:val="28"/>
          <w:szCs w:val="28"/>
        </w:rPr>
        <w:t>该场地属于前期治理露天采场超采区域回填所形成，废石堆高约</w:t>
      </w:r>
      <w:r>
        <w:rPr>
          <w:rFonts w:hint="eastAsia" w:ascii="宋体" w:hAnsi="宋体" w:cs="宋体"/>
          <w:spacing w:val="13"/>
          <w:sz w:val="32"/>
          <w:szCs w:val="32"/>
        </w:rPr>
        <w:t>***</w:t>
      </w:r>
      <w:r>
        <w:rPr>
          <w:rFonts w:hint="eastAsia"/>
          <w:sz w:val="28"/>
          <w:szCs w:val="28"/>
        </w:rPr>
        <w:t>m，堆放坡角约</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°，废石通过2层台阶堆放，本方案计划近期将其边坡放缓、规整取直。</w:t>
      </w:r>
    </w:p>
    <w:p w14:paraId="258CDEC0">
      <w:pPr>
        <w:widowControl/>
        <w:spacing w:line="360" w:lineRule="auto"/>
        <w:ind w:firstLine="560" w:firstLineChars="200"/>
        <w:rPr>
          <w:sz w:val="28"/>
          <w:szCs w:val="28"/>
        </w:rPr>
      </w:pPr>
      <w:r>
        <w:rPr>
          <w:rFonts w:hint="eastAsia"/>
          <w:sz w:val="28"/>
          <w:szCs w:val="28"/>
        </w:rPr>
        <w:t>1、清理</w:t>
      </w:r>
    </w:p>
    <w:p w14:paraId="284A4584">
      <w:pPr>
        <w:widowControl/>
        <w:spacing w:line="360" w:lineRule="auto"/>
        <w:ind w:firstLine="560" w:firstLineChars="200"/>
        <w:rPr>
          <w:sz w:val="28"/>
          <w:szCs w:val="28"/>
        </w:rPr>
      </w:pPr>
      <w:r>
        <w:rPr>
          <w:rFonts w:hint="eastAsia"/>
          <w:sz w:val="28"/>
          <w:szCs w:val="28"/>
        </w:rPr>
        <w:t>计划将废石场2边坡放缓至</w:t>
      </w:r>
      <w:r>
        <w:rPr>
          <w:rFonts w:hint="eastAsia" w:ascii="宋体" w:hAnsi="宋体" w:cs="宋体"/>
          <w:spacing w:val="13"/>
          <w:sz w:val="32"/>
          <w:szCs w:val="32"/>
        </w:rPr>
        <w:t>***</w:t>
      </w:r>
      <w:r>
        <w:rPr>
          <w:rFonts w:hint="eastAsia"/>
          <w:sz w:val="28"/>
          <w:szCs w:val="28"/>
        </w:rPr>
        <w:t>°；经计算，清理出废石约</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r>
        <w:rPr>
          <w:rFonts w:hint="eastAsia"/>
          <w:sz w:val="28"/>
          <w:szCs w:val="28"/>
        </w:rPr>
        <w:t>将清理的废石用于各场地垫坡，剩余废石回填至废石场1西侧坑底。</w:t>
      </w:r>
    </w:p>
    <w:p w14:paraId="4459A3A8">
      <w:pPr>
        <w:widowControl/>
        <w:spacing w:line="360" w:lineRule="auto"/>
        <w:ind w:firstLine="560" w:firstLineChars="200"/>
        <w:rPr>
          <w:sz w:val="28"/>
          <w:szCs w:val="28"/>
        </w:rPr>
      </w:pPr>
      <w:r>
        <w:rPr>
          <w:rFonts w:hint="eastAsia"/>
          <w:sz w:val="28"/>
          <w:szCs w:val="28"/>
        </w:rPr>
        <w:t>2、边坡整形</w:t>
      </w:r>
    </w:p>
    <w:p w14:paraId="3DE8418B">
      <w:pPr>
        <w:widowControl/>
        <w:spacing w:line="360" w:lineRule="auto"/>
        <w:ind w:firstLine="560" w:firstLineChars="200"/>
        <w:rPr>
          <w:sz w:val="28"/>
          <w:szCs w:val="28"/>
        </w:rPr>
      </w:pPr>
      <w:r>
        <w:rPr>
          <w:rFonts w:hint="eastAsia"/>
          <w:sz w:val="28"/>
          <w:szCs w:val="28"/>
        </w:rPr>
        <w:t>对废石场2进行边坡规整取直，取直长度约</w:t>
      </w:r>
      <w:r>
        <w:rPr>
          <w:rFonts w:hint="eastAsia" w:ascii="宋体" w:hAnsi="宋体" w:cs="宋体"/>
          <w:spacing w:val="13"/>
          <w:sz w:val="32"/>
          <w:szCs w:val="32"/>
        </w:rPr>
        <w:t>***</w:t>
      </w:r>
      <w:r>
        <w:rPr>
          <w:rFonts w:hint="eastAsia"/>
          <w:sz w:val="28"/>
          <w:szCs w:val="28"/>
        </w:rPr>
        <w:t>m，取直深度</w:t>
      </w:r>
      <w:r>
        <w:rPr>
          <w:rFonts w:hint="eastAsia" w:ascii="宋体" w:hAnsi="宋体" w:cs="宋体"/>
          <w:spacing w:val="13"/>
          <w:sz w:val="32"/>
          <w:szCs w:val="32"/>
        </w:rPr>
        <w:t>***</w:t>
      </w:r>
      <w:r>
        <w:rPr>
          <w:rFonts w:hint="eastAsia"/>
          <w:sz w:val="28"/>
          <w:szCs w:val="28"/>
        </w:rPr>
        <w:t>m，则边坡整形工程量为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12273F5A">
      <w:pPr>
        <w:widowControl/>
        <w:spacing w:line="360" w:lineRule="auto"/>
        <w:ind w:firstLine="560" w:firstLineChars="200"/>
        <w:rPr>
          <w:sz w:val="28"/>
          <w:szCs w:val="28"/>
        </w:rPr>
      </w:pPr>
      <w:r>
        <w:rPr>
          <w:rFonts w:hint="eastAsia"/>
          <w:sz w:val="28"/>
          <w:szCs w:val="28"/>
        </w:rPr>
        <w:t>3、垫坡</w:t>
      </w:r>
    </w:p>
    <w:p w14:paraId="06B6089C">
      <w:pPr>
        <w:widowControl/>
        <w:spacing w:line="360" w:lineRule="auto"/>
        <w:ind w:firstLine="560" w:firstLineChars="200"/>
        <w:rPr>
          <w:sz w:val="28"/>
          <w:szCs w:val="28"/>
        </w:rPr>
      </w:pPr>
      <w:r>
        <w:rPr>
          <w:rFonts w:hint="eastAsia"/>
          <w:sz w:val="28"/>
          <w:szCs w:val="28"/>
        </w:rPr>
        <w:t>对废石场2北侧陡涯区域进行垫坡，计划沿露天采场（矿区外）南侧向北侧垫坡，与北侧露天采场（矿区外）南侧相衔接，垫坡分3层台阶，每层台阶15m高，台阶坡面角30°，经计算废石场2北侧部分垫坡需要15600m</w:t>
      </w:r>
      <w:r>
        <w:rPr>
          <w:rFonts w:hint="eastAsia"/>
          <w:sz w:val="28"/>
          <w:szCs w:val="28"/>
          <w:vertAlign w:val="superscript"/>
        </w:rPr>
        <w:t>3</w:t>
      </w:r>
      <w:r>
        <w:rPr>
          <w:rFonts w:hint="eastAsia"/>
          <w:sz w:val="28"/>
          <w:szCs w:val="28"/>
        </w:rPr>
        <w:t>。</w:t>
      </w:r>
    </w:p>
    <w:p w14:paraId="107502E5">
      <w:pPr>
        <w:widowControl/>
        <w:spacing w:line="360" w:lineRule="auto"/>
        <w:ind w:firstLine="560" w:firstLineChars="200"/>
        <w:rPr>
          <w:sz w:val="28"/>
          <w:szCs w:val="28"/>
        </w:rPr>
      </w:pPr>
      <w:r>
        <w:rPr>
          <w:rFonts w:hint="eastAsia"/>
          <w:sz w:val="28"/>
          <w:szCs w:val="28"/>
        </w:rPr>
        <w:t>4、覆土及整平</w:t>
      </w:r>
    </w:p>
    <w:p w14:paraId="73FCC3D6">
      <w:pPr>
        <w:widowControl/>
        <w:spacing w:line="360" w:lineRule="auto"/>
        <w:ind w:firstLine="560" w:firstLineChars="200"/>
        <w:rPr>
          <w:sz w:val="28"/>
          <w:szCs w:val="28"/>
        </w:rPr>
      </w:pPr>
      <w:r>
        <w:rPr>
          <w:rFonts w:hint="eastAsia"/>
          <w:sz w:val="28"/>
          <w:szCs w:val="28"/>
        </w:rPr>
        <w:t>对整平后的废石场2进行覆土整平，废石场2计划恢复为灌木林地，</w:t>
      </w:r>
      <w:r>
        <w:rPr>
          <w:sz w:val="28"/>
          <w:szCs w:val="28"/>
        </w:rPr>
        <w:t>覆土厚度</w:t>
      </w:r>
      <w:r>
        <w:rPr>
          <w:rFonts w:hint="eastAsia" w:ascii="宋体" w:hAnsi="宋体" w:cs="宋体"/>
          <w:spacing w:val="13"/>
          <w:sz w:val="32"/>
          <w:szCs w:val="32"/>
        </w:rPr>
        <w:t>***</w:t>
      </w:r>
      <w:r>
        <w:rPr>
          <w:sz w:val="28"/>
          <w:szCs w:val="28"/>
        </w:rPr>
        <w:t>m，</w:t>
      </w:r>
      <w:r>
        <w:rPr>
          <w:rFonts w:hint="eastAsia"/>
          <w:sz w:val="28"/>
          <w:szCs w:val="28"/>
        </w:rPr>
        <w:t>覆土总面积为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w:t>
      </w:r>
      <w:r>
        <w:rPr>
          <w:rFonts w:hint="eastAsia"/>
          <w:sz w:val="28"/>
          <w:szCs w:val="28"/>
        </w:rPr>
        <w:t>废石场2</w:t>
      </w:r>
      <w:r>
        <w:rPr>
          <w:sz w:val="28"/>
          <w:szCs w:val="28"/>
        </w:rPr>
        <w:t>覆土及整平工程量为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42F1CEDF">
      <w:pPr>
        <w:widowControl/>
        <w:spacing w:line="360" w:lineRule="auto"/>
        <w:ind w:firstLine="560" w:firstLineChars="200"/>
        <w:rPr>
          <w:sz w:val="28"/>
          <w:szCs w:val="28"/>
        </w:rPr>
      </w:pPr>
      <w:r>
        <w:rPr>
          <w:rFonts w:hint="eastAsia"/>
          <w:sz w:val="28"/>
          <w:szCs w:val="28"/>
        </w:rPr>
        <w:t>5、恢复植被</w:t>
      </w:r>
    </w:p>
    <w:p w14:paraId="519A0AAA">
      <w:pPr>
        <w:widowControl/>
        <w:spacing w:line="360" w:lineRule="auto"/>
        <w:ind w:firstLine="560" w:firstLineChars="200"/>
        <w:rPr>
          <w:sz w:val="28"/>
          <w:szCs w:val="28"/>
        </w:rPr>
      </w:pPr>
      <w:r>
        <w:rPr>
          <w:rFonts w:hint="eastAsia"/>
          <w:sz w:val="28"/>
          <w:szCs w:val="28"/>
        </w:rPr>
        <w:t>废石场2拟恢复为灌木林地，总面积为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，定植株行距</w:t>
      </w:r>
      <w:r>
        <w:rPr>
          <w:rFonts w:hint="eastAsia" w:ascii="宋体" w:hAnsi="宋体" w:cs="宋体"/>
          <w:spacing w:val="13"/>
          <w:sz w:val="32"/>
          <w:szCs w:val="32"/>
        </w:rPr>
        <w:t>***</w:t>
      </w:r>
      <w:r>
        <w:rPr>
          <w:rFonts w:hint="eastAsia"/>
          <w:sz w:val="28"/>
          <w:szCs w:val="28"/>
        </w:rPr>
        <w:t>m×</w:t>
      </w:r>
      <w:r>
        <w:rPr>
          <w:rFonts w:hint="eastAsia" w:ascii="宋体" w:hAnsi="宋体" w:cs="宋体"/>
          <w:spacing w:val="13"/>
          <w:sz w:val="32"/>
          <w:szCs w:val="32"/>
        </w:rPr>
        <w:t>***</w:t>
      </w:r>
      <w:r>
        <w:rPr>
          <w:rFonts w:hint="eastAsia"/>
          <w:sz w:val="28"/>
          <w:szCs w:val="28"/>
        </w:rPr>
        <w:t>m，</w:t>
      </w:r>
      <w:r>
        <w:rPr>
          <w:sz w:val="28"/>
          <w:szCs w:val="28"/>
        </w:rPr>
        <w:t>则</w:t>
      </w:r>
      <w:r>
        <w:rPr>
          <w:rFonts w:hint="eastAsia"/>
          <w:sz w:val="28"/>
          <w:szCs w:val="28"/>
        </w:rPr>
        <w:t>废石场2栽植灌木的工程量为</w:t>
      </w:r>
      <w:r>
        <w:rPr>
          <w:rFonts w:hint="eastAsia" w:ascii="宋体" w:hAnsi="宋体" w:cs="宋体"/>
          <w:spacing w:val="13"/>
          <w:sz w:val="32"/>
          <w:szCs w:val="32"/>
        </w:rPr>
        <w:t>***</w:t>
      </w:r>
      <w:r>
        <w:rPr>
          <w:rFonts w:hint="eastAsia"/>
          <w:sz w:val="28"/>
          <w:szCs w:val="28"/>
        </w:rPr>
        <w:t>株。</w:t>
      </w:r>
    </w:p>
    <w:p w14:paraId="1D980ACE">
      <w:pPr>
        <w:widowControl/>
        <w:jc w:val="center"/>
        <w:rPr>
          <w:sz w:val="28"/>
          <w:szCs w:val="28"/>
        </w:rPr>
      </w:pPr>
      <w:r>
        <w:rPr>
          <w:rFonts w:hint="eastAsia" w:ascii="黑体" w:hAnsi="黑体" w:eastAsia="黑体"/>
          <w:sz w:val="24"/>
          <w:szCs w:val="24"/>
        </w:rPr>
        <w:t>图4-7  废石场2分台阶垫坡治理平面图</w:t>
      </w:r>
    </w:p>
    <w:p w14:paraId="6CE33BA7">
      <w:pPr>
        <w:widowControl/>
        <w:spacing w:line="360" w:lineRule="auto"/>
        <w:jc w:val="center"/>
        <w:rPr>
          <w:rFonts w:hint="eastAsia" w:ascii="黑体" w:hAnsi="黑体" w:eastAsia="黑体"/>
          <w:sz w:val="28"/>
          <w:szCs w:val="28"/>
        </w:rPr>
      </w:pPr>
      <w:r>
        <w:rPr>
          <w:rFonts w:hint="eastAsia" w:ascii="黑体" w:hAnsi="黑体" w:eastAsia="黑体"/>
          <w:sz w:val="24"/>
          <w:szCs w:val="24"/>
        </w:rPr>
        <w:t>图4-8  废石场2治理效果剖面图</w:t>
      </w:r>
    </w:p>
    <w:p w14:paraId="6474660F">
      <w:pPr>
        <w:pStyle w:val="5"/>
        <w:spacing w:line="360" w:lineRule="auto"/>
        <w:ind w:firstLine="562" w:firstLineChars="200"/>
        <w:rPr>
          <w:rFonts w:ascii="Times New Roman"/>
          <w:b/>
          <w:sz w:val="28"/>
          <w:szCs w:val="24"/>
        </w:rPr>
      </w:pPr>
      <w:r>
        <w:rPr>
          <w:rFonts w:hint="eastAsia" w:ascii="Times New Roman"/>
          <w:b/>
          <w:sz w:val="28"/>
          <w:szCs w:val="24"/>
        </w:rPr>
        <w:t>十</w:t>
      </w:r>
      <w:r>
        <w:rPr>
          <w:rFonts w:ascii="Times New Roman"/>
          <w:b/>
          <w:sz w:val="28"/>
          <w:szCs w:val="24"/>
        </w:rPr>
        <w:t>、</w:t>
      </w:r>
      <w:r>
        <w:rPr>
          <w:rFonts w:hint="eastAsia" w:ascii="Times New Roman"/>
          <w:b/>
          <w:sz w:val="28"/>
          <w:szCs w:val="24"/>
        </w:rPr>
        <w:t>废石场3</w:t>
      </w:r>
    </w:p>
    <w:p w14:paraId="607C38F8">
      <w:pPr>
        <w:spacing w:line="360" w:lineRule="auto"/>
        <w:ind w:firstLine="560" w:firstLineChars="200"/>
        <w:rPr>
          <w:sz w:val="28"/>
          <w:szCs w:val="28"/>
        </w:rPr>
      </w:pPr>
      <w:r>
        <w:rPr>
          <w:rFonts w:hint="eastAsia"/>
          <w:sz w:val="28"/>
          <w:szCs w:val="28"/>
        </w:rPr>
        <w:t>该场地属于属于前期堆放废石料所利用，现状场地内废石已被清理，该场地通过历史遗留矿山治理，但台阶下缘存在散落碎石，场地内存在部分废弃的临建房，建筑面积约</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2</w:t>
      </w:r>
      <w:r>
        <w:rPr>
          <w:rFonts w:hint="eastAsia"/>
          <w:sz w:val="28"/>
          <w:szCs w:val="28"/>
        </w:rPr>
        <w:t>。</w:t>
      </w:r>
    </w:p>
    <w:p w14:paraId="18A27509">
      <w:pPr>
        <w:widowControl/>
        <w:spacing w:line="360" w:lineRule="auto"/>
        <w:ind w:firstLine="560" w:firstLineChars="200"/>
        <w:rPr>
          <w:sz w:val="28"/>
          <w:szCs w:val="28"/>
        </w:rPr>
      </w:pPr>
      <w:r>
        <w:rPr>
          <w:rFonts w:hint="eastAsia"/>
          <w:sz w:val="28"/>
          <w:szCs w:val="28"/>
        </w:rPr>
        <w:t>1、拆除</w:t>
      </w:r>
    </w:p>
    <w:p w14:paraId="2B70A62C">
      <w:pPr>
        <w:spacing w:line="360" w:lineRule="auto"/>
        <w:ind w:firstLine="560" w:firstLineChars="200"/>
        <w:rPr>
          <w:sz w:val="28"/>
          <w:szCs w:val="28"/>
        </w:rPr>
      </w:pPr>
      <w:r>
        <w:rPr>
          <w:rFonts w:hint="eastAsia"/>
          <w:sz w:val="28"/>
          <w:szCs w:val="28"/>
        </w:rPr>
        <w:t>对场地内临时建筑物进行拆除，预计建筑面积</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2</w:t>
      </w:r>
      <w:r>
        <w:rPr>
          <w:rFonts w:hint="eastAsia"/>
          <w:sz w:val="28"/>
          <w:szCs w:val="28"/>
        </w:rPr>
        <w:t>，建筑高度按照</w:t>
      </w:r>
      <w:r>
        <w:rPr>
          <w:rFonts w:hint="eastAsia" w:ascii="宋体" w:hAnsi="宋体" w:cs="宋体"/>
          <w:spacing w:val="13"/>
          <w:sz w:val="32"/>
          <w:szCs w:val="32"/>
        </w:rPr>
        <w:t>***</w:t>
      </w:r>
      <w:r>
        <w:rPr>
          <w:rFonts w:hint="eastAsia"/>
          <w:sz w:val="28"/>
          <w:szCs w:val="28"/>
        </w:rPr>
        <w:t>m，拆除量按容积的</w:t>
      </w:r>
      <w:r>
        <w:rPr>
          <w:rFonts w:hint="eastAsia" w:ascii="宋体" w:hAnsi="宋体" w:cs="宋体"/>
          <w:spacing w:val="13"/>
          <w:sz w:val="32"/>
          <w:szCs w:val="32"/>
        </w:rPr>
        <w:t>***</w:t>
      </w:r>
      <w:r>
        <w:rPr>
          <w:rFonts w:hint="eastAsia"/>
          <w:sz w:val="28"/>
          <w:szCs w:val="28"/>
        </w:rPr>
        <w:t>%计，拆除工程量为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w:t>
      </w:r>
    </w:p>
    <w:p w14:paraId="1BA3BFE7">
      <w:pPr>
        <w:widowControl/>
        <w:spacing w:line="360" w:lineRule="auto"/>
        <w:ind w:firstLine="560" w:firstLineChars="200"/>
        <w:rPr>
          <w:sz w:val="28"/>
          <w:szCs w:val="28"/>
        </w:rPr>
      </w:pPr>
      <w:r>
        <w:rPr>
          <w:rFonts w:hint="eastAsia"/>
          <w:sz w:val="28"/>
          <w:szCs w:val="28"/>
        </w:rPr>
        <w:t>2、清运</w:t>
      </w:r>
    </w:p>
    <w:p w14:paraId="7405B331">
      <w:pPr>
        <w:widowControl/>
        <w:spacing w:line="360" w:lineRule="auto"/>
        <w:ind w:firstLine="560" w:firstLineChars="200"/>
        <w:rPr>
          <w:sz w:val="28"/>
          <w:szCs w:val="28"/>
        </w:rPr>
      </w:pPr>
      <w:r>
        <w:rPr>
          <w:rFonts w:hint="eastAsia"/>
          <w:sz w:val="28"/>
          <w:szCs w:val="28"/>
        </w:rPr>
        <w:t>对拆除后的建筑垃圾进行清运，建筑垃圾回填至废石场1西侧坑底部，拆除建筑物工程量为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，则清运工程量为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w:t>
      </w:r>
    </w:p>
    <w:p w14:paraId="19B85A6F">
      <w:pPr>
        <w:widowControl/>
        <w:spacing w:line="360" w:lineRule="auto"/>
        <w:ind w:firstLine="560" w:firstLineChars="200"/>
        <w:rPr>
          <w:sz w:val="28"/>
          <w:szCs w:val="28"/>
        </w:rPr>
      </w:pPr>
      <w:r>
        <w:rPr>
          <w:rFonts w:hint="eastAsia"/>
          <w:sz w:val="28"/>
          <w:szCs w:val="28"/>
        </w:rPr>
        <w:t>3、垫坡整形</w:t>
      </w:r>
    </w:p>
    <w:p w14:paraId="50722313">
      <w:pPr>
        <w:widowControl/>
        <w:spacing w:line="360" w:lineRule="auto"/>
        <w:ind w:firstLine="560" w:firstLineChars="200"/>
        <w:rPr>
          <w:sz w:val="28"/>
          <w:szCs w:val="28"/>
        </w:rPr>
      </w:pPr>
      <w:r>
        <w:rPr>
          <w:rFonts w:hint="eastAsia"/>
          <w:sz w:val="28"/>
          <w:szCs w:val="28"/>
        </w:rPr>
        <w:t>废石场3，坡高</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m，坡角</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°，长度约</w:t>
      </w:r>
      <w:r>
        <w:rPr>
          <w:rFonts w:hint="eastAsia" w:ascii="宋体" w:hAnsi="宋体" w:cs="宋体"/>
          <w:spacing w:val="13"/>
          <w:sz w:val="32"/>
          <w:szCs w:val="32"/>
        </w:rPr>
        <w:t>***</w:t>
      </w:r>
      <w:r>
        <w:rPr>
          <w:rFonts w:hint="eastAsia"/>
          <w:sz w:val="28"/>
          <w:szCs w:val="28"/>
        </w:rPr>
        <w:t>m，本次设计对边坡采取垫坡的措施，垫坡后形成的缓坡角度约</w:t>
      </w:r>
      <w:r>
        <w:rPr>
          <w:rFonts w:hint="eastAsia" w:ascii="宋体" w:hAnsi="宋体" w:cs="宋体"/>
          <w:spacing w:val="13"/>
          <w:sz w:val="32"/>
          <w:szCs w:val="32"/>
        </w:rPr>
        <w:t>***</w:t>
      </w:r>
      <w:r>
        <w:rPr>
          <w:rFonts w:hint="eastAsia"/>
          <w:sz w:val="28"/>
          <w:szCs w:val="28"/>
        </w:rPr>
        <w:t>°，方便覆土恢复植被。经计算，垫坡总长度</w:t>
      </w:r>
      <w:r>
        <w:rPr>
          <w:rFonts w:hint="eastAsia" w:ascii="宋体" w:hAnsi="宋体" w:cs="宋体"/>
          <w:spacing w:val="13"/>
          <w:sz w:val="32"/>
          <w:szCs w:val="32"/>
        </w:rPr>
        <w:t>***</w:t>
      </w:r>
      <w:r>
        <w:rPr>
          <w:rFonts w:hint="eastAsia"/>
          <w:sz w:val="28"/>
          <w:szCs w:val="28"/>
        </w:rPr>
        <w:t>m，垫坡总工程量为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w:t>
      </w:r>
    </w:p>
    <w:p w14:paraId="45B86612">
      <w:pPr>
        <w:widowControl/>
        <w:spacing w:line="360" w:lineRule="auto"/>
        <w:ind w:firstLine="560" w:firstLineChars="200"/>
        <w:rPr>
          <w:sz w:val="28"/>
          <w:szCs w:val="28"/>
        </w:rPr>
      </w:pPr>
      <w:r>
        <w:rPr>
          <w:rFonts w:hint="eastAsia"/>
          <w:sz w:val="28"/>
          <w:szCs w:val="28"/>
        </w:rPr>
        <w:t>4、覆土及整平</w:t>
      </w:r>
    </w:p>
    <w:p w14:paraId="4E309608">
      <w:pPr>
        <w:spacing w:line="360" w:lineRule="auto"/>
        <w:ind w:firstLine="560" w:firstLineChars="200"/>
        <w:rPr>
          <w:sz w:val="28"/>
          <w:szCs w:val="28"/>
        </w:rPr>
      </w:pPr>
      <w:r>
        <w:rPr>
          <w:rFonts w:hint="eastAsia"/>
          <w:sz w:val="28"/>
          <w:szCs w:val="28"/>
        </w:rPr>
        <w:t>对整平后的废石场3进行覆土整平，废石场3计划恢复为灌木林地，</w:t>
      </w:r>
      <w:r>
        <w:rPr>
          <w:sz w:val="28"/>
          <w:szCs w:val="28"/>
        </w:rPr>
        <w:t>覆土厚度</w:t>
      </w:r>
      <w:r>
        <w:rPr>
          <w:rFonts w:hint="eastAsia" w:ascii="宋体" w:hAnsi="宋体" w:cs="宋体"/>
          <w:spacing w:val="13"/>
          <w:sz w:val="32"/>
          <w:szCs w:val="32"/>
        </w:rPr>
        <w:t>***</w:t>
      </w:r>
      <w:r>
        <w:rPr>
          <w:sz w:val="28"/>
          <w:szCs w:val="28"/>
        </w:rPr>
        <w:t>m，</w:t>
      </w:r>
      <w:r>
        <w:rPr>
          <w:rFonts w:hint="eastAsia"/>
          <w:sz w:val="28"/>
          <w:szCs w:val="28"/>
        </w:rPr>
        <w:t>覆土总面积为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w:t>
      </w:r>
      <w:r>
        <w:rPr>
          <w:rFonts w:hint="eastAsia"/>
          <w:sz w:val="28"/>
          <w:szCs w:val="28"/>
        </w:rPr>
        <w:t>废石场3</w:t>
      </w:r>
      <w:r>
        <w:rPr>
          <w:sz w:val="28"/>
          <w:szCs w:val="28"/>
        </w:rPr>
        <w:t>覆土及整平工程量为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38F89469">
      <w:pPr>
        <w:widowControl/>
        <w:spacing w:line="360" w:lineRule="auto"/>
        <w:ind w:firstLine="560" w:firstLineChars="200"/>
        <w:rPr>
          <w:sz w:val="28"/>
          <w:szCs w:val="28"/>
        </w:rPr>
      </w:pPr>
      <w:r>
        <w:rPr>
          <w:rFonts w:hint="eastAsia"/>
          <w:sz w:val="28"/>
          <w:szCs w:val="28"/>
        </w:rPr>
        <w:t>5、恢复植被</w:t>
      </w:r>
    </w:p>
    <w:p w14:paraId="33626260">
      <w:pPr>
        <w:widowControl/>
        <w:spacing w:line="360" w:lineRule="auto"/>
        <w:ind w:firstLine="560" w:firstLineChars="200"/>
        <w:rPr>
          <w:sz w:val="28"/>
          <w:szCs w:val="28"/>
        </w:rPr>
      </w:pPr>
      <w:r>
        <w:rPr>
          <w:rFonts w:hint="eastAsia"/>
          <w:sz w:val="28"/>
          <w:szCs w:val="28"/>
        </w:rPr>
        <w:t>废石场3拟恢复为灌木林地，总面积为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，定植株行距</w:t>
      </w:r>
      <w:r>
        <w:rPr>
          <w:rFonts w:hint="eastAsia" w:ascii="宋体" w:hAnsi="宋体" w:cs="宋体"/>
          <w:spacing w:val="13"/>
          <w:sz w:val="32"/>
          <w:szCs w:val="32"/>
        </w:rPr>
        <w:t>***</w:t>
      </w:r>
      <w:r>
        <w:rPr>
          <w:rFonts w:hint="eastAsia"/>
          <w:sz w:val="28"/>
          <w:szCs w:val="28"/>
        </w:rPr>
        <w:t>m×</w:t>
      </w:r>
      <w:r>
        <w:rPr>
          <w:rFonts w:hint="eastAsia" w:ascii="宋体" w:hAnsi="宋体" w:cs="宋体"/>
          <w:spacing w:val="13"/>
          <w:sz w:val="32"/>
          <w:szCs w:val="32"/>
        </w:rPr>
        <w:t>***</w:t>
      </w:r>
      <w:r>
        <w:rPr>
          <w:rFonts w:hint="eastAsia"/>
          <w:sz w:val="28"/>
          <w:szCs w:val="28"/>
        </w:rPr>
        <w:t>m，</w:t>
      </w:r>
      <w:r>
        <w:rPr>
          <w:sz w:val="28"/>
          <w:szCs w:val="28"/>
        </w:rPr>
        <w:t>则</w:t>
      </w:r>
      <w:r>
        <w:rPr>
          <w:rFonts w:hint="eastAsia"/>
          <w:sz w:val="28"/>
          <w:szCs w:val="28"/>
        </w:rPr>
        <w:t>废石场3栽植灌木的工程量为</w:t>
      </w:r>
      <w:r>
        <w:rPr>
          <w:rFonts w:hint="eastAsia" w:ascii="宋体" w:hAnsi="宋体" w:cs="宋体"/>
          <w:spacing w:val="13"/>
          <w:sz w:val="32"/>
          <w:szCs w:val="32"/>
        </w:rPr>
        <w:t>***</w:t>
      </w:r>
      <w:r>
        <w:rPr>
          <w:rFonts w:hint="eastAsia"/>
          <w:sz w:val="28"/>
          <w:szCs w:val="28"/>
        </w:rPr>
        <w:t>株。</w:t>
      </w:r>
    </w:p>
    <w:p w14:paraId="6064DBBC">
      <w:pPr>
        <w:widowControl/>
        <w:spacing w:line="360" w:lineRule="auto"/>
        <w:jc w:val="center"/>
        <w:rPr>
          <w:rFonts w:hint="eastAsia" w:ascii="黑体" w:hAnsi="黑体" w:eastAsia="黑体"/>
          <w:sz w:val="28"/>
          <w:szCs w:val="28"/>
        </w:rPr>
      </w:pPr>
      <w:r>
        <w:rPr>
          <w:rFonts w:hint="eastAsia" w:ascii="黑体" w:hAnsi="黑体" w:eastAsia="黑体"/>
          <w:sz w:val="24"/>
          <w:szCs w:val="24"/>
        </w:rPr>
        <w:t>图4-9  废石场3治理效果图</w:t>
      </w:r>
    </w:p>
    <w:bookmarkEnd w:id="140"/>
    <w:p w14:paraId="184E937D">
      <w:pPr>
        <w:pStyle w:val="5"/>
        <w:spacing w:line="360" w:lineRule="auto"/>
        <w:ind w:firstLine="562" w:firstLineChars="200"/>
        <w:rPr>
          <w:rFonts w:ascii="Times New Roman"/>
          <w:b/>
          <w:sz w:val="28"/>
          <w:szCs w:val="24"/>
        </w:rPr>
      </w:pPr>
      <w:r>
        <w:rPr>
          <w:rFonts w:hint="eastAsia" w:ascii="Times New Roman"/>
          <w:b/>
          <w:sz w:val="28"/>
          <w:szCs w:val="24"/>
        </w:rPr>
        <w:t>十一</w:t>
      </w:r>
      <w:r>
        <w:rPr>
          <w:rFonts w:ascii="Times New Roman"/>
          <w:b/>
          <w:sz w:val="28"/>
          <w:szCs w:val="24"/>
        </w:rPr>
        <w:t>、</w:t>
      </w:r>
      <w:r>
        <w:rPr>
          <w:rFonts w:hint="eastAsia" w:ascii="Times New Roman"/>
          <w:b/>
          <w:sz w:val="28"/>
          <w:szCs w:val="24"/>
        </w:rPr>
        <w:t>办公区</w:t>
      </w:r>
    </w:p>
    <w:p w14:paraId="197CF43C">
      <w:pPr>
        <w:widowControl/>
        <w:spacing w:line="360" w:lineRule="auto"/>
        <w:ind w:firstLine="560" w:firstLineChars="200"/>
        <w:rPr>
          <w:sz w:val="28"/>
          <w:szCs w:val="28"/>
        </w:rPr>
      </w:pPr>
      <w:r>
        <w:rPr>
          <w:sz w:val="28"/>
          <w:szCs w:val="28"/>
        </w:rPr>
        <w:t>1、</w:t>
      </w:r>
      <w:r>
        <w:rPr>
          <w:rFonts w:hint="eastAsia"/>
          <w:sz w:val="28"/>
          <w:szCs w:val="28"/>
        </w:rPr>
        <w:t>拆除</w:t>
      </w:r>
    </w:p>
    <w:p w14:paraId="69B262C2">
      <w:pPr>
        <w:widowControl/>
        <w:spacing w:line="360" w:lineRule="auto"/>
        <w:ind w:firstLine="560" w:firstLineChars="200"/>
        <w:rPr>
          <w:sz w:val="28"/>
          <w:szCs w:val="28"/>
        </w:rPr>
      </w:pPr>
      <w:r>
        <w:rPr>
          <w:sz w:val="28"/>
          <w:szCs w:val="28"/>
        </w:rPr>
        <w:t>对</w:t>
      </w:r>
      <w:r>
        <w:rPr>
          <w:rFonts w:hint="eastAsia"/>
          <w:sz w:val="28"/>
          <w:szCs w:val="28"/>
        </w:rPr>
        <w:t>办公临建房</w:t>
      </w:r>
      <w:r>
        <w:rPr>
          <w:sz w:val="28"/>
          <w:szCs w:val="28"/>
        </w:rPr>
        <w:t>进行拆除，房屋高约</w:t>
      </w:r>
      <w:r>
        <w:rPr>
          <w:rFonts w:hint="eastAsia" w:ascii="宋体" w:hAnsi="宋体" w:cs="宋体"/>
          <w:spacing w:val="13"/>
          <w:sz w:val="32"/>
          <w:szCs w:val="32"/>
        </w:rPr>
        <w:t>***</w:t>
      </w:r>
      <w:r>
        <w:rPr>
          <w:sz w:val="28"/>
          <w:szCs w:val="28"/>
        </w:rPr>
        <w:t>m，建筑面积约</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拆除量按容积的</w:t>
      </w:r>
      <w:r>
        <w:rPr>
          <w:rFonts w:hint="eastAsia" w:ascii="宋体" w:hAnsi="宋体" w:cs="宋体"/>
          <w:spacing w:val="13"/>
          <w:sz w:val="32"/>
          <w:szCs w:val="32"/>
        </w:rPr>
        <w:t>***</w:t>
      </w:r>
      <w:r>
        <w:rPr>
          <w:sz w:val="28"/>
          <w:szCs w:val="28"/>
        </w:rPr>
        <w:t>%计，预计</w:t>
      </w:r>
      <w:r>
        <w:rPr>
          <w:rFonts w:hint="eastAsia"/>
          <w:sz w:val="28"/>
          <w:szCs w:val="28"/>
        </w:rPr>
        <w:t>办公区</w:t>
      </w:r>
      <w:r>
        <w:rPr>
          <w:sz w:val="28"/>
          <w:szCs w:val="28"/>
        </w:rPr>
        <w:t>拆除工程量为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7B8398D2">
      <w:pPr>
        <w:widowControl/>
        <w:spacing w:line="360" w:lineRule="auto"/>
        <w:ind w:firstLine="560" w:firstLineChars="200"/>
        <w:rPr>
          <w:sz w:val="28"/>
          <w:szCs w:val="28"/>
        </w:rPr>
      </w:pPr>
      <w:r>
        <w:rPr>
          <w:sz w:val="28"/>
          <w:szCs w:val="28"/>
        </w:rPr>
        <w:t>2、清运</w:t>
      </w:r>
    </w:p>
    <w:p w14:paraId="028AA329">
      <w:pPr>
        <w:widowControl/>
        <w:spacing w:line="360" w:lineRule="auto"/>
        <w:ind w:firstLine="560" w:firstLineChars="200"/>
        <w:rPr>
          <w:sz w:val="28"/>
          <w:szCs w:val="28"/>
        </w:rPr>
      </w:pPr>
      <w:r>
        <w:rPr>
          <w:sz w:val="28"/>
          <w:szCs w:val="28"/>
        </w:rPr>
        <w:t>对拆除后的建筑垃圾进行清运，拆除建筑物工程量为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，则清运工程量为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1BA1FA8B">
      <w:pPr>
        <w:widowControl/>
        <w:spacing w:line="360" w:lineRule="auto"/>
        <w:ind w:firstLine="560" w:firstLineChars="200"/>
        <w:rPr>
          <w:sz w:val="28"/>
          <w:szCs w:val="28"/>
        </w:rPr>
      </w:pPr>
      <w:r>
        <w:rPr>
          <w:rFonts w:hint="eastAsia"/>
          <w:sz w:val="28"/>
          <w:szCs w:val="28"/>
        </w:rPr>
        <w:t>3、覆土及整平</w:t>
      </w:r>
    </w:p>
    <w:p w14:paraId="30156524">
      <w:pPr>
        <w:widowControl/>
        <w:spacing w:line="360" w:lineRule="auto"/>
        <w:ind w:firstLine="560" w:firstLineChars="200"/>
        <w:rPr>
          <w:sz w:val="28"/>
          <w:szCs w:val="28"/>
        </w:rPr>
      </w:pPr>
      <w:r>
        <w:rPr>
          <w:rFonts w:hint="eastAsia"/>
          <w:sz w:val="28"/>
          <w:szCs w:val="28"/>
        </w:rPr>
        <w:t>办公区计划恢复为灌木林地，</w:t>
      </w:r>
      <w:r>
        <w:rPr>
          <w:sz w:val="28"/>
          <w:szCs w:val="28"/>
        </w:rPr>
        <w:t>覆土厚度</w:t>
      </w:r>
      <w:r>
        <w:rPr>
          <w:rFonts w:hint="eastAsia" w:ascii="宋体" w:hAnsi="宋体" w:cs="宋体"/>
          <w:spacing w:val="13"/>
          <w:sz w:val="32"/>
          <w:szCs w:val="32"/>
        </w:rPr>
        <w:t>***</w:t>
      </w:r>
      <w:r>
        <w:rPr>
          <w:sz w:val="28"/>
          <w:szCs w:val="28"/>
        </w:rPr>
        <w:t>m，</w:t>
      </w:r>
      <w:r>
        <w:rPr>
          <w:rFonts w:hint="eastAsia"/>
          <w:sz w:val="28"/>
          <w:szCs w:val="28"/>
        </w:rPr>
        <w:t>覆土总面积为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w:t>
      </w:r>
      <w:r>
        <w:rPr>
          <w:rFonts w:hint="eastAsia"/>
          <w:sz w:val="28"/>
          <w:szCs w:val="28"/>
        </w:rPr>
        <w:t>办公区</w:t>
      </w:r>
      <w:r>
        <w:rPr>
          <w:sz w:val="28"/>
          <w:szCs w:val="28"/>
        </w:rPr>
        <w:t>覆土及整平工程量为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3FD5DADD">
      <w:pPr>
        <w:widowControl/>
        <w:spacing w:line="360" w:lineRule="auto"/>
        <w:ind w:firstLine="560" w:firstLineChars="200"/>
        <w:rPr>
          <w:sz w:val="28"/>
          <w:szCs w:val="28"/>
        </w:rPr>
      </w:pPr>
      <w:r>
        <w:rPr>
          <w:rFonts w:hint="eastAsia"/>
          <w:sz w:val="28"/>
          <w:szCs w:val="28"/>
        </w:rPr>
        <w:t>4、恢复植被</w:t>
      </w:r>
    </w:p>
    <w:p w14:paraId="0A3A2063">
      <w:pPr>
        <w:spacing w:line="360" w:lineRule="auto"/>
        <w:ind w:firstLine="560" w:firstLineChars="200"/>
        <w:rPr>
          <w:sz w:val="28"/>
          <w:szCs w:val="28"/>
        </w:rPr>
      </w:pPr>
      <w:r>
        <w:rPr>
          <w:rFonts w:hint="eastAsia"/>
          <w:sz w:val="28"/>
          <w:szCs w:val="28"/>
        </w:rPr>
        <w:t>办公区拟恢复为灌木林地，总面积为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，定植株行距</w:t>
      </w:r>
      <w:r>
        <w:rPr>
          <w:rFonts w:hint="eastAsia" w:ascii="宋体" w:hAnsi="宋体" w:cs="宋体"/>
          <w:spacing w:val="13"/>
          <w:sz w:val="32"/>
          <w:szCs w:val="32"/>
        </w:rPr>
        <w:t>***</w:t>
      </w:r>
      <w:r>
        <w:rPr>
          <w:rFonts w:hint="eastAsia"/>
          <w:sz w:val="28"/>
          <w:szCs w:val="28"/>
        </w:rPr>
        <w:t>m×</w:t>
      </w:r>
      <w:r>
        <w:rPr>
          <w:rFonts w:hint="eastAsia" w:ascii="宋体" w:hAnsi="宋体" w:cs="宋体"/>
          <w:spacing w:val="13"/>
          <w:sz w:val="32"/>
          <w:szCs w:val="32"/>
        </w:rPr>
        <w:t>***</w:t>
      </w:r>
      <w:r>
        <w:rPr>
          <w:rFonts w:hint="eastAsia"/>
          <w:sz w:val="28"/>
          <w:szCs w:val="28"/>
        </w:rPr>
        <w:t>m，</w:t>
      </w:r>
      <w:r>
        <w:rPr>
          <w:sz w:val="28"/>
          <w:szCs w:val="28"/>
        </w:rPr>
        <w:t>则</w:t>
      </w:r>
      <w:r>
        <w:rPr>
          <w:rFonts w:hint="eastAsia"/>
          <w:sz w:val="28"/>
          <w:szCs w:val="28"/>
        </w:rPr>
        <w:t>办公区栽植灌木的工程量为</w:t>
      </w:r>
      <w:r>
        <w:rPr>
          <w:rFonts w:hint="eastAsia" w:ascii="宋体" w:hAnsi="宋体" w:cs="宋体"/>
          <w:spacing w:val="13"/>
          <w:sz w:val="32"/>
          <w:szCs w:val="32"/>
        </w:rPr>
        <w:t>***</w:t>
      </w:r>
      <w:r>
        <w:rPr>
          <w:rFonts w:hint="eastAsia"/>
          <w:sz w:val="28"/>
          <w:szCs w:val="28"/>
        </w:rPr>
        <w:t>株。</w:t>
      </w:r>
    </w:p>
    <w:p w14:paraId="72F9301B">
      <w:pPr>
        <w:widowControl/>
        <w:spacing w:line="360" w:lineRule="auto"/>
        <w:jc w:val="center"/>
        <w:rPr>
          <w:rFonts w:hint="eastAsia" w:ascii="黑体" w:hAnsi="黑体" w:eastAsia="黑体"/>
          <w:sz w:val="28"/>
          <w:szCs w:val="28"/>
        </w:rPr>
      </w:pPr>
      <w:r>
        <w:rPr>
          <w:rFonts w:hint="eastAsia" w:ascii="黑体" w:hAnsi="黑体" w:eastAsia="黑体"/>
          <w:sz w:val="24"/>
          <w:szCs w:val="24"/>
        </w:rPr>
        <w:t>图4-10  办公区治理效果图</w:t>
      </w:r>
    </w:p>
    <w:p w14:paraId="5CB77A36">
      <w:pPr>
        <w:pStyle w:val="5"/>
        <w:spacing w:line="360" w:lineRule="auto"/>
        <w:ind w:firstLine="562" w:firstLineChars="200"/>
        <w:rPr>
          <w:rFonts w:ascii="Times New Roman"/>
          <w:b/>
          <w:sz w:val="28"/>
          <w:szCs w:val="24"/>
        </w:rPr>
      </w:pPr>
      <w:r>
        <w:rPr>
          <w:rFonts w:hint="eastAsia" w:ascii="Times New Roman"/>
          <w:b/>
          <w:sz w:val="28"/>
          <w:szCs w:val="24"/>
        </w:rPr>
        <w:t>十二</w:t>
      </w:r>
      <w:r>
        <w:rPr>
          <w:rFonts w:ascii="Times New Roman"/>
          <w:b/>
          <w:sz w:val="28"/>
          <w:szCs w:val="24"/>
        </w:rPr>
        <w:t>、</w:t>
      </w:r>
      <w:r>
        <w:rPr>
          <w:rFonts w:hint="eastAsia" w:ascii="Times New Roman"/>
          <w:b/>
          <w:sz w:val="28"/>
          <w:szCs w:val="24"/>
        </w:rPr>
        <w:t>生活区</w:t>
      </w:r>
    </w:p>
    <w:p w14:paraId="05D853F2">
      <w:pPr>
        <w:widowControl/>
        <w:spacing w:line="360" w:lineRule="auto"/>
        <w:ind w:firstLine="560" w:firstLineChars="200"/>
        <w:rPr>
          <w:sz w:val="28"/>
          <w:szCs w:val="28"/>
        </w:rPr>
      </w:pPr>
      <w:r>
        <w:rPr>
          <w:sz w:val="28"/>
          <w:szCs w:val="28"/>
        </w:rPr>
        <w:t>1、</w:t>
      </w:r>
      <w:r>
        <w:rPr>
          <w:rFonts w:hint="eastAsia"/>
          <w:sz w:val="28"/>
          <w:szCs w:val="28"/>
        </w:rPr>
        <w:t>拆除</w:t>
      </w:r>
    </w:p>
    <w:p w14:paraId="571914B9">
      <w:pPr>
        <w:widowControl/>
        <w:spacing w:line="360" w:lineRule="auto"/>
        <w:ind w:firstLine="560" w:firstLineChars="200"/>
        <w:rPr>
          <w:sz w:val="28"/>
          <w:szCs w:val="28"/>
        </w:rPr>
      </w:pPr>
      <w:r>
        <w:rPr>
          <w:sz w:val="28"/>
          <w:szCs w:val="28"/>
        </w:rPr>
        <w:t>对</w:t>
      </w:r>
      <w:r>
        <w:rPr>
          <w:rFonts w:hint="eastAsia"/>
          <w:sz w:val="28"/>
          <w:szCs w:val="28"/>
        </w:rPr>
        <w:t>生活区临建房</w:t>
      </w:r>
      <w:r>
        <w:rPr>
          <w:sz w:val="28"/>
          <w:szCs w:val="28"/>
        </w:rPr>
        <w:t>进行拆除，</w:t>
      </w:r>
      <w:r>
        <w:rPr>
          <w:bCs/>
          <w:sz w:val="28"/>
          <w:szCs w:val="28"/>
        </w:rPr>
        <w:t>总建筑</w:t>
      </w:r>
      <w:r>
        <w:rPr>
          <w:rFonts w:hint="eastAsia"/>
          <w:bCs/>
          <w:sz w:val="28"/>
          <w:szCs w:val="28"/>
        </w:rPr>
        <w:t>面积</w:t>
      </w:r>
      <w:r>
        <w:rPr>
          <w:rFonts w:hint="eastAsia" w:ascii="宋体" w:hAnsi="宋体" w:cs="宋体"/>
          <w:spacing w:val="13"/>
          <w:sz w:val="32"/>
          <w:szCs w:val="32"/>
        </w:rPr>
        <w:t>***</w:t>
      </w:r>
      <w:r>
        <w:rPr>
          <w:bCs/>
          <w:sz w:val="28"/>
          <w:szCs w:val="28"/>
        </w:rPr>
        <w:t>m</w:t>
      </w:r>
      <w:r>
        <w:rPr>
          <w:bCs/>
          <w:sz w:val="28"/>
          <w:szCs w:val="28"/>
          <w:vertAlign w:val="superscript"/>
        </w:rPr>
        <w:t>3</w:t>
      </w:r>
      <w:r>
        <w:rPr>
          <w:rFonts w:hint="eastAsia"/>
          <w:bCs/>
          <w:sz w:val="28"/>
          <w:szCs w:val="28"/>
        </w:rPr>
        <w:t>，建筑高度为</w:t>
      </w:r>
      <w:r>
        <w:rPr>
          <w:rFonts w:hint="eastAsia" w:ascii="宋体" w:hAnsi="宋体" w:cs="宋体"/>
          <w:spacing w:val="13"/>
          <w:sz w:val="32"/>
          <w:szCs w:val="32"/>
        </w:rPr>
        <w:t>***</w:t>
      </w:r>
      <w:r>
        <w:rPr>
          <w:rFonts w:hint="eastAsia"/>
          <w:bCs/>
          <w:sz w:val="28"/>
          <w:szCs w:val="28"/>
        </w:rPr>
        <w:t>m，</w:t>
      </w:r>
      <w:r>
        <w:rPr>
          <w:sz w:val="28"/>
          <w:szCs w:val="28"/>
        </w:rPr>
        <w:t>拆除量按容积的</w:t>
      </w:r>
      <w:r>
        <w:rPr>
          <w:rFonts w:hint="eastAsia" w:ascii="宋体" w:hAnsi="宋体" w:cs="宋体"/>
          <w:spacing w:val="13"/>
          <w:sz w:val="32"/>
          <w:szCs w:val="32"/>
        </w:rPr>
        <w:t>***</w:t>
      </w:r>
      <w:r>
        <w:rPr>
          <w:sz w:val="28"/>
          <w:szCs w:val="28"/>
        </w:rPr>
        <w:t>%计，预计</w:t>
      </w:r>
      <w:r>
        <w:rPr>
          <w:rFonts w:hint="eastAsia"/>
          <w:sz w:val="28"/>
          <w:szCs w:val="28"/>
        </w:rPr>
        <w:t>生活区</w:t>
      </w:r>
      <w:r>
        <w:rPr>
          <w:sz w:val="28"/>
          <w:szCs w:val="28"/>
        </w:rPr>
        <w:t>拆除工程量为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783CE4AE">
      <w:pPr>
        <w:widowControl/>
        <w:spacing w:line="360" w:lineRule="auto"/>
        <w:ind w:firstLine="560" w:firstLineChars="200"/>
        <w:rPr>
          <w:sz w:val="28"/>
          <w:szCs w:val="28"/>
        </w:rPr>
      </w:pPr>
      <w:r>
        <w:rPr>
          <w:sz w:val="28"/>
          <w:szCs w:val="28"/>
        </w:rPr>
        <w:t>2、清运</w:t>
      </w:r>
    </w:p>
    <w:p w14:paraId="531DE17E">
      <w:pPr>
        <w:widowControl/>
        <w:spacing w:line="360" w:lineRule="auto"/>
        <w:ind w:firstLine="560" w:firstLineChars="200"/>
        <w:rPr>
          <w:sz w:val="28"/>
          <w:szCs w:val="28"/>
        </w:rPr>
      </w:pPr>
      <w:r>
        <w:rPr>
          <w:sz w:val="28"/>
          <w:szCs w:val="28"/>
        </w:rPr>
        <w:t>对拆除后的建筑垃圾进行清运，拆除建筑物工程量为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，则清运工程量为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3C608966">
      <w:pPr>
        <w:widowControl/>
        <w:spacing w:line="360" w:lineRule="auto"/>
        <w:ind w:firstLine="560" w:firstLineChars="200"/>
        <w:rPr>
          <w:sz w:val="28"/>
          <w:szCs w:val="28"/>
        </w:rPr>
      </w:pPr>
      <w:r>
        <w:rPr>
          <w:rFonts w:hint="eastAsia"/>
          <w:sz w:val="28"/>
          <w:szCs w:val="28"/>
        </w:rPr>
        <w:t>3、垫坡整形</w:t>
      </w:r>
    </w:p>
    <w:p w14:paraId="5E83D3BD">
      <w:pPr>
        <w:spacing w:line="360" w:lineRule="auto"/>
        <w:ind w:firstLine="560" w:firstLineChars="200"/>
        <w:rPr>
          <w:sz w:val="28"/>
          <w:szCs w:val="28"/>
        </w:rPr>
      </w:pPr>
      <w:r>
        <w:rPr>
          <w:rFonts w:hint="eastAsia"/>
          <w:sz w:val="28"/>
          <w:szCs w:val="28"/>
        </w:rPr>
        <w:t>房屋建筑后缘与山体形成切坡，坡高</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m，坡角</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°，切坡长度约</w:t>
      </w:r>
      <w:r>
        <w:rPr>
          <w:rFonts w:hint="eastAsia" w:ascii="宋体" w:hAnsi="宋体" w:cs="宋体"/>
          <w:spacing w:val="13"/>
          <w:sz w:val="32"/>
          <w:szCs w:val="32"/>
        </w:rPr>
        <w:t>***</w:t>
      </w:r>
      <w:r>
        <w:rPr>
          <w:rFonts w:hint="eastAsia"/>
          <w:sz w:val="28"/>
          <w:szCs w:val="28"/>
        </w:rPr>
        <w:t>m，本次设计对边坡采取垫坡的措施，垫坡后形成的缓坡角度约</w:t>
      </w:r>
      <w:r>
        <w:rPr>
          <w:rFonts w:hint="eastAsia" w:ascii="宋体" w:hAnsi="宋体" w:cs="宋体"/>
          <w:spacing w:val="13"/>
          <w:sz w:val="32"/>
          <w:szCs w:val="32"/>
        </w:rPr>
        <w:t>***</w:t>
      </w:r>
      <w:r>
        <w:rPr>
          <w:rFonts w:hint="eastAsia"/>
          <w:sz w:val="28"/>
          <w:szCs w:val="28"/>
        </w:rPr>
        <w:t>°，方便覆土恢复植被。经计算，垫坡总长度</w:t>
      </w:r>
      <w:r>
        <w:rPr>
          <w:rFonts w:hint="eastAsia" w:ascii="宋体" w:hAnsi="宋体" w:cs="宋体"/>
          <w:spacing w:val="13"/>
          <w:sz w:val="32"/>
          <w:szCs w:val="32"/>
        </w:rPr>
        <w:t>***</w:t>
      </w:r>
      <w:r>
        <w:rPr>
          <w:rFonts w:hint="eastAsia"/>
          <w:sz w:val="28"/>
          <w:szCs w:val="28"/>
        </w:rPr>
        <w:t>m，垫坡总工程量为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w:t>
      </w:r>
    </w:p>
    <w:p w14:paraId="025ED0A8">
      <w:pPr>
        <w:widowControl/>
        <w:spacing w:line="360" w:lineRule="auto"/>
        <w:ind w:firstLine="560" w:firstLineChars="200"/>
        <w:rPr>
          <w:sz w:val="28"/>
          <w:szCs w:val="28"/>
        </w:rPr>
      </w:pPr>
      <w:r>
        <w:rPr>
          <w:rFonts w:hint="eastAsia"/>
          <w:sz w:val="28"/>
          <w:szCs w:val="28"/>
        </w:rPr>
        <w:t>4、场地平整</w:t>
      </w:r>
    </w:p>
    <w:p w14:paraId="0A776C17">
      <w:pPr>
        <w:widowControl/>
        <w:spacing w:line="360" w:lineRule="auto"/>
        <w:ind w:firstLine="560" w:firstLineChars="200"/>
        <w:rPr>
          <w:sz w:val="28"/>
          <w:szCs w:val="28"/>
        </w:rPr>
      </w:pPr>
      <w:r>
        <w:rPr>
          <w:sz w:val="28"/>
          <w:szCs w:val="28"/>
        </w:rPr>
        <w:t>使用推土机机械对目标场地进行平整，使场地避免凹凸不平，满足植被立地要求，整平深度为</w:t>
      </w:r>
      <w:r>
        <w:rPr>
          <w:rFonts w:hint="eastAsia" w:ascii="宋体" w:hAnsi="宋体" w:cs="宋体"/>
          <w:spacing w:val="13"/>
          <w:sz w:val="32"/>
          <w:szCs w:val="32"/>
        </w:rPr>
        <w:t>***</w:t>
      </w:r>
      <w:r>
        <w:rPr>
          <w:sz w:val="28"/>
          <w:szCs w:val="28"/>
        </w:rPr>
        <w:t>m，</w:t>
      </w:r>
      <w:r>
        <w:rPr>
          <w:rFonts w:hint="eastAsia"/>
          <w:sz w:val="28"/>
          <w:szCs w:val="28"/>
        </w:rPr>
        <w:t>生活区</w:t>
      </w:r>
      <w:r>
        <w:rPr>
          <w:sz w:val="28"/>
          <w:szCs w:val="28"/>
        </w:rPr>
        <w:t>平整土地工作量为</w:t>
      </w:r>
      <w:r>
        <w:rPr>
          <w:rFonts w:hint="eastAsia" w:ascii="宋体" w:hAnsi="宋体" w:cs="宋体"/>
          <w:spacing w:val="13"/>
          <w:sz w:val="32"/>
          <w:szCs w:val="32"/>
        </w:rPr>
        <w:t>***</w:t>
      </w:r>
      <w:r>
        <w:rPr>
          <w:sz w:val="28"/>
          <w:szCs w:val="28"/>
        </w:rPr>
        <w:t>m</w:t>
      </w:r>
      <w:r>
        <w:rPr>
          <w:sz w:val="28"/>
          <w:szCs w:val="28"/>
          <w:vertAlign w:val="superscript"/>
        </w:rPr>
        <w:t>3</w:t>
      </w:r>
      <w:r>
        <w:rPr>
          <w:rFonts w:hint="eastAsia"/>
          <w:sz w:val="28"/>
          <w:szCs w:val="28"/>
        </w:rPr>
        <w:t>。</w:t>
      </w:r>
    </w:p>
    <w:p w14:paraId="227A6488">
      <w:pPr>
        <w:widowControl/>
        <w:spacing w:line="360" w:lineRule="auto"/>
        <w:ind w:firstLine="560" w:firstLineChars="200"/>
        <w:rPr>
          <w:sz w:val="28"/>
          <w:szCs w:val="28"/>
        </w:rPr>
      </w:pPr>
      <w:r>
        <w:rPr>
          <w:rFonts w:hint="eastAsia"/>
          <w:sz w:val="28"/>
          <w:szCs w:val="28"/>
        </w:rPr>
        <w:t>5、覆土及整平</w:t>
      </w:r>
    </w:p>
    <w:p w14:paraId="4C6F8C63">
      <w:pPr>
        <w:widowControl/>
        <w:spacing w:line="360" w:lineRule="auto"/>
        <w:ind w:firstLine="560" w:firstLineChars="200"/>
        <w:rPr>
          <w:sz w:val="28"/>
          <w:szCs w:val="28"/>
        </w:rPr>
      </w:pPr>
      <w:r>
        <w:rPr>
          <w:rFonts w:hint="eastAsia"/>
          <w:sz w:val="28"/>
          <w:szCs w:val="28"/>
        </w:rPr>
        <w:t>生活区计划恢复为灌木林地，</w:t>
      </w:r>
      <w:r>
        <w:rPr>
          <w:sz w:val="28"/>
          <w:szCs w:val="28"/>
        </w:rPr>
        <w:t>覆土厚度</w:t>
      </w:r>
      <w:r>
        <w:rPr>
          <w:rFonts w:hint="eastAsia" w:ascii="宋体" w:hAnsi="宋体" w:cs="宋体"/>
          <w:spacing w:val="13"/>
          <w:sz w:val="32"/>
          <w:szCs w:val="32"/>
        </w:rPr>
        <w:t>***</w:t>
      </w:r>
      <w:r>
        <w:rPr>
          <w:sz w:val="28"/>
          <w:szCs w:val="28"/>
        </w:rPr>
        <w:t>m，</w:t>
      </w:r>
      <w:r>
        <w:rPr>
          <w:rFonts w:hint="eastAsia"/>
          <w:sz w:val="28"/>
          <w:szCs w:val="28"/>
        </w:rPr>
        <w:t>覆土总面积为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w:t>
      </w:r>
      <w:r>
        <w:rPr>
          <w:rFonts w:hint="eastAsia"/>
          <w:sz w:val="28"/>
          <w:szCs w:val="28"/>
        </w:rPr>
        <w:t>生活区</w:t>
      </w:r>
      <w:r>
        <w:rPr>
          <w:sz w:val="28"/>
          <w:szCs w:val="28"/>
        </w:rPr>
        <w:t>覆土及整平工程量为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6E699E7F">
      <w:pPr>
        <w:widowControl/>
        <w:spacing w:line="360" w:lineRule="auto"/>
        <w:ind w:firstLine="560" w:firstLineChars="200"/>
        <w:rPr>
          <w:sz w:val="28"/>
          <w:szCs w:val="28"/>
        </w:rPr>
      </w:pPr>
      <w:r>
        <w:rPr>
          <w:rFonts w:hint="eastAsia"/>
          <w:sz w:val="28"/>
          <w:szCs w:val="28"/>
        </w:rPr>
        <w:t>6、恢复植被</w:t>
      </w:r>
    </w:p>
    <w:p w14:paraId="64F25F47">
      <w:pPr>
        <w:spacing w:line="360" w:lineRule="auto"/>
        <w:ind w:firstLine="560" w:firstLineChars="200"/>
        <w:rPr>
          <w:sz w:val="28"/>
          <w:szCs w:val="28"/>
        </w:rPr>
      </w:pPr>
      <w:r>
        <w:rPr>
          <w:rFonts w:hint="eastAsia"/>
          <w:sz w:val="28"/>
          <w:szCs w:val="28"/>
        </w:rPr>
        <w:t>生活区拟恢复为灌木林地，总面积为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，定植株行距</w:t>
      </w:r>
      <w:r>
        <w:rPr>
          <w:rFonts w:hint="eastAsia" w:ascii="宋体" w:hAnsi="宋体" w:cs="宋体"/>
          <w:spacing w:val="13"/>
          <w:sz w:val="32"/>
          <w:szCs w:val="32"/>
        </w:rPr>
        <w:t>***</w:t>
      </w:r>
      <w:r>
        <w:rPr>
          <w:rFonts w:hint="eastAsia"/>
          <w:sz w:val="28"/>
          <w:szCs w:val="28"/>
        </w:rPr>
        <w:t>m×</w:t>
      </w:r>
      <w:r>
        <w:rPr>
          <w:rFonts w:hint="eastAsia" w:ascii="宋体" w:hAnsi="宋体" w:cs="宋体"/>
          <w:spacing w:val="13"/>
          <w:sz w:val="32"/>
          <w:szCs w:val="32"/>
        </w:rPr>
        <w:t>***</w:t>
      </w:r>
      <w:r>
        <w:rPr>
          <w:rFonts w:hint="eastAsia"/>
          <w:sz w:val="28"/>
          <w:szCs w:val="28"/>
        </w:rPr>
        <w:t>m，</w:t>
      </w:r>
      <w:r>
        <w:rPr>
          <w:sz w:val="28"/>
          <w:szCs w:val="28"/>
        </w:rPr>
        <w:t>则</w:t>
      </w:r>
      <w:r>
        <w:rPr>
          <w:rFonts w:hint="eastAsia"/>
          <w:sz w:val="28"/>
          <w:szCs w:val="28"/>
        </w:rPr>
        <w:t>生活区栽植灌木的工程量为</w:t>
      </w:r>
      <w:r>
        <w:rPr>
          <w:rFonts w:hint="eastAsia" w:ascii="宋体" w:hAnsi="宋体" w:cs="宋体"/>
          <w:spacing w:val="13"/>
          <w:sz w:val="32"/>
          <w:szCs w:val="32"/>
        </w:rPr>
        <w:t>***</w:t>
      </w:r>
      <w:r>
        <w:rPr>
          <w:rFonts w:hint="eastAsia"/>
          <w:sz w:val="28"/>
          <w:szCs w:val="28"/>
        </w:rPr>
        <w:t>株。</w:t>
      </w:r>
    </w:p>
    <w:p w14:paraId="413E0B6C">
      <w:pPr>
        <w:spacing w:line="360" w:lineRule="auto"/>
        <w:ind w:firstLine="560" w:firstLineChars="200"/>
        <w:rPr>
          <w:sz w:val="28"/>
          <w:szCs w:val="28"/>
        </w:rPr>
      </w:pPr>
    </w:p>
    <w:p w14:paraId="044905E8">
      <w:pPr>
        <w:spacing w:line="360" w:lineRule="auto"/>
        <w:ind w:firstLine="560" w:firstLineChars="200"/>
        <w:rPr>
          <w:sz w:val="28"/>
          <w:szCs w:val="28"/>
        </w:rPr>
      </w:pPr>
    </w:p>
    <w:p w14:paraId="00743654">
      <w:pPr>
        <w:spacing w:line="360" w:lineRule="auto"/>
        <w:ind w:firstLine="480" w:firstLineChars="200"/>
        <w:jc w:val="center"/>
        <w:rPr>
          <w:sz w:val="28"/>
          <w:szCs w:val="28"/>
        </w:rPr>
      </w:pPr>
      <w:r>
        <w:rPr>
          <w:rFonts w:hint="eastAsia" w:ascii="黑体" w:hAnsi="黑体" w:eastAsia="黑体"/>
          <w:sz w:val="24"/>
          <w:szCs w:val="24"/>
        </w:rPr>
        <w:t>图4-11  生活区治理效果图</w:t>
      </w:r>
    </w:p>
    <w:p w14:paraId="0554EBF7">
      <w:pPr>
        <w:pStyle w:val="5"/>
        <w:spacing w:line="360" w:lineRule="auto"/>
        <w:ind w:firstLine="562" w:firstLineChars="200"/>
        <w:rPr>
          <w:rFonts w:ascii="Times New Roman"/>
          <w:b/>
          <w:sz w:val="28"/>
          <w:szCs w:val="24"/>
        </w:rPr>
      </w:pPr>
      <w:r>
        <w:rPr>
          <w:rFonts w:hint="eastAsia" w:ascii="Times New Roman"/>
          <w:b/>
          <w:sz w:val="28"/>
          <w:szCs w:val="24"/>
        </w:rPr>
        <w:t>十三</w:t>
      </w:r>
      <w:r>
        <w:rPr>
          <w:rFonts w:ascii="Times New Roman"/>
          <w:b/>
          <w:sz w:val="28"/>
          <w:szCs w:val="24"/>
        </w:rPr>
        <w:t>、</w:t>
      </w:r>
      <w:r>
        <w:rPr>
          <w:rFonts w:hint="eastAsia" w:ascii="Times New Roman"/>
          <w:b/>
          <w:sz w:val="28"/>
          <w:szCs w:val="24"/>
        </w:rPr>
        <w:t>门卫</w:t>
      </w:r>
    </w:p>
    <w:p w14:paraId="25ED2618">
      <w:pPr>
        <w:widowControl/>
        <w:spacing w:line="360" w:lineRule="auto"/>
        <w:ind w:firstLine="560" w:firstLineChars="200"/>
        <w:rPr>
          <w:sz w:val="28"/>
          <w:szCs w:val="28"/>
        </w:rPr>
      </w:pPr>
      <w:r>
        <w:rPr>
          <w:sz w:val="28"/>
          <w:szCs w:val="28"/>
        </w:rPr>
        <w:t>1、</w:t>
      </w:r>
      <w:r>
        <w:rPr>
          <w:rFonts w:hint="eastAsia"/>
          <w:sz w:val="28"/>
          <w:szCs w:val="28"/>
        </w:rPr>
        <w:t>拆除</w:t>
      </w:r>
    </w:p>
    <w:p w14:paraId="15DB3102">
      <w:pPr>
        <w:widowControl/>
        <w:spacing w:line="360" w:lineRule="auto"/>
        <w:ind w:firstLine="560" w:firstLineChars="200"/>
        <w:rPr>
          <w:sz w:val="28"/>
          <w:szCs w:val="28"/>
        </w:rPr>
      </w:pPr>
      <w:r>
        <w:rPr>
          <w:sz w:val="28"/>
          <w:szCs w:val="28"/>
        </w:rPr>
        <w:t>对</w:t>
      </w:r>
      <w:r>
        <w:rPr>
          <w:rFonts w:hint="eastAsia"/>
          <w:sz w:val="28"/>
          <w:szCs w:val="28"/>
        </w:rPr>
        <w:t>门卫临建房</w:t>
      </w:r>
      <w:r>
        <w:rPr>
          <w:sz w:val="28"/>
          <w:szCs w:val="28"/>
        </w:rPr>
        <w:t>进行拆除，房屋高约</w:t>
      </w:r>
      <w:r>
        <w:rPr>
          <w:rFonts w:hint="eastAsia" w:ascii="宋体" w:hAnsi="宋体" w:cs="宋体"/>
          <w:spacing w:val="13"/>
          <w:sz w:val="32"/>
          <w:szCs w:val="32"/>
        </w:rPr>
        <w:t>***</w:t>
      </w:r>
      <w:r>
        <w:rPr>
          <w:sz w:val="28"/>
          <w:szCs w:val="28"/>
        </w:rPr>
        <w:t>m，建筑面积约</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拆除量按容积的</w:t>
      </w:r>
      <w:r>
        <w:rPr>
          <w:rFonts w:hint="eastAsia" w:ascii="宋体" w:hAnsi="宋体" w:cs="宋体"/>
          <w:spacing w:val="13"/>
          <w:sz w:val="32"/>
          <w:szCs w:val="32"/>
        </w:rPr>
        <w:t>***</w:t>
      </w:r>
      <w:r>
        <w:rPr>
          <w:sz w:val="28"/>
          <w:szCs w:val="28"/>
        </w:rPr>
        <w:t>%计，预计</w:t>
      </w:r>
      <w:r>
        <w:rPr>
          <w:rFonts w:hint="eastAsia"/>
          <w:sz w:val="28"/>
          <w:szCs w:val="28"/>
        </w:rPr>
        <w:t>门卫</w:t>
      </w:r>
      <w:r>
        <w:rPr>
          <w:sz w:val="28"/>
          <w:szCs w:val="28"/>
        </w:rPr>
        <w:t>拆除工程量为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14F3DC74">
      <w:pPr>
        <w:widowControl/>
        <w:spacing w:line="360" w:lineRule="auto"/>
        <w:ind w:firstLine="560" w:firstLineChars="200"/>
        <w:rPr>
          <w:sz w:val="28"/>
          <w:szCs w:val="28"/>
        </w:rPr>
      </w:pPr>
      <w:r>
        <w:rPr>
          <w:sz w:val="28"/>
          <w:szCs w:val="28"/>
        </w:rPr>
        <w:t>2、清运</w:t>
      </w:r>
    </w:p>
    <w:p w14:paraId="6A5D0B3E">
      <w:pPr>
        <w:widowControl/>
        <w:spacing w:line="360" w:lineRule="auto"/>
        <w:ind w:firstLine="560" w:firstLineChars="200"/>
        <w:rPr>
          <w:sz w:val="28"/>
          <w:szCs w:val="28"/>
        </w:rPr>
      </w:pPr>
      <w:r>
        <w:rPr>
          <w:sz w:val="28"/>
          <w:szCs w:val="28"/>
        </w:rPr>
        <w:t>对拆除后的建筑垃圾进行清运，拆除建筑物工程量为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，则清运工程量为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0E853B75">
      <w:pPr>
        <w:widowControl/>
        <w:spacing w:line="360" w:lineRule="auto"/>
        <w:ind w:firstLine="560" w:firstLineChars="200"/>
        <w:rPr>
          <w:sz w:val="28"/>
          <w:szCs w:val="28"/>
        </w:rPr>
      </w:pPr>
      <w:r>
        <w:rPr>
          <w:rFonts w:hint="eastAsia"/>
          <w:sz w:val="28"/>
          <w:szCs w:val="28"/>
        </w:rPr>
        <w:t>3、垫坡整形</w:t>
      </w:r>
    </w:p>
    <w:p w14:paraId="28469EEB">
      <w:pPr>
        <w:widowControl/>
        <w:spacing w:line="360" w:lineRule="auto"/>
        <w:ind w:firstLine="560" w:firstLineChars="200"/>
        <w:rPr>
          <w:sz w:val="28"/>
          <w:szCs w:val="28"/>
        </w:rPr>
      </w:pPr>
      <w:r>
        <w:rPr>
          <w:rFonts w:hint="eastAsia"/>
          <w:sz w:val="28"/>
          <w:szCs w:val="28"/>
        </w:rPr>
        <w:t>房屋建筑后缘与山体形成切坡，坡高</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m，坡角</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°，切坡长度约</w:t>
      </w:r>
      <w:r>
        <w:rPr>
          <w:rFonts w:hint="eastAsia" w:ascii="宋体" w:hAnsi="宋体" w:cs="宋体"/>
          <w:spacing w:val="13"/>
          <w:sz w:val="32"/>
          <w:szCs w:val="32"/>
        </w:rPr>
        <w:t>***</w:t>
      </w:r>
      <w:r>
        <w:rPr>
          <w:rFonts w:hint="eastAsia"/>
          <w:sz w:val="28"/>
          <w:szCs w:val="28"/>
        </w:rPr>
        <w:t>m，本次设计对边坡采取垫坡的措施，垫坡后形成的缓坡角度约</w:t>
      </w:r>
      <w:r>
        <w:rPr>
          <w:rFonts w:hint="eastAsia" w:ascii="宋体" w:hAnsi="宋体" w:cs="宋体"/>
          <w:spacing w:val="13"/>
          <w:sz w:val="32"/>
          <w:szCs w:val="32"/>
        </w:rPr>
        <w:t>***</w:t>
      </w:r>
      <w:r>
        <w:rPr>
          <w:rFonts w:hint="eastAsia"/>
          <w:sz w:val="28"/>
          <w:szCs w:val="28"/>
        </w:rPr>
        <w:t>°，方便覆土恢复植被。经计算，垫坡总长度</w:t>
      </w:r>
      <w:r>
        <w:rPr>
          <w:rFonts w:hint="eastAsia" w:ascii="宋体" w:hAnsi="宋体" w:cs="宋体"/>
          <w:spacing w:val="13"/>
          <w:sz w:val="32"/>
          <w:szCs w:val="32"/>
        </w:rPr>
        <w:t>***</w:t>
      </w:r>
      <w:r>
        <w:rPr>
          <w:rFonts w:hint="eastAsia"/>
          <w:sz w:val="28"/>
          <w:szCs w:val="28"/>
        </w:rPr>
        <w:t>m，垫坡总工程量为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w:t>
      </w:r>
    </w:p>
    <w:p w14:paraId="384B65AD">
      <w:pPr>
        <w:widowControl/>
        <w:spacing w:line="360" w:lineRule="auto"/>
        <w:ind w:firstLine="560" w:firstLineChars="200"/>
        <w:rPr>
          <w:sz w:val="28"/>
          <w:szCs w:val="28"/>
        </w:rPr>
      </w:pPr>
      <w:r>
        <w:rPr>
          <w:rFonts w:hint="eastAsia"/>
          <w:sz w:val="28"/>
          <w:szCs w:val="28"/>
        </w:rPr>
        <w:t>4、场地平整</w:t>
      </w:r>
    </w:p>
    <w:p w14:paraId="3F88828D">
      <w:pPr>
        <w:widowControl/>
        <w:spacing w:line="360" w:lineRule="auto"/>
        <w:ind w:firstLine="560" w:firstLineChars="200"/>
        <w:rPr>
          <w:sz w:val="28"/>
          <w:szCs w:val="28"/>
        </w:rPr>
      </w:pPr>
      <w:r>
        <w:rPr>
          <w:sz w:val="28"/>
          <w:szCs w:val="28"/>
        </w:rPr>
        <w:t>使用推土机机械对目标场地进行平整，使场地避免凹凸不平，满足植被立地要求，整平深度为</w:t>
      </w:r>
      <w:r>
        <w:rPr>
          <w:rFonts w:hint="eastAsia" w:ascii="宋体" w:hAnsi="宋体" w:cs="宋体"/>
          <w:spacing w:val="13"/>
          <w:sz w:val="32"/>
          <w:szCs w:val="32"/>
        </w:rPr>
        <w:t>***</w:t>
      </w:r>
      <w:r>
        <w:rPr>
          <w:sz w:val="28"/>
          <w:szCs w:val="28"/>
        </w:rPr>
        <w:t>m，</w:t>
      </w:r>
      <w:r>
        <w:rPr>
          <w:rFonts w:hint="eastAsia"/>
          <w:sz w:val="28"/>
          <w:szCs w:val="28"/>
        </w:rPr>
        <w:t>门卫</w:t>
      </w:r>
      <w:r>
        <w:rPr>
          <w:sz w:val="28"/>
          <w:szCs w:val="28"/>
        </w:rPr>
        <w:t>平整土地工作量为</w:t>
      </w:r>
      <w:r>
        <w:rPr>
          <w:rFonts w:hint="eastAsia" w:ascii="宋体" w:hAnsi="宋体" w:cs="宋体"/>
          <w:spacing w:val="13"/>
          <w:sz w:val="32"/>
          <w:szCs w:val="32"/>
        </w:rPr>
        <w:t>***</w:t>
      </w:r>
      <w:r>
        <w:rPr>
          <w:sz w:val="28"/>
          <w:szCs w:val="28"/>
        </w:rPr>
        <w:t>m</w:t>
      </w:r>
      <w:r>
        <w:rPr>
          <w:sz w:val="28"/>
          <w:szCs w:val="28"/>
          <w:vertAlign w:val="superscript"/>
        </w:rPr>
        <w:t>3</w:t>
      </w:r>
      <w:r>
        <w:rPr>
          <w:rFonts w:hint="eastAsia"/>
          <w:sz w:val="28"/>
          <w:szCs w:val="28"/>
        </w:rPr>
        <w:t>。</w:t>
      </w:r>
    </w:p>
    <w:p w14:paraId="730539DB">
      <w:pPr>
        <w:widowControl/>
        <w:spacing w:line="360" w:lineRule="auto"/>
        <w:ind w:firstLine="560" w:firstLineChars="200"/>
        <w:rPr>
          <w:sz w:val="28"/>
          <w:szCs w:val="28"/>
        </w:rPr>
      </w:pPr>
      <w:r>
        <w:rPr>
          <w:rFonts w:hint="eastAsia"/>
          <w:sz w:val="28"/>
          <w:szCs w:val="28"/>
        </w:rPr>
        <w:t>5、覆土及整平</w:t>
      </w:r>
    </w:p>
    <w:p w14:paraId="2A897036">
      <w:pPr>
        <w:widowControl/>
        <w:spacing w:line="360" w:lineRule="auto"/>
        <w:ind w:firstLine="560" w:firstLineChars="200"/>
        <w:rPr>
          <w:sz w:val="28"/>
          <w:szCs w:val="28"/>
        </w:rPr>
      </w:pPr>
      <w:r>
        <w:rPr>
          <w:rFonts w:hint="eastAsia"/>
          <w:sz w:val="28"/>
          <w:szCs w:val="28"/>
        </w:rPr>
        <w:t>门卫计划恢复为灌木林地，</w:t>
      </w:r>
      <w:r>
        <w:rPr>
          <w:sz w:val="28"/>
          <w:szCs w:val="28"/>
        </w:rPr>
        <w:t>覆土厚度</w:t>
      </w:r>
      <w:r>
        <w:rPr>
          <w:rFonts w:hint="eastAsia" w:ascii="宋体" w:hAnsi="宋体" w:cs="宋体"/>
          <w:spacing w:val="13"/>
          <w:sz w:val="32"/>
          <w:szCs w:val="32"/>
        </w:rPr>
        <w:t>***</w:t>
      </w:r>
      <w:r>
        <w:rPr>
          <w:sz w:val="28"/>
          <w:szCs w:val="28"/>
        </w:rPr>
        <w:t>m，</w:t>
      </w:r>
      <w:r>
        <w:rPr>
          <w:rFonts w:hint="eastAsia"/>
          <w:sz w:val="28"/>
          <w:szCs w:val="28"/>
        </w:rPr>
        <w:t>覆土总面积为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w:t>
      </w:r>
      <w:r>
        <w:rPr>
          <w:sz w:val="28"/>
          <w:szCs w:val="28"/>
        </w:rPr>
        <w:t>则</w:t>
      </w:r>
      <w:r>
        <w:rPr>
          <w:rFonts w:hint="eastAsia"/>
          <w:sz w:val="28"/>
          <w:szCs w:val="28"/>
        </w:rPr>
        <w:t>门卫</w:t>
      </w:r>
      <w:r>
        <w:rPr>
          <w:sz w:val="28"/>
          <w:szCs w:val="28"/>
        </w:rPr>
        <w:t>覆土及整平工程量为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75A27F96">
      <w:pPr>
        <w:widowControl/>
        <w:spacing w:line="360" w:lineRule="auto"/>
        <w:ind w:firstLine="560" w:firstLineChars="200"/>
        <w:rPr>
          <w:sz w:val="28"/>
          <w:szCs w:val="28"/>
        </w:rPr>
      </w:pPr>
      <w:r>
        <w:rPr>
          <w:rFonts w:hint="eastAsia"/>
          <w:sz w:val="28"/>
          <w:szCs w:val="28"/>
        </w:rPr>
        <w:t>6、恢复植被</w:t>
      </w:r>
    </w:p>
    <w:p w14:paraId="760591A1">
      <w:pPr>
        <w:spacing w:line="360" w:lineRule="auto"/>
        <w:ind w:firstLine="560" w:firstLineChars="200"/>
        <w:rPr>
          <w:sz w:val="28"/>
          <w:szCs w:val="28"/>
        </w:rPr>
      </w:pPr>
      <w:r>
        <w:rPr>
          <w:rFonts w:hint="eastAsia"/>
          <w:sz w:val="28"/>
          <w:szCs w:val="28"/>
        </w:rPr>
        <w:t>门卫拟恢复为灌木林地，总面积为</w:t>
      </w:r>
      <w:r>
        <w:rPr>
          <w:rFonts w:hint="eastAsia" w:ascii="宋体" w:hAnsi="宋体" w:cs="宋体"/>
          <w:spacing w:val="13"/>
          <w:sz w:val="32"/>
          <w:szCs w:val="32"/>
        </w:rPr>
        <w:t>***</w:t>
      </w:r>
      <w:r>
        <w:rPr>
          <w:sz w:val="28"/>
          <w:szCs w:val="28"/>
        </w:rPr>
        <w:t>m</w:t>
      </w:r>
      <w:r>
        <w:rPr>
          <w:sz w:val="28"/>
          <w:szCs w:val="28"/>
          <w:vertAlign w:val="superscript"/>
        </w:rPr>
        <w:t>2</w:t>
      </w:r>
      <w:r>
        <w:rPr>
          <w:rFonts w:hint="eastAsia"/>
          <w:sz w:val="28"/>
          <w:szCs w:val="28"/>
        </w:rPr>
        <w:t>，定植株行距</w:t>
      </w:r>
      <w:r>
        <w:rPr>
          <w:rFonts w:hint="eastAsia" w:ascii="宋体" w:hAnsi="宋体" w:cs="宋体"/>
          <w:spacing w:val="13"/>
          <w:sz w:val="32"/>
          <w:szCs w:val="32"/>
        </w:rPr>
        <w:t>***</w:t>
      </w:r>
      <w:r>
        <w:rPr>
          <w:rFonts w:hint="eastAsia"/>
          <w:sz w:val="28"/>
          <w:szCs w:val="28"/>
        </w:rPr>
        <w:t>m×</w:t>
      </w:r>
      <w:r>
        <w:rPr>
          <w:rFonts w:hint="eastAsia" w:ascii="宋体" w:hAnsi="宋体" w:cs="宋体"/>
          <w:spacing w:val="13"/>
          <w:sz w:val="32"/>
          <w:szCs w:val="32"/>
        </w:rPr>
        <w:t>***</w:t>
      </w:r>
      <w:r>
        <w:rPr>
          <w:rFonts w:hint="eastAsia"/>
          <w:sz w:val="28"/>
          <w:szCs w:val="28"/>
        </w:rPr>
        <w:t>m，</w:t>
      </w:r>
      <w:r>
        <w:rPr>
          <w:sz w:val="28"/>
          <w:szCs w:val="28"/>
        </w:rPr>
        <w:t>则</w:t>
      </w:r>
      <w:r>
        <w:rPr>
          <w:rFonts w:hint="eastAsia"/>
          <w:sz w:val="28"/>
          <w:szCs w:val="28"/>
        </w:rPr>
        <w:t>门卫区栽植灌木的工程量为</w:t>
      </w:r>
      <w:r>
        <w:rPr>
          <w:rFonts w:hint="eastAsia" w:ascii="宋体" w:hAnsi="宋体" w:cs="宋体"/>
          <w:spacing w:val="13"/>
          <w:sz w:val="32"/>
          <w:szCs w:val="32"/>
        </w:rPr>
        <w:t>***</w:t>
      </w:r>
      <w:r>
        <w:rPr>
          <w:rFonts w:hint="eastAsia"/>
          <w:sz w:val="28"/>
          <w:szCs w:val="28"/>
        </w:rPr>
        <w:t>株。</w:t>
      </w:r>
    </w:p>
    <w:p w14:paraId="4EB0BC4F">
      <w:pPr>
        <w:spacing w:line="360" w:lineRule="auto"/>
        <w:jc w:val="center"/>
        <w:rPr>
          <w:sz w:val="28"/>
          <w:szCs w:val="28"/>
        </w:rPr>
      </w:pPr>
    </w:p>
    <w:p w14:paraId="6D34EF0C">
      <w:pPr>
        <w:spacing w:line="360" w:lineRule="auto"/>
        <w:jc w:val="center"/>
        <w:rPr>
          <w:sz w:val="28"/>
          <w:szCs w:val="28"/>
        </w:rPr>
      </w:pPr>
    </w:p>
    <w:p w14:paraId="22C3A316">
      <w:pPr>
        <w:spacing w:line="360" w:lineRule="auto"/>
        <w:ind w:firstLine="480" w:firstLineChars="200"/>
        <w:jc w:val="center"/>
        <w:rPr>
          <w:sz w:val="28"/>
          <w:szCs w:val="28"/>
        </w:rPr>
      </w:pPr>
      <w:r>
        <w:rPr>
          <w:rFonts w:hint="eastAsia" w:ascii="黑体" w:hAnsi="黑体" w:eastAsia="黑体"/>
          <w:sz w:val="24"/>
          <w:szCs w:val="24"/>
        </w:rPr>
        <w:t>图4-12  门卫治理效果图</w:t>
      </w:r>
    </w:p>
    <w:p w14:paraId="4654430E">
      <w:pPr>
        <w:pStyle w:val="5"/>
        <w:spacing w:line="360" w:lineRule="auto"/>
        <w:ind w:firstLine="562" w:firstLineChars="200"/>
        <w:rPr>
          <w:rFonts w:ascii="Times New Roman"/>
          <w:b/>
          <w:sz w:val="28"/>
          <w:szCs w:val="24"/>
        </w:rPr>
      </w:pPr>
      <w:r>
        <w:rPr>
          <w:rFonts w:hint="eastAsia" w:ascii="Times New Roman"/>
          <w:b/>
          <w:sz w:val="28"/>
          <w:szCs w:val="24"/>
        </w:rPr>
        <w:t>十四</w:t>
      </w:r>
      <w:r>
        <w:rPr>
          <w:rFonts w:ascii="Times New Roman"/>
          <w:b/>
          <w:sz w:val="28"/>
          <w:szCs w:val="24"/>
        </w:rPr>
        <w:t>、</w:t>
      </w:r>
      <w:r>
        <w:rPr>
          <w:rFonts w:hint="eastAsia" w:ascii="Times New Roman"/>
          <w:b/>
          <w:sz w:val="28"/>
          <w:szCs w:val="24"/>
        </w:rPr>
        <w:t>钻机平台</w:t>
      </w:r>
    </w:p>
    <w:p w14:paraId="299D558A">
      <w:pPr>
        <w:widowControl/>
        <w:spacing w:line="360" w:lineRule="auto"/>
        <w:ind w:firstLine="560" w:firstLineChars="200"/>
        <w:rPr>
          <w:sz w:val="28"/>
          <w:szCs w:val="28"/>
        </w:rPr>
      </w:pPr>
      <w:r>
        <w:rPr>
          <w:sz w:val="28"/>
          <w:szCs w:val="28"/>
        </w:rPr>
        <w:t>1、</w:t>
      </w:r>
      <w:r>
        <w:rPr>
          <w:rFonts w:hint="eastAsia"/>
          <w:sz w:val="28"/>
          <w:szCs w:val="28"/>
        </w:rPr>
        <w:t>清运</w:t>
      </w:r>
    </w:p>
    <w:p w14:paraId="13E766BA">
      <w:pPr>
        <w:widowControl/>
        <w:spacing w:line="360" w:lineRule="auto"/>
        <w:ind w:firstLine="560" w:firstLineChars="200"/>
        <w:rPr>
          <w:sz w:val="28"/>
          <w:szCs w:val="28"/>
        </w:rPr>
      </w:pPr>
      <w:r>
        <w:rPr>
          <w:rFonts w:hint="eastAsia"/>
          <w:sz w:val="28"/>
          <w:szCs w:val="28"/>
        </w:rPr>
        <w:t>将堆放于切坡下缘的废石清理至上部切坡处，开挖方量</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，下部垫坡方量为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，则钻机平台清理工程量为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w:t>
      </w:r>
    </w:p>
    <w:p w14:paraId="2F5CAE03">
      <w:pPr>
        <w:widowControl/>
        <w:spacing w:line="360" w:lineRule="auto"/>
        <w:ind w:firstLine="560" w:firstLineChars="200"/>
        <w:rPr>
          <w:sz w:val="28"/>
          <w:szCs w:val="28"/>
        </w:rPr>
      </w:pPr>
      <w:r>
        <w:rPr>
          <w:rFonts w:hint="eastAsia"/>
          <w:sz w:val="28"/>
          <w:szCs w:val="28"/>
        </w:rPr>
        <w:t>2、回填</w:t>
      </w:r>
    </w:p>
    <w:p w14:paraId="118C64A9">
      <w:pPr>
        <w:widowControl/>
        <w:spacing w:line="360" w:lineRule="auto"/>
        <w:ind w:firstLine="560" w:firstLineChars="200"/>
        <w:rPr>
          <w:sz w:val="28"/>
          <w:szCs w:val="28"/>
        </w:rPr>
      </w:pPr>
      <w:r>
        <w:rPr>
          <w:rFonts w:hint="eastAsia"/>
          <w:sz w:val="28"/>
          <w:szCs w:val="28"/>
        </w:rPr>
        <w:t>利用下部堆放的碎石对切坡位置进行回填，废石堆放量为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，则钻机平台回填工程量为</w:t>
      </w:r>
      <w:r>
        <w:rPr>
          <w:rFonts w:hint="eastAsia" w:ascii="宋体" w:hAnsi="宋体" w:cs="宋体"/>
          <w:spacing w:val="13"/>
          <w:sz w:val="32"/>
          <w:szCs w:val="32"/>
        </w:rPr>
        <w:t>***</w:t>
      </w:r>
      <w:r>
        <w:rPr>
          <w:rFonts w:hint="eastAsia"/>
          <w:sz w:val="28"/>
          <w:szCs w:val="28"/>
        </w:rPr>
        <w:t>m</w:t>
      </w:r>
      <w:r>
        <w:rPr>
          <w:rFonts w:hint="eastAsia"/>
          <w:sz w:val="28"/>
          <w:szCs w:val="28"/>
          <w:vertAlign w:val="superscript"/>
        </w:rPr>
        <w:t>3</w:t>
      </w:r>
      <w:r>
        <w:rPr>
          <w:rFonts w:hint="eastAsia"/>
          <w:sz w:val="28"/>
          <w:szCs w:val="28"/>
        </w:rPr>
        <w:t>。</w:t>
      </w:r>
    </w:p>
    <w:p w14:paraId="51FE6A61">
      <w:pPr>
        <w:widowControl/>
        <w:spacing w:line="360" w:lineRule="auto"/>
        <w:ind w:firstLine="560" w:firstLineChars="200"/>
        <w:rPr>
          <w:sz w:val="28"/>
          <w:szCs w:val="28"/>
        </w:rPr>
      </w:pPr>
      <w:r>
        <w:rPr>
          <w:rFonts w:hint="eastAsia"/>
          <w:sz w:val="28"/>
          <w:szCs w:val="28"/>
        </w:rPr>
        <w:t>3</w:t>
      </w:r>
      <w:r>
        <w:rPr>
          <w:sz w:val="28"/>
          <w:szCs w:val="28"/>
        </w:rPr>
        <w:t>、覆土</w:t>
      </w:r>
      <w:r>
        <w:rPr>
          <w:rFonts w:hint="eastAsia"/>
          <w:sz w:val="28"/>
          <w:szCs w:val="28"/>
        </w:rPr>
        <w:t>及整平</w:t>
      </w:r>
    </w:p>
    <w:p w14:paraId="2843F3EA">
      <w:pPr>
        <w:widowControl/>
        <w:spacing w:line="360" w:lineRule="auto"/>
        <w:ind w:firstLine="560" w:firstLineChars="200"/>
        <w:rPr>
          <w:sz w:val="28"/>
          <w:szCs w:val="28"/>
        </w:rPr>
      </w:pPr>
      <w:r>
        <w:rPr>
          <w:sz w:val="28"/>
          <w:szCs w:val="28"/>
        </w:rPr>
        <w:t>对治理后场地全面覆土，尽量恢复原始地类。设计恢复人工牧草地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，区域覆土厚度为</w:t>
      </w:r>
      <w:r>
        <w:rPr>
          <w:rFonts w:hint="eastAsia" w:ascii="宋体" w:hAnsi="宋体" w:cs="宋体"/>
          <w:spacing w:val="13"/>
          <w:sz w:val="32"/>
          <w:szCs w:val="32"/>
        </w:rPr>
        <w:t>***</w:t>
      </w:r>
      <w:r>
        <w:rPr>
          <w:sz w:val="28"/>
          <w:szCs w:val="28"/>
        </w:rPr>
        <w:t>m。覆土总量为</w:t>
      </w:r>
      <w:r>
        <w:rPr>
          <w:rFonts w:hint="eastAsia" w:ascii="宋体" w:hAnsi="宋体" w:cs="宋体"/>
          <w:spacing w:val="13"/>
          <w:sz w:val="32"/>
          <w:szCs w:val="32"/>
        </w:rPr>
        <w:t>***</w:t>
      </w:r>
      <w:r>
        <w:rPr>
          <w:sz w:val="28"/>
          <w:szCs w:val="28"/>
        </w:rPr>
        <w:t>m</w:t>
      </w:r>
      <w:r>
        <w:rPr>
          <w:sz w:val="28"/>
          <w:szCs w:val="28"/>
          <w:vertAlign w:val="superscript"/>
        </w:rPr>
        <w:t>3</w:t>
      </w:r>
      <w:r>
        <w:rPr>
          <w:sz w:val="28"/>
          <w:szCs w:val="28"/>
        </w:rPr>
        <w:t>。</w:t>
      </w:r>
    </w:p>
    <w:p w14:paraId="51F12855">
      <w:pPr>
        <w:widowControl/>
        <w:spacing w:line="360" w:lineRule="auto"/>
        <w:ind w:firstLine="560" w:firstLineChars="200"/>
        <w:rPr>
          <w:sz w:val="28"/>
          <w:szCs w:val="28"/>
        </w:rPr>
      </w:pPr>
      <w:r>
        <w:rPr>
          <w:rFonts w:hint="eastAsia"/>
          <w:sz w:val="28"/>
          <w:szCs w:val="28"/>
        </w:rPr>
        <w:t>4</w:t>
      </w:r>
      <w:r>
        <w:rPr>
          <w:sz w:val="28"/>
          <w:szCs w:val="28"/>
        </w:rPr>
        <w:t>、</w:t>
      </w:r>
      <w:r>
        <w:rPr>
          <w:rFonts w:hint="eastAsia"/>
          <w:sz w:val="28"/>
          <w:szCs w:val="28"/>
        </w:rPr>
        <w:t>恢复植被</w:t>
      </w:r>
    </w:p>
    <w:p w14:paraId="2BA513EE">
      <w:pPr>
        <w:widowControl/>
        <w:spacing w:line="360" w:lineRule="auto"/>
        <w:ind w:firstLine="560" w:firstLineChars="200"/>
        <w:rPr>
          <w:sz w:val="28"/>
          <w:szCs w:val="28"/>
        </w:rPr>
      </w:pPr>
      <w:r>
        <w:rPr>
          <w:bCs/>
          <w:sz w:val="28"/>
          <w:szCs w:val="28"/>
        </w:rPr>
        <w:t>根据周边植被情况，设计恢复为</w:t>
      </w:r>
      <w:r>
        <w:rPr>
          <w:sz w:val="28"/>
          <w:szCs w:val="28"/>
        </w:rPr>
        <w:t>人工牧草地，恢复人工牧草地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，撒播羊草（备选披碱草），撒播草籽面积为</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p>
    <w:p w14:paraId="76FA5D23">
      <w:pPr>
        <w:spacing w:line="360" w:lineRule="auto"/>
        <w:ind w:firstLine="480" w:firstLineChars="200"/>
        <w:jc w:val="center"/>
        <w:rPr>
          <w:sz w:val="28"/>
          <w:szCs w:val="28"/>
        </w:rPr>
      </w:pPr>
      <w:r>
        <w:rPr>
          <w:rFonts w:hint="eastAsia" w:ascii="黑体" w:hAnsi="黑体" w:eastAsia="黑体"/>
          <w:sz w:val="24"/>
          <w:szCs w:val="24"/>
        </w:rPr>
        <w:t>图4-13  钻机平台治理效果图</w:t>
      </w:r>
    </w:p>
    <w:p w14:paraId="7DD3F315">
      <w:pPr>
        <w:pStyle w:val="5"/>
        <w:spacing w:line="360" w:lineRule="auto"/>
        <w:ind w:firstLine="562" w:firstLineChars="200"/>
        <w:rPr>
          <w:rFonts w:ascii="Times New Roman"/>
          <w:b/>
          <w:sz w:val="28"/>
          <w:szCs w:val="24"/>
        </w:rPr>
      </w:pPr>
      <w:r>
        <w:rPr>
          <w:rFonts w:ascii="Times New Roman"/>
          <w:b/>
          <w:sz w:val="28"/>
          <w:szCs w:val="24"/>
        </w:rPr>
        <w:t>十</w:t>
      </w:r>
      <w:r>
        <w:rPr>
          <w:rFonts w:hint="eastAsia" w:ascii="Times New Roman"/>
          <w:b/>
          <w:sz w:val="28"/>
          <w:szCs w:val="24"/>
        </w:rPr>
        <w:t>五</w:t>
      </w:r>
      <w:r>
        <w:rPr>
          <w:rFonts w:ascii="Times New Roman"/>
          <w:b/>
          <w:sz w:val="28"/>
          <w:szCs w:val="24"/>
        </w:rPr>
        <w:t>、矿区道路</w:t>
      </w:r>
    </w:p>
    <w:p w14:paraId="47217812">
      <w:pPr>
        <w:widowControl/>
        <w:spacing w:line="360" w:lineRule="auto"/>
        <w:ind w:firstLine="560" w:firstLineChars="200"/>
        <w:rPr>
          <w:sz w:val="28"/>
          <w:szCs w:val="28"/>
        </w:rPr>
      </w:pPr>
      <w:r>
        <w:rPr>
          <w:sz w:val="28"/>
          <w:szCs w:val="28"/>
        </w:rPr>
        <w:t>1、翻耕</w:t>
      </w:r>
    </w:p>
    <w:p w14:paraId="6A0825B9">
      <w:pPr>
        <w:widowControl/>
        <w:spacing w:line="360" w:lineRule="auto"/>
        <w:ind w:firstLine="560" w:firstLineChars="200"/>
        <w:rPr>
          <w:sz w:val="28"/>
          <w:szCs w:val="28"/>
        </w:rPr>
      </w:pPr>
      <w:r>
        <w:rPr>
          <w:sz w:val="28"/>
          <w:szCs w:val="28"/>
        </w:rPr>
        <w:t>对压实后的道路进行翻耕松土，翻耕面积为</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，翻耕深度为</w:t>
      </w:r>
      <w:r>
        <w:rPr>
          <w:rFonts w:hint="eastAsia" w:ascii="宋体" w:hAnsi="宋体" w:cs="宋体"/>
          <w:spacing w:val="13"/>
          <w:sz w:val="32"/>
          <w:szCs w:val="32"/>
        </w:rPr>
        <w:t>***</w:t>
      </w:r>
      <w:r>
        <w:rPr>
          <w:sz w:val="28"/>
          <w:szCs w:val="28"/>
        </w:rPr>
        <w:t>m，翻耕工程量为</w:t>
      </w:r>
      <w:r>
        <w:rPr>
          <w:rFonts w:hint="eastAsia" w:ascii="宋体" w:hAnsi="宋体" w:cs="宋体"/>
          <w:spacing w:val="13"/>
          <w:sz w:val="32"/>
          <w:szCs w:val="32"/>
        </w:rPr>
        <w:t>***</w:t>
      </w:r>
      <w:r>
        <w:rPr>
          <w:sz w:val="28"/>
          <w:szCs w:val="28"/>
        </w:rPr>
        <w:t>m</w:t>
      </w:r>
      <w:r>
        <w:rPr>
          <w:rFonts w:hint="eastAsia"/>
          <w:sz w:val="28"/>
          <w:szCs w:val="28"/>
          <w:vertAlign w:val="superscript"/>
        </w:rPr>
        <w:t>2</w:t>
      </w:r>
      <w:r>
        <w:rPr>
          <w:sz w:val="28"/>
          <w:szCs w:val="28"/>
        </w:rPr>
        <w:t>。</w:t>
      </w:r>
    </w:p>
    <w:p w14:paraId="559C2C95">
      <w:pPr>
        <w:widowControl/>
        <w:spacing w:line="360" w:lineRule="auto"/>
        <w:ind w:firstLine="560" w:firstLineChars="200"/>
        <w:rPr>
          <w:sz w:val="28"/>
          <w:szCs w:val="28"/>
        </w:rPr>
      </w:pPr>
      <w:r>
        <w:rPr>
          <w:rFonts w:hint="eastAsia"/>
          <w:sz w:val="28"/>
          <w:szCs w:val="28"/>
        </w:rPr>
        <w:t>2</w:t>
      </w:r>
      <w:r>
        <w:rPr>
          <w:sz w:val="28"/>
          <w:szCs w:val="28"/>
        </w:rPr>
        <w:t>、</w:t>
      </w:r>
      <w:r>
        <w:rPr>
          <w:rFonts w:hint="eastAsia"/>
          <w:sz w:val="28"/>
          <w:szCs w:val="28"/>
        </w:rPr>
        <w:t>恢复植被</w:t>
      </w:r>
    </w:p>
    <w:p w14:paraId="63672C10">
      <w:pPr>
        <w:widowControl/>
        <w:spacing w:line="360" w:lineRule="auto"/>
        <w:ind w:firstLine="560" w:firstLineChars="200"/>
        <w:rPr>
          <w:sz w:val="28"/>
          <w:szCs w:val="28"/>
        </w:rPr>
      </w:pPr>
      <w:r>
        <w:rPr>
          <w:bCs/>
          <w:sz w:val="28"/>
          <w:szCs w:val="28"/>
        </w:rPr>
        <w:t>根据周边植被情况，设计恢复为</w:t>
      </w:r>
      <w:r>
        <w:rPr>
          <w:sz w:val="28"/>
          <w:szCs w:val="28"/>
        </w:rPr>
        <w:t>人工牧草地，恢复人工牧草地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，撒播羊草（备选披碱草），撒播草籽面积为</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p>
    <w:bookmarkEnd w:id="131"/>
    <w:bookmarkEnd w:id="133"/>
    <w:p w14:paraId="08125D26">
      <w:pPr>
        <w:spacing w:line="360" w:lineRule="auto"/>
        <w:ind w:firstLine="562" w:firstLineChars="200"/>
        <w:outlineLvl w:val="2"/>
        <w:rPr>
          <w:b/>
          <w:bCs/>
          <w:sz w:val="28"/>
          <w:szCs w:val="28"/>
        </w:rPr>
      </w:pPr>
      <w:bookmarkStart w:id="141" w:name="_Hlk219037154"/>
      <w:r>
        <w:rPr>
          <w:b/>
          <w:bCs/>
          <w:sz w:val="28"/>
          <w:szCs w:val="28"/>
        </w:rPr>
        <w:t>十</w:t>
      </w:r>
      <w:r>
        <w:rPr>
          <w:rFonts w:hint="eastAsia"/>
          <w:b/>
          <w:bCs/>
          <w:sz w:val="28"/>
          <w:szCs w:val="28"/>
        </w:rPr>
        <w:t>六</w:t>
      </w:r>
      <w:r>
        <w:rPr>
          <w:b/>
          <w:bCs/>
          <w:sz w:val="28"/>
          <w:szCs w:val="28"/>
        </w:rPr>
        <w:t>、工程量汇总</w:t>
      </w:r>
    </w:p>
    <w:p w14:paraId="438C2D88">
      <w:pPr>
        <w:widowControl/>
        <w:spacing w:line="360" w:lineRule="auto"/>
        <w:ind w:firstLine="560" w:firstLineChars="200"/>
        <w:rPr>
          <w:kern w:val="0"/>
          <w:sz w:val="28"/>
          <w:szCs w:val="28"/>
        </w:rPr>
      </w:pPr>
      <w:r>
        <w:rPr>
          <w:kern w:val="0"/>
          <w:sz w:val="28"/>
          <w:szCs w:val="28"/>
        </w:rPr>
        <w:t>各生态修复单元总工程量见表4-</w:t>
      </w:r>
      <w:r>
        <w:rPr>
          <w:rFonts w:hint="eastAsia"/>
          <w:kern w:val="0"/>
          <w:sz w:val="28"/>
          <w:szCs w:val="28"/>
        </w:rPr>
        <w:t>1</w:t>
      </w:r>
      <w:r>
        <w:rPr>
          <w:kern w:val="0"/>
          <w:sz w:val="28"/>
          <w:szCs w:val="28"/>
        </w:rPr>
        <w:t>。</w:t>
      </w:r>
    </w:p>
    <w:p w14:paraId="73BB931E">
      <w:pPr>
        <w:jc w:val="center"/>
      </w:pPr>
      <w:r>
        <w:rPr>
          <w:rFonts w:eastAsia="黑体"/>
          <w:sz w:val="24"/>
        </w:rPr>
        <w:t>表4-</w:t>
      </w:r>
      <w:r>
        <w:rPr>
          <w:rFonts w:hint="eastAsia" w:eastAsia="黑体"/>
          <w:sz w:val="24"/>
        </w:rPr>
        <w:t>1</w:t>
      </w:r>
      <w:r>
        <w:rPr>
          <w:rFonts w:eastAsia="黑体"/>
          <w:sz w:val="24"/>
        </w:rPr>
        <w:t xml:space="preserve">  </w:t>
      </w:r>
      <w:r>
        <w:rPr>
          <w:rFonts w:eastAsia="黑体"/>
          <w:sz w:val="24"/>
          <w:szCs w:val="24"/>
        </w:rPr>
        <w:t>各生态修复单元工程量汇总表</w:t>
      </w:r>
    </w:p>
    <w:p w14:paraId="7E07E87F"/>
    <w:p w14:paraId="106F410F"/>
    <w:bookmarkEnd w:id="141"/>
    <w:p w14:paraId="171F85BD">
      <w:pPr>
        <w:tabs>
          <w:tab w:val="left" w:pos="978"/>
        </w:tabs>
        <w:jc w:val="center"/>
        <w:rPr>
          <w:rFonts w:eastAsia="黑体"/>
          <w:bCs/>
          <w:sz w:val="32"/>
          <w:szCs w:val="32"/>
        </w:rPr>
      </w:pPr>
      <w:bookmarkStart w:id="142" w:name="_Toc144"/>
      <w:r>
        <w:rPr>
          <w:rFonts w:eastAsia="黑体"/>
          <w:bCs/>
          <w:sz w:val="32"/>
          <w:szCs w:val="32"/>
        </w:rPr>
        <w:t>第五章  监测与管护</w:t>
      </w:r>
      <w:bookmarkEnd w:id="142"/>
    </w:p>
    <w:p w14:paraId="2F5A5A5C">
      <w:pPr>
        <w:pStyle w:val="4"/>
        <w:spacing w:before="120" w:beforeLines="50"/>
        <w:rPr>
          <w:rFonts w:ascii="Times New Roman" w:hAnsi="Times New Roman"/>
        </w:rPr>
      </w:pPr>
      <w:bookmarkStart w:id="143" w:name="_Toc10523"/>
      <w:r>
        <w:rPr>
          <w:rFonts w:ascii="Times New Roman" w:hAnsi="Times New Roman"/>
        </w:rPr>
        <w:t>第一节  监测目标与措施</w:t>
      </w:r>
      <w:bookmarkEnd w:id="143"/>
    </w:p>
    <w:p w14:paraId="384945D4">
      <w:pPr>
        <w:pStyle w:val="5"/>
        <w:snapToGrid w:val="0"/>
        <w:spacing w:line="360" w:lineRule="auto"/>
        <w:ind w:firstLine="562" w:firstLineChars="200"/>
        <w:rPr>
          <w:rFonts w:ascii="Times New Roman"/>
          <w:b/>
          <w:bCs/>
          <w:sz w:val="28"/>
          <w:szCs w:val="24"/>
        </w:rPr>
      </w:pPr>
      <w:r>
        <w:rPr>
          <w:rFonts w:ascii="Times New Roman"/>
          <w:b/>
          <w:bCs/>
          <w:sz w:val="28"/>
          <w:szCs w:val="24"/>
        </w:rPr>
        <w:t>一、监测目标任务</w:t>
      </w:r>
    </w:p>
    <w:p w14:paraId="6E0897A6">
      <w:pPr>
        <w:widowControl/>
        <w:snapToGrid w:val="0"/>
        <w:spacing w:line="360" w:lineRule="auto"/>
        <w:ind w:firstLine="560" w:firstLineChars="200"/>
        <w:rPr>
          <w:kern w:val="0"/>
          <w:sz w:val="28"/>
          <w:szCs w:val="28"/>
        </w:rPr>
      </w:pPr>
      <w:r>
        <w:rPr>
          <w:kern w:val="0"/>
          <w:sz w:val="28"/>
          <w:szCs w:val="28"/>
        </w:rPr>
        <w:t>在矿产资源开采过程中，对矿山地质环境、土地资源、生态系统破坏等开展监测评价，为矿山土地复垦与生态修复的过程监管、适应性管理和验收提供科学依据。</w:t>
      </w:r>
    </w:p>
    <w:p w14:paraId="5AAEC000">
      <w:pPr>
        <w:pStyle w:val="6"/>
        <w:keepNext w:val="0"/>
        <w:keepLines w:val="0"/>
        <w:adjustRightInd/>
        <w:snapToGrid/>
        <w:ind w:firstLine="562"/>
        <w:rPr>
          <w:rFonts w:ascii="Times New Roman" w:hAnsi="Times New Roman"/>
          <w:bCs/>
          <w:sz w:val="28"/>
          <w:szCs w:val="24"/>
        </w:rPr>
      </w:pPr>
      <w:r>
        <w:rPr>
          <w:rFonts w:ascii="Times New Roman" w:hAnsi="Times New Roman"/>
          <w:bCs/>
          <w:sz w:val="28"/>
          <w:szCs w:val="24"/>
        </w:rPr>
        <w:t>（一）监测目标</w:t>
      </w:r>
    </w:p>
    <w:p w14:paraId="7D08B436">
      <w:pPr>
        <w:widowControl/>
        <w:spacing w:line="360" w:lineRule="auto"/>
        <w:ind w:firstLine="560" w:firstLineChars="200"/>
        <w:rPr>
          <w:kern w:val="0"/>
          <w:sz w:val="28"/>
          <w:szCs w:val="28"/>
        </w:rPr>
      </w:pPr>
      <w:r>
        <w:rPr>
          <w:kern w:val="0"/>
          <w:sz w:val="28"/>
          <w:szCs w:val="28"/>
        </w:rPr>
        <w:t>1、及时掌握</w:t>
      </w:r>
      <w:r>
        <w:rPr>
          <w:rFonts w:hint="eastAsia"/>
          <w:kern w:val="0"/>
          <w:sz w:val="28"/>
          <w:szCs w:val="28"/>
        </w:rPr>
        <w:t>露天采场</w:t>
      </w:r>
      <w:r>
        <w:rPr>
          <w:kern w:val="0"/>
          <w:sz w:val="28"/>
          <w:szCs w:val="28"/>
        </w:rPr>
        <w:t>崩塌滑坡发生情况、地下水水位及水质变化情况以等矿山地质环境问题。</w:t>
      </w:r>
    </w:p>
    <w:p w14:paraId="51F67141">
      <w:pPr>
        <w:widowControl/>
        <w:spacing w:line="360" w:lineRule="auto"/>
        <w:ind w:firstLine="560" w:firstLineChars="200"/>
        <w:rPr>
          <w:kern w:val="0"/>
          <w:sz w:val="28"/>
          <w:szCs w:val="28"/>
        </w:rPr>
      </w:pPr>
      <w:r>
        <w:rPr>
          <w:kern w:val="0"/>
          <w:sz w:val="28"/>
          <w:szCs w:val="28"/>
        </w:rPr>
        <w:t>2、根据地质环境监测结果收集分析数据，总结矿山地质环境问题在时间上和空间上的变化情况以及分布和发生的规律，为实施矿山地质环境有效监管提供基础资料和依据，根据具体问题制定矿山地质环境保护措施。</w:t>
      </w:r>
    </w:p>
    <w:p w14:paraId="7663AB58">
      <w:pPr>
        <w:widowControl/>
        <w:spacing w:line="360" w:lineRule="auto"/>
        <w:ind w:firstLine="560" w:firstLineChars="200"/>
        <w:rPr>
          <w:kern w:val="0"/>
          <w:sz w:val="28"/>
          <w:szCs w:val="28"/>
        </w:rPr>
      </w:pPr>
      <w:r>
        <w:rPr>
          <w:kern w:val="0"/>
          <w:sz w:val="28"/>
          <w:szCs w:val="28"/>
        </w:rPr>
        <w:t>3、对复垦责任范围内损毁的所有单元进行监测，及时反映土地损毁情况，为复垦工程的实施进度提供依据。</w:t>
      </w:r>
    </w:p>
    <w:p w14:paraId="68B13BEA">
      <w:pPr>
        <w:widowControl/>
        <w:spacing w:line="360" w:lineRule="auto"/>
        <w:ind w:firstLine="560" w:firstLineChars="200"/>
        <w:rPr>
          <w:kern w:val="0"/>
          <w:sz w:val="28"/>
          <w:szCs w:val="28"/>
        </w:rPr>
      </w:pPr>
      <w:r>
        <w:rPr>
          <w:kern w:val="0"/>
          <w:sz w:val="28"/>
          <w:szCs w:val="28"/>
        </w:rPr>
        <w:t>4、对复垦后的植被进行监测，发现复垦质量不达标区域，采取补救措施，保证复垦地类达到复垦质量要求。</w:t>
      </w:r>
    </w:p>
    <w:p w14:paraId="72545E0A">
      <w:pPr>
        <w:widowControl/>
        <w:spacing w:line="360" w:lineRule="auto"/>
        <w:ind w:firstLine="560" w:firstLineChars="200"/>
        <w:rPr>
          <w:kern w:val="0"/>
          <w:sz w:val="28"/>
          <w:szCs w:val="28"/>
        </w:rPr>
      </w:pPr>
      <w:r>
        <w:rPr>
          <w:kern w:val="0"/>
          <w:sz w:val="28"/>
          <w:szCs w:val="28"/>
        </w:rPr>
        <w:t>5、评价地质环境、生态环境现状，预测地质环境、生态环境问题的发展趋势。</w:t>
      </w:r>
    </w:p>
    <w:p w14:paraId="29A8A443">
      <w:pPr>
        <w:widowControl/>
        <w:spacing w:line="360" w:lineRule="auto"/>
        <w:ind w:firstLine="560" w:firstLineChars="200"/>
        <w:rPr>
          <w:kern w:val="0"/>
          <w:sz w:val="28"/>
          <w:szCs w:val="28"/>
        </w:rPr>
      </w:pPr>
      <w:r>
        <w:rPr>
          <w:kern w:val="0"/>
          <w:sz w:val="28"/>
          <w:szCs w:val="28"/>
        </w:rPr>
        <w:t>6、建立和完善矿山监测数据库及监测信息系统，实现矿山监测信息共享。</w:t>
      </w:r>
    </w:p>
    <w:p w14:paraId="45B27748">
      <w:pPr>
        <w:pStyle w:val="6"/>
        <w:keepNext w:val="0"/>
        <w:keepLines w:val="0"/>
        <w:adjustRightInd/>
        <w:snapToGrid/>
        <w:ind w:firstLine="562"/>
        <w:rPr>
          <w:rFonts w:ascii="Times New Roman" w:hAnsi="Times New Roman"/>
          <w:bCs/>
          <w:sz w:val="28"/>
          <w:szCs w:val="24"/>
        </w:rPr>
      </w:pPr>
      <w:r>
        <w:rPr>
          <w:rFonts w:ascii="Times New Roman" w:hAnsi="Times New Roman"/>
          <w:bCs/>
          <w:sz w:val="28"/>
          <w:szCs w:val="24"/>
        </w:rPr>
        <w:t>（二）监测任务</w:t>
      </w:r>
    </w:p>
    <w:p w14:paraId="6A96CFEF">
      <w:pPr>
        <w:widowControl/>
        <w:spacing w:line="360" w:lineRule="auto"/>
        <w:ind w:firstLine="560" w:firstLineChars="200"/>
        <w:rPr>
          <w:kern w:val="0"/>
          <w:sz w:val="28"/>
          <w:szCs w:val="28"/>
        </w:rPr>
      </w:pPr>
      <w:r>
        <w:rPr>
          <w:rFonts w:hint="eastAsia"/>
          <w:kern w:val="0"/>
          <w:sz w:val="28"/>
          <w:szCs w:val="28"/>
        </w:rPr>
        <w:t>1、确定监测因子，编制监测方案，布设监测网点，定期采集数据，及时掌握生态环境问题在时间和空间上的变化情况；</w:t>
      </w:r>
    </w:p>
    <w:p w14:paraId="36B3E84E">
      <w:pPr>
        <w:widowControl/>
        <w:spacing w:line="360" w:lineRule="auto"/>
        <w:ind w:firstLine="560" w:firstLineChars="200"/>
        <w:rPr>
          <w:kern w:val="0"/>
          <w:sz w:val="28"/>
          <w:szCs w:val="28"/>
        </w:rPr>
      </w:pPr>
      <w:r>
        <w:rPr>
          <w:rFonts w:hint="eastAsia"/>
          <w:kern w:val="0"/>
          <w:sz w:val="28"/>
          <w:szCs w:val="28"/>
        </w:rPr>
        <w:t>2、查明周边地下水环境和土壤环境背景，开展水环境监测、土壤环境监测；</w:t>
      </w:r>
    </w:p>
    <w:p w14:paraId="2EE3C211">
      <w:pPr>
        <w:widowControl/>
        <w:spacing w:line="360" w:lineRule="auto"/>
        <w:ind w:firstLine="560" w:firstLineChars="200"/>
        <w:rPr>
          <w:kern w:val="0"/>
          <w:sz w:val="28"/>
          <w:szCs w:val="28"/>
        </w:rPr>
      </w:pPr>
      <w:r>
        <w:rPr>
          <w:rFonts w:hint="eastAsia"/>
          <w:kern w:val="0"/>
          <w:sz w:val="28"/>
          <w:szCs w:val="28"/>
        </w:rPr>
        <w:t>3、查清矿区范围内土地利用现状、基本农田基本情况，各土地利用类型质量及生产力水平；</w:t>
      </w:r>
    </w:p>
    <w:p w14:paraId="7298D5D2">
      <w:pPr>
        <w:widowControl/>
        <w:spacing w:line="360" w:lineRule="auto"/>
        <w:ind w:firstLine="560" w:firstLineChars="200"/>
        <w:rPr>
          <w:kern w:val="0"/>
          <w:sz w:val="28"/>
          <w:szCs w:val="28"/>
        </w:rPr>
      </w:pPr>
      <w:r>
        <w:rPr>
          <w:rFonts w:hint="eastAsia"/>
          <w:kern w:val="0"/>
          <w:sz w:val="28"/>
          <w:szCs w:val="28"/>
        </w:rPr>
        <w:t>4、查清监测范围内植被生态状况；</w:t>
      </w:r>
    </w:p>
    <w:p w14:paraId="6C4FDCB6">
      <w:pPr>
        <w:widowControl/>
        <w:spacing w:line="360" w:lineRule="auto"/>
        <w:ind w:firstLine="560" w:firstLineChars="200"/>
        <w:rPr>
          <w:kern w:val="0"/>
          <w:sz w:val="28"/>
          <w:szCs w:val="28"/>
        </w:rPr>
      </w:pPr>
      <w:r>
        <w:rPr>
          <w:rFonts w:hint="eastAsia"/>
          <w:kern w:val="0"/>
          <w:sz w:val="28"/>
          <w:szCs w:val="28"/>
        </w:rPr>
        <w:t>5、获取矿山地质环境背景、土地资源现状和生态系统本底的基值和参照值，建设参照生态系统。</w:t>
      </w:r>
    </w:p>
    <w:p w14:paraId="4ED32309">
      <w:pPr>
        <w:widowControl/>
        <w:spacing w:line="360" w:lineRule="auto"/>
        <w:ind w:firstLine="560" w:firstLineChars="200"/>
        <w:rPr>
          <w:kern w:val="0"/>
          <w:sz w:val="28"/>
          <w:szCs w:val="28"/>
        </w:rPr>
      </w:pPr>
      <w:r>
        <w:rPr>
          <w:rFonts w:hint="eastAsia"/>
          <w:kern w:val="0"/>
          <w:sz w:val="28"/>
          <w:szCs w:val="28"/>
        </w:rPr>
        <w:t>6、评价矿山生态环境现状，预测发展趋势；</w:t>
      </w:r>
    </w:p>
    <w:p w14:paraId="14F3DFEC">
      <w:pPr>
        <w:widowControl/>
        <w:spacing w:line="360" w:lineRule="auto"/>
        <w:ind w:firstLine="560" w:firstLineChars="200"/>
        <w:rPr>
          <w:kern w:val="0"/>
          <w:sz w:val="28"/>
          <w:szCs w:val="28"/>
        </w:rPr>
      </w:pPr>
      <w:r>
        <w:rPr>
          <w:rFonts w:hint="eastAsia"/>
          <w:kern w:val="0"/>
          <w:sz w:val="28"/>
          <w:szCs w:val="28"/>
        </w:rPr>
        <w:t>7、建立和完善矿山生态环境监测数据库及监测信息系统。</w:t>
      </w:r>
    </w:p>
    <w:p w14:paraId="6AE2176E">
      <w:pPr>
        <w:pStyle w:val="5"/>
        <w:spacing w:line="360" w:lineRule="auto"/>
        <w:ind w:firstLine="562" w:firstLineChars="200"/>
        <w:rPr>
          <w:rFonts w:ascii="Times New Roman"/>
          <w:b/>
          <w:bCs/>
          <w:sz w:val="28"/>
          <w:szCs w:val="24"/>
        </w:rPr>
      </w:pPr>
      <w:r>
        <w:rPr>
          <w:rFonts w:ascii="Times New Roman"/>
          <w:b/>
          <w:bCs/>
          <w:sz w:val="28"/>
          <w:szCs w:val="24"/>
        </w:rPr>
        <w:t>二、监测设计</w:t>
      </w:r>
    </w:p>
    <w:p w14:paraId="7EA9C7B9">
      <w:pPr>
        <w:spacing w:line="360" w:lineRule="auto"/>
        <w:ind w:firstLine="562" w:firstLineChars="200"/>
        <w:rPr>
          <w:b/>
          <w:bCs/>
          <w:sz w:val="28"/>
          <w:szCs w:val="28"/>
        </w:rPr>
      </w:pPr>
      <w:r>
        <w:rPr>
          <w:b/>
          <w:bCs/>
          <w:sz w:val="28"/>
          <w:szCs w:val="28"/>
        </w:rPr>
        <w:t>（一）地质灾害监测</w:t>
      </w:r>
      <w:r>
        <w:rPr>
          <w:rFonts w:hint="eastAsia"/>
          <w:b/>
          <w:bCs/>
          <w:sz w:val="28"/>
          <w:szCs w:val="28"/>
        </w:rPr>
        <w:t>目标与监测措施</w:t>
      </w:r>
    </w:p>
    <w:p w14:paraId="526012A5">
      <w:pPr>
        <w:spacing w:line="360" w:lineRule="auto"/>
        <w:ind w:firstLine="560" w:firstLineChars="200"/>
        <w:rPr>
          <w:sz w:val="28"/>
          <w:szCs w:val="28"/>
        </w:rPr>
      </w:pPr>
      <w:r>
        <w:rPr>
          <w:rFonts w:hint="eastAsia"/>
          <w:sz w:val="28"/>
          <w:szCs w:val="28"/>
        </w:rPr>
        <w:t>根据矿山地质环境影响程度的现状和预测评估结果，该矿区各地面工程现状和预测地质灾害分布范围较小，在矿山严格按照设计进行采矿作业的情况下，地质灾害发生的可能性小，可能引发的主要地质灾害为：在矿山开采过程中，矿石在采出后，原岩应力平衡遭到损毁，使围岩发生变形、位移、开裂，当岩石移动达到极限时，围岩应力平衡遭到损毁即会发生崩塌、滑坡；因此本方案设计的地质灾害监测对象为拟建露天采场边坡、拟建排土场边坡、废石场1边坡、废石场2边坡。</w:t>
      </w:r>
    </w:p>
    <w:p w14:paraId="4AB82952">
      <w:pPr>
        <w:spacing w:line="360" w:lineRule="auto"/>
        <w:ind w:firstLine="560" w:firstLineChars="200"/>
        <w:rPr>
          <w:sz w:val="28"/>
          <w:szCs w:val="28"/>
        </w:rPr>
      </w:pPr>
      <w:r>
        <w:rPr>
          <w:rFonts w:hint="eastAsia"/>
          <w:sz w:val="28"/>
          <w:szCs w:val="28"/>
        </w:rPr>
        <w:t>①监测目标</w:t>
      </w:r>
    </w:p>
    <w:p w14:paraId="1615FF6A">
      <w:pPr>
        <w:spacing w:line="360" w:lineRule="auto"/>
        <w:ind w:firstLine="560" w:firstLineChars="200"/>
        <w:rPr>
          <w:sz w:val="28"/>
          <w:szCs w:val="28"/>
        </w:rPr>
      </w:pPr>
      <w:r>
        <w:rPr>
          <w:rFonts w:hint="eastAsia"/>
          <w:sz w:val="28"/>
          <w:szCs w:val="28"/>
        </w:rPr>
        <w:t>建立露天采场边坡岩移观测点，废石场不稳定边坡观测点；按岩层及地表移动观测规程要求，对受采动影响的地表及采场边坡移动变形情况进行监测。</w:t>
      </w:r>
    </w:p>
    <w:p w14:paraId="64F44A11">
      <w:pPr>
        <w:spacing w:line="360" w:lineRule="auto"/>
        <w:ind w:firstLine="560" w:firstLineChars="200"/>
        <w:rPr>
          <w:sz w:val="28"/>
          <w:szCs w:val="28"/>
        </w:rPr>
      </w:pPr>
      <w:r>
        <w:rPr>
          <w:rFonts w:hint="eastAsia"/>
          <w:sz w:val="28"/>
          <w:szCs w:val="28"/>
        </w:rPr>
        <w:t>②监测点的布设</w:t>
      </w:r>
    </w:p>
    <w:p w14:paraId="0ACA4FBC">
      <w:pPr>
        <w:spacing w:line="360" w:lineRule="auto"/>
        <w:ind w:firstLine="560" w:firstLineChars="200"/>
        <w:rPr>
          <w:sz w:val="28"/>
          <w:szCs w:val="28"/>
        </w:rPr>
      </w:pPr>
      <w:r>
        <w:rPr>
          <w:rFonts w:hint="eastAsia"/>
          <w:sz w:val="28"/>
          <w:szCs w:val="28"/>
        </w:rPr>
        <w:t>重点布设在未来开采使用的场地中，在拟建露天采场边坡外围布设10处监测点；在拟建排土场边坡、废石场1边坡、废石场2边坡的上缘布设不稳定边坡监测点。</w:t>
      </w:r>
    </w:p>
    <w:p w14:paraId="0E61A5CF">
      <w:pPr>
        <w:spacing w:line="360" w:lineRule="auto"/>
        <w:ind w:firstLine="560" w:firstLineChars="200"/>
        <w:rPr>
          <w:sz w:val="28"/>
          <w:szCs w:val="28"/>
        </w:rPr>
      </w:pPr>
      <w:r>
        <w:rPr>
          <w:rFonts w:hint="eastAsia"/>
          <w:sz w:val="28"/>
          <w:szCs w:val="28"/>
        </w:rPr>
        <w:t>地质灾害监测点坐标见表表5-1。</w:t>
      </w:r>
    </w:p>
    <w:p w14:paraId="5322A6C0">
      <w:pPr>
        <w:jc w:val="center"/>
        <w:rPr>
          <w:rFonts w:eastAsia="黑体"/>
          <w:sz w:val="24"/>
        </w:rPr>
      </w:pPr>
      <w:r>
        <w:rPr>
          <w:rFonts w:eastAsia="黑体"/>
          <w:sz w:val="24"/>
        </w:rPr>
        <w:t xml:space="preserve">表5-1  </w:t>
      </w:r>
      <w:r>
        <w:rPr>
          <w:rFonts w:hint="eastAsia" w:eastAsia="黑体"/>
          <w:sz w:val="24"/>
        </w:rPr>
        <w:t>崩塌、滑坡</w:t>
      </w:r>
      <w:r>
        <w:rPr>
          <w:rFonts w:eastAsia="黑体"/>
          <w:sz w:val="24"/>
        </w:rPr>
        <w:t>灾害监测点坐标表</w:t>
      </w:r>
      <w:r>
        <w:rPr>
          <w:rFonts w:hint="eastAsia" w:eastAsia="黑体"/>
          <w:sz w:val="24"/>
        </w:rPr>
        <w:t>（2000国家大地坐标系）</w:t>
      </w:r>
    </w:p>
    <w:p w14:paraId="7364088F">
      <w:pPr>
        <w:ind w:firstLine="300" w:firstLineChars="200"/>
        <w:rPr>
          <w:sz w:val="15"/>
          <w:szCs w:val="15"/>
        </w:rPr>
      </w:pPr>
    </w:p>
    <w:p w14:paraId="5FA95CF8">
      <w:pPr>
        <w:spacing w:line="360" w:lineRule="auto"/>
        <w:ind w:firstLine="560" w:firstLineChars="200"/>
        <w:rPr>
          <w:sz w:val="28"/>
          <w:szCs w:val="28"/>
        </w:rPr>
      </w:pPr>
      <w:r>
        <w:rPr>
          <w:rFonts w:hint="eastAsia"/>
          <w:sz w:val="28"/>
          <w:szCs w:val="28"/>
        </w:rPr>
        <w:t>③监测措施</w:t>
      </w:r>
    </w:p>
    <w:p w14:paraId="7F607C38">
      <w:pPr>
        <w:spacing w:line="360" w:lineRule="auto"/>
        <w:ind w:firstLine="560" w:firstLineChars="200"/>
        <w:rPr>
          <w:sz w:val="28"/>
          <w:szCs w:val="28"/>
        </w:rPr>
      </w:pPr>
      <w:r>
        <w:rPr>
          <w:rFonts w:hint="eastAsia"/>
          <w:sz w:val="28"/>
          <w:szCs w:val="28"/>
        </w:rPr>
        <w:t>建设“天空地一体”边坡监测系统，配备边坡监测雷达、GNSS监测点、深部位移监测系统和视频监控，辅以无人机巡视、人工测量、边坡日常巡视，并结合应急管理部门的要求进行监测。</w:t>
      </w:r>
    </w:p>
    <w:p w14:paraId="338A604A">
      <w:pPr>
        <w:spacing w:line="360" w:lineRule="auto"/>
        <w:ind w:firstLine="560" w:firstLineChars="200"/>
        <w:rPr>
          <w:sz w:val="28"/>
          <w:szCs w:val="28"/>
        </w:rPr>
      </w:pPr>
      <w:r>
        <w:rPr>
          <w:rFonts w:hint="eastAsia"/>
          <w:sz w:val="28"/>
          <w:szCs w:val="28"/>
        </w:rPr>
        <w:t>④监测频率</w:t>
      </w:r>
    </w:p>
    <w:p w14:paraId="5E9CB8BE">
      <w:pPr>
        <w:spacing w:line="360" w:lineRule="auto"/>
        <w:ind w:firstLine="560" w:firstLineChars="200"/>
        <w:rPr>
          <w:sz w:val="28"/>
          <w:szCs w:val="28"/>
        </w:rPr>
      </w:pPr>
      <w:r>
        <w:rPr>
          <w:rFonts w:hint="eastAsia"/>
          <w:sz w:val="28"/>
          <w:szCs w:val="28"/>
        </w:rPr>
        <w:t>正常情况下每月监测</w:t>
      </w:r>
      <w:r>
        <w:rPr>
          <w:rFonts w:hint="eastAsia" w:ascii="宋体" w:hAnsi="宋体" w:cs="宋体"/>
          <w:spacing w:val="13"/>
          <w:sz w:val="32"/>
          <w:szCs w:val="32"/>
        </w:rPr>
        <w:t>***</w:t>
      </w:r>
      <w:r>
        <w:rPr>
          <w:rFonts w:hint="eastAsia"/>
          <w:sz w:val="28"/>
          <w:szCs w:val="28"/>
        </w:rPr>
        <w:t>次，雨季时应每周</w:t>
      </w:r>
      <w:r>
        <w:rPr>
          <w:rFonts w:hint="eastAsia" w:ascii="宋体" w:hAnsi="宋体" w:cs="宋体"/>
          <w:spacing w:val="13"/>
          <w:sz w:val="32"/>
          <w:szCs w:val="32"/>
        </w:rPr>
        <w:t>***</w:t>
      </w:r>
      <w:r>
        <w:rPr>
          <w:rFonts w:hint="eastAsia"/>
          <w:sz w:val="28"/>
          <w:szCs w:val="28"/>
        </w:rPr>
        <w:t>次；根据实际情况，对于存在隐患的地段则应每天监测</w:t>
      </w:r>
      <w:r>
        <w:rPr>
          <w:rFonts w:hint="eastAsia" w:ascii="宋体" w:hAnsi="宋体" w:cs="宋体"/>
          <w:spacing w:val="13"/>
          <w:sz w:val="32"/>
          <w:szCs w:val="32"/>
        </w:rPr>
        <w:t>***</w:t>
      </w:r>
      <w:r>
        <w:rPr>
          <w:rFonts w:hint="eastAsia"/>
          <w:sz w:val="28"/>
          <w:szCs w:val="28"/>
        </w:rPr>
        <w:t>次，或者进行连续跟踪监测，确保及时预警崩塌、滑坡灾害的发生，避免人员财产的损失。</w:t>
      </w:r>
    </w:p>
    <w:p w14:paraId="3D684443">
      <w:pPr>
        <w:spacing w:line="360" w:lineRule="auto"/>
        <w:ind w:firstLine="560" w:firstLineChars="200"/>
        <w:rPr>
          <w:sz w:val="28"/>
          <w:szCs w:val="28"/>
        </w:rPr>
      </w:pPr>
      <w:r>
        <w:rPr>
          <w:rFonts w:hint="eastAsia"/>
          <w:sz w:val="28"/>
          <w:szCs w:val="28"/>
        </w:rPr>
        <w:t>⑤技术要求</w:t>
      </w:r>
    </w:p>
    <w:p w14:paraId="640FA61D">
      <w:pPr>
        <w:spacing w:line="360" w:lineRule="auto"/>
        <w:ind w:firstLine="560" w:firstLineChars="200"/>
        <w:rPr>
          <w:sz w:val="28"/>
          <w:szCs w:val="28"/>
        </w:rPr>
      </w:pPr>
      <w:r>
        <w:rPr>
          <w:rFonts w:hint="eastAsia"/>
          <w:sz w:val="28"/>
          <w:szCs w:val="28"/>
        </w:rPr>
        <w:t>根据矿山实际生产情况，在开采过程中的采场边坡进行稳定性监测，实时监测边坡的变化情况，监测记录样表见表5-2。</w:t>
      </w:r>
    </w:p>
    <w:p w14:paraId="47649654">
      <w:pPr>
        <w:spacing w:line="360" w:lineRule="auto"/>
        <w:ind w:firstLine="560" w:firstLineChars="200"/>
        <w:rPr>
          <w:sz w:val="28"/>
          <w:szCs w:val="28"/>
        </w:rPr>
      </w:pPr>
    </w:p>
    <w:p w14:paraId="78E7EEA7">
      <w:pPr>
        <w:spacing w:line="360" w:lineRule="auto"/>
        <w:ind w:firstLine="560" w:firstLineChars="200"/>
        <w:rPr>
          <w:sz w:val="28"/>
          <w:szCs w:val="28"/>
        </w:rPr>
      </w:pPr>
    </w:p>
    <w:p w14:paraId="74BB6A36">
      <w:pPr>
        <w:spacing w:line="360" w:lineRule="auto"/>
        <w:ind w:firstLine="560" w:firstLineChars="200"/>
        <w:rPr>
          <w:sz w:val="28"/>
          <w:szCs w:val="28"/>
        </w:rPr>
      </w:pPr>
    </w:p>
    <w:p w14:paraId="54E68909">
      <w:pPr>
        <w:jc w:val="center"/>
        <w:rPr>
          <w:sz w:val="28"/>
          <w:szCs w:val="28"/>
        </w:rPr>
      </w:pPr>
      <w:r>
        <w:rPr>
          <w:rFonts w:eastAsia="黑体"/>
          <w:sz w:val="24"/>
          <w:szCs w:val="24"/>
        </w:rPr>
        <w:t>表5-2  崩塌</w:t>
      </w:r>
      <w:r>
        <w:rPr>
          <w:rFonts w:hint="eastAsia" w:eastAsia="黑体"/>
          <w:sz w:val="24"/>
          <w:szCs w:val="24"/>
        </w:rPr>
        <w:t>、滑坡</w:t>
      </w:r>
      <w:r>
        <w:rPr>
          <w:rFonts w:eastAsia="黑体"/>
          <w:sz w:val="24"/>
          <w:szCs w:val="24"/>
        </w:rPr>
        <w:t>地质灾害监测记录表</w:t>
      </w:r>
    </w:p>
    <w:tbl>
      <w:tblPr>
        <w:tblStyle w:val="76"/>
        <w:tblW w:w="48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5"/>
        <w:gridCol w:w="1649"/>
        <w:gridCol w:w="2752"/>
        <w:gridCol w:w="2164"/>
      </w:tblGrid>
      <w:tr w14:paraId="424B3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5" w:type="pct"/>
            <w:gridSpan w:val="2"/>
            <w:vAlign w:val="center"/>
          </w:tcPr>
          <w:p w14:paraId="2B23FC02">
            <w:pPr>
              <w:pStyle w:val="64"/>
              <w:jc w:val="left"/>
              <w:rPr>
                <w:rFonts w:eastAsia="宋体"/>
                <w:sz w:val="21"/>
                <w:szCs w:val="21"/>
              </w:rPr>
            </w:pPr>
            <w:r>
              <w:rPr>
                <w:rFonts w:eastAsia="宋体"/>
                <w:sz w:val="21"/>
                <w:szCs w:val="21"/>
              </w:rPr>
              <w:t>监测日期</w:t>
            </w:r>
          </w:p>
        </w:tc>
        <w:tc>
          <w:tcPr>
            <w:tcW w:w="1716" w:type="pct"/>
            <w:vAlign w:val="center"/>
          </w:tcPr>
          <w:p w14:paraId="1E87951F">
            <w:pPr>
              <w:pStyle w:val="64"/>
              <w:jc w:val="left"/>
              <w:rPr>
                <w:rFonts w:eastAsia="宋体"/>
                <w:sz w:val="21"/>
                <w:szCs w:val="21"/>
              </w:rPr>
            </w:pPr>
            <w:r>
              <w:rPr>
                <w:rFonts w:eastAsia="宋体"/>
                <w:sz w:val="21"/>
                <w:szCs w:val="21"/>
              </w:rPr>
              <w:t>星期</w:t>
            </w:r>
          </w:p>
        </w:tc>
        <w:tc>
          <w:tcPr>
            <w:tcW w:w="1347" w:type="pct"/>
            <w:vAlign w:val="center"/>
          </w:tcPr>
          <w:p w14:paraId="5270892C">
            <w:pPr>
              <w:pStyle w:val="64"/>
              <w:jc w:val="left"/>
              <w:rPr>
                <w:rFonts w:eastAsia="宋体"/>
                <w:sz w:val="21"/>
                <w:szCs w:val="21"/>
              </w:rPr>
            </w:pPr>
            <w:r>
              <w:rPr>
                <w:rFonts w:eastAsia="宋体"/>
                <w:sz w:val="21"/>
                <w:szCs w:val="21"/>
              </w:rPr>
              <w:t>天气</w:t>
            </w:r>
          </w:p>
        </w:tc>
      </w:tr>
      <w:tr w14:paraId="52B0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7" w:type="pct"/>
            <w:vAlign w:val="center"/>
          </w:tcPr>
          <w:p w14:paraId="5BB0E0BE">
            <w:pPr>
              <w:pStyle w:val="64"/>
              <w:jc w:val="left"/>
              <w:rPr>
                <w:rFonts w:eastAsia="宋体"/>
                <w:sz w:val="21"/>
                <w:szCs w:val="21"/>
              </w:rPr>
            </w:pPr>
            <w:r>
              <w:rPr>
                <w:rFonts w:eastAsia="宋体"/>
                <w:sz w:val="21"/>
                <w:szCs w:val="21"/>
              </w:rPr>
              <w:t>监测单元</w:t>
            </w:r>
          </w:p>
        </w:tc>
        <w:tc>
          <w:tcPr>
            <w:tcW w:w="4092" w:type="pct"/>
            <w:gridSpan w:val="3"/>
            <w:vAlign w:val="center"/>
          </w:tcPr>
          <w:p w14:paraId="2BAACE10">
            <w:pPr>
              <w:pStyle w:val="64"/>
              <w:rPr>
                <w:rFonts w:eastAsia="宋体"/>
                <w:sz w:val="21"/>
                <w:szCs w:val="21"/>
              </w:rPr>
            </w:pPr>
          </w:p>
        </w:tc>
      </w:tr>
      <w:tr w14:paraId="5CD8A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7" w:type="pct"/>
            <w:vAlign w:val="center"/>
          </w:tcPr>
          <w:p w14:paraId="46A34BB4">
            <w:pPr>
              <w:pStyle w:val="64"/>
              <w:jc w:val="left"/>
              <w:rPr>
                <w:rFonts w:eastAsia="宋体"/>
                <w:sz w:val="21"/>
                <w:szCs w:val="21"/>
              </w:rPr>
            </w:pPr>
            <w:r>
              <w:rPr>
                <w:rFonts w:eastAsia="宋体"/>
                <w:sz w:val="21"/>
                <w:szCs w:val="21"/>
              </w:rPr>
              <w:t>监测内容</w:t>
            </w:r>
          </w:p>
        </w:tc>
        <w:tc>
          <w:tcPr>
            <w:tcW w:w="4092" w:type="pct"/>
            <w:gridSpan w:val="3"/>
            <w:vAlign w:val="center"/>
          </w:tcPr>
          <w:p w14:paraId="019C1B86">
            <w:pPr>
              <w:pStyle w:val="64"/>
              <w:rPr>
                <w:rFonts w:eastAsia="宋体"/>
                <w:sz w:val="21"/>
                <w:szCs w:val="21"/>
              </w:rPr>
            </w:pPr>
          </w:p>
        </w:tc>
      </w:tr>
      <w:tr w14:paraId="300F9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vAlign w:val="center"/>
          </w:tcPr>
          <w:p w14:paraId="7DF4B6A3">
            <w:pPr>
              <w:pStyle w:val="64"/>
              <w:jc w:val="left"/>
              <w:rPr>
                <w:rFonts w:eastAsia="宋体"/>
                <w:sz w:val="21"/>
                <w:szCs w:val="21"/>
              </w:rPr>
            </w:pPr>
            <w:r>
              <w:rPr>
                <w:rFonts w:eastAsia="宋体"/>
                <w:sz w:val="21"/>
                <w:szCs w:val="21"/>
              </w:rPr>
              <w:t>监测情况：</w:t>
            </w:r>
          </w:p>
        </w:tc>
      </w:tr>
      <w:tr w14:paraId="2477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7" w:type="pct"/>
            <w:vAlign w:val="center"/>
          </w:tcPr>
          <w:p w14:paraId="60950BE8">
            <w:pPr>
              <w:pStyle w:val="64"/>
              <w:jc w:val="left"/>
              <w:rPr>
                <w:rFonts w:eastAsia="宋体"/>
                <w:sz w:val="21"/>
                <w:szCs w:val="21"/>
              </w:rPr>
            </w:pPr>
            <w:r>
              <w:rPr>
                <w:rFonts w:eastAsia="宋体"/>
                <w:sz w:val="21"/>
                <w:szCs w:val="21"/>
              </w:rPr>
              <w:t>存在问题</w:t>
            </w:r>
          </w:p>
        </w:tc>
        <w:tc>
          <w:tcPr>
            <w:tcW w:w="4092" w:type="pct"/>
            <w:gridSpan w:val="3"/>
            <w:vAlign w:val="center"/>
          </w:tcPr>
          <w:p w14:paraId="50F6BB2A">
            <w:pPr>
              <w:pStyle w:val="64"/>
              <w:rPr>
                <w:rFonts w:eastAsia="宋体"/>
                <w:sz w:val="21"/>
                <w:szCs w:val="21"/>
              </w:rPr>
            </w:pPr>
          </w:p>
        </w:tc>
      </w:tr>
      <w:tr w14:paraId="70336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7" w:type="pct"/>
            <w:vAlign w:val="center"/>
          </w:tcPr>
          <w:p w14:paraId="0AE2AB60">
            <w:pPr>
              <w:pStyle w:val="64"/>
              <w:jc w:val="left"/>
              <w:rPr>
                <w:rFonts w:eastAsia="宋体"/>
                <w:sz w:val="21"/>
                <w:szCs w:val="21"/>
              </w:rPr>
            </w:pPr>
            <w:r>
              <w:rPr>
                <w:rFonts w:eastAsia="宋体"/>
                <w:sz w:val="21"/>
                <w:szCs w:val="21"/>
              </w:rPr>
              <w:t>处理意见</w:t>
            </w:r>
          </w:p>
        </w:tc>
        <w:tc>
          <w:tcPr>
            <w:tcW w:w="4092" w:type="pct"/>
            <w:gridSpan w:val="3"/>
            <w:vAlign w:val="center"/>
          </w:tcPr>
          <w:p w14:paraId="34D52684">
            <w:pPr>
              <w:pStyle w:val="64"/>
              <w:rPr>
                <w:rFonts w:eastAsia="宋体"/>
                <w:sz w:val="21"/>
                <w:szCs w:val="21"/>
              </w:rPr>
            </w:pPr>
          </w:p>
        </w:tc>
      </w:tr>
      <w:tr w14:paraId="32B86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7" w:type="pct"/>
            <w:vAlign w:val="center"/>
          </w:tcPr>
          <w:p w14:paraId="7F4EFC2F">
            <w:pPr>
              <w:pStyle w:val="64"/>
              <w:jc w:val="left"/>
              <w:rPr>
                <w:rFonts w:eastAsia="宋体"/>
                <w:sz w:val="21"/>
                <w:szCs w:val="21"/>
              </w:rPr>
            </w:pPr>
            <w:r>
              <w:rPr>
                <w:rFonts w:eastAsia="宋体"/>
                <w:sz w:val="21"/>
                <w:szCs w:val="21"/>
              </w:rPr>
              <w:t>处理结果</w:t>
            </w:r>
          </w:p>
        </w:tc>
        <w:tc>
          <w:tcPr>
            <w:tcW w:w="4092" w:type="pct"/>
            <w:gridSpan w:val="3"/>
            <w:vAlign w:val="center"/>
          </w:tcPr>
          <w:p w14:paraId="142D8E4A">
            <w:pPr>
              <w:pStyle w:val="64"/>
              <w:rPr>
                <w:rFonts w:eastAsia="宋体"/>
                <w:sz w:val="21"/>
                <w:szCs w:val="21"/>
              </w:rPr>
            </w:pPr>
          </w:p>
        </w:tc>
      </w:tr>
      <w:tr w14:paraId="0DB1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7" w:type="pct"/>
            <w:vAlign w:val="center"/>
          </w:tcPr>
          <w:p w14:paraId="6649FB9C">
            <w:pPr>
              <w:pStyle w:val="64"/>
              <w:jc w:val="left"/>
              <w:rPr>
                <w:rFonts w:eastAsia="宋体"/>
                <w:sz w:val="21"/>
                <w:szCs w:val="21"/>
              </w:rPr>
            </w:pPr>
            <w:r>
              <w:rPr>
                <w:rFonts w:eastAsia="宋体"/>
                <w:sz w:val="21"/>
                <w:szCs w:val="21"/>
              </w:rPr>
              <w:t>监测人员</w:t>
            </w:r>
          </w:p>
        </w:tc>
        <w:tc>
          <w:tcPr>
            <w:tcW w:w="4092" w:type="pct"/>
            <w:gridSpan w:val="3"/>
            <w:vAlign w:val="center"/>
          </w:tcPr>
          <w:p w14:paraId="3F46798C">
            <w:pPr>
              <w:pStyle w:val="64"/>
              <w:rPr>
                <w:rFonts w:eastAsia="宋体"/>
                <w:sz w:val="21"/>
                <w:szCs w:val="21"/>
              </w:rPr>
            </w:pPr>
          </w:p>
        </w:tc>
      </w:tr>
    </w:tbl>
    <w:p w14:paraId="769CA054">
      <w:pPr>
        <w:rPr>
          <w:sz w:val="18"/>
          <w:szCs w:val="18"/>
        </w:rPr>
      </w:pPr>
    </w:p>
    <w:p w14:paraId="71BFAE8C">
      <w:pPr>
        <w:spacing w:line="360" w:lineRule="auto"/>
        <w:ind w:firstLine="560" w:firstLineChars="200"/>
        <w:rPr>
          <w:sz w:val="28"/>
          <w:szCs w:val="28"/>
        </w:rPr>
      </w:pPr>
      <w:r>
        <w:rPr>
          <w:rFonts w:hint="eastAsia"/>
          <w:sz w:val="28"/>
          <w:szCs w:val="28"/>
        </w:rPr>
        <w:t>⑥监测时限</w:t>
      </w:r>
    </w:p>
    <w:p w14:paraId="619830C3">
      <w:pPr>
        <w:spacing w:line="360" w:lineRule="auto"/>
        <w:ind w:firstLine="560" w:firstLineChars="200"/>
        <w:rPr>
          <w:sz w:val="28"/>
          <w:szCs w:val="28"/>
        </w:rPr>
      </w:pPr>
      <w:r>
        <w:rPr>
          <w:rFonts w:hint="eastAsia"/>
          <w:sz w:val="28"/>
          <w:szCs w:val="28"/>
        </w:rPr>
        <w:t>矿山生产期间和综合治理期内，即</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月至</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w:t>
      </w:r>
    </w:p>
    <w:p w14:paraId="26938514">
      <w:pPr>
        <w:spacing w:line="360" w:lineRule="auto"/>
        <w:ind w:firstLine="578" w:firstLineChars="200"/>
        <w:rPr>
          <w:b/>
          <w:spacing w:val="4"/>
          <w:sz w:val="28"/>
          <w:szCs w:val="28"/>
        </w:rPr>
      </w:pPr>
      <w:r>
        <w:rPr>
          <w:rFonts w:hint="eastAsia"/>
          <w:b/>
          <w:spacing w:val="4"/>
          <w:sz w:val="28"/>
          <w:szCs w:val="28"/>
        </w:rPr>
        <w:t>（二）</w:t>
      </w:r>
      <w:r>
        <w:rPr>
          <w:b/>
          <w:spacing w:val="4"/>
          <w:sz w:val="28"/>
          <w:szCs w:val="28"/>
        </w:rPr>
        <w:t>地形地貌景观及土地资源监测</w:t>
      </w:r>
      <w:r>
        <w:rPr>
          <w:rFonts w:hint="eastAsia"/>
          <w:b/>
          <w:spacing w:val="4"/>
          <w:sz w:val="28"/>
          <w:szCs w:val="28"/>
        </w:rPr>
        <w:t>目标与监测措施</w:t>
      </w:r>
    </w:p>
    <w:p w14:paraId="04651AC0">
      <w:pPr>
        <w:spacing w:line="360" w:lineRule="auto"/>
        <w:ind w:firstLine="576" w:firstLineChars="200"/>
        <w:rPr>
          <w:bCs/>
          <w:spacing w:val="4"/>
          <w:sz w:val="28"/>
          <w:szCs w:val="28"/>
        </w:rPr>
      </w:pPr>
      <w:r>
        <w:rPr>
          <w:bCs/>
          <w:spacing w:val="4"/>
          <w:sz w:val="28"/>
          <w:szCs w:val="28"/>
        </w:rPr>
        <w:t>（1）监测</w:t>
      </w:r>
      <w:r>
        <w:rPr>
          <w:rFonts w:hint="eastAsia"/>
          <w:bCs/>
          <w:spacing w:val="4"/>
          <w:sz w:val="28"/>
          <w:szCs w:val="28"/>
        </w:rPr>
        <w:t>目标</w:t>
      </w:r>
    </w:p>
    <w:p w14:paraId="35BFD9FE">
      <w:pPr>
        <w:spacing w:line="360" w:lineRule="auto"/>
        <w:ind w:firstLine="576" w:firstLineChars="200"/>
        <w:rPr>
          <w:bCs/>
          <w:spacing w:val="4"/>
          <w:sz w:val="28"/>
          <w:szCs w:val="28"/>
        </w:rPr>
      </w:pPr>
      <w:r>
        <w:rPr>
          <w:bCs/>
          <w:spacing w:val="4"/>
          <w:sz w:val="28"/>
          <w:szCs w:val="28"/>
        </w:rPr>
        <w:t>开采过程中对矿区内地貌景观及土地资源进行监测。</w:t>
      </w:r>
      <w:r>
        <w:rPr>
          <w:bCs/>
          <w:sz w:val="28"/>
          <w:szCs w:val="28"/>
        </w:rPr>
        <w:t>主要为挖损、压占破坏土地资源，影响地形地貌景观情况，随时掌握影响状况，制定相应对策。</w:t>
      </w:r>
    </w:p>
    <w:p w14:paraId="1C1ABF7D">
      <w:pPr>
        <w:spacing w:line="360" w:lineRule="auto"/>
        <w:ind w:firstLine="576" w:firstLineChars="200"/>
        <w:rPr>
          <w:bCs/>
          <w:spacing w:val="4"/>
          <w:sz w:val="28"/>
          <w:szCs w:val="28"/>
        </w:rPr>
      </w:pPr>
      <w:r>
        <w:rPr>
          <w:bCs/>
          <w:spacing w:val="4"/>
          <w:sz w:val="28"/>
          <w:szCs w:val="28"/>
        </w:rPr>
        <w:t>（2）监测</w:t>
      </w:r>
      <w:r>
        <w:rPr>
          <w:rFonts w:hint="eastAsia"/>
          <w:bCs/>
          <w:spacing w:val="4"/>
          <w:sz w:val="28"/>
          <w:szCs w:val="28"/>
        </w:rPr>
        <w:t>措施</w:t>
      </w:r>
    </w:p>
    <w:p w14:paraId="4930EC8F">
      <w:pPr>
        <w:spacing w:line="360" w:lineRule="auto"/>
        <w:ind w:firstLine="560" w:firstLineChars="200"/>
        <w:rPr>
          <w:bCs/>
          <w:sz w:val="28"/>
          <w:szCs w:val="28"/>
        </w:rPr>
      </w:pPr>
      <w:r>
        <w:rPr>
          <w:bCs/>
          <w:sz w:val="28"/>
          <w:szCs w:val="28"/>
        </w:rPr>
        <w:t>在矿区范围周边设置一条监测路线。采用人工巡查方式、小型无人机对地形地貌进行监测，在采矿过程中安全员随时监测。将历次照片进行对比分析地形地貌是否有变化，并采取必要的处理措施。</w:t>
      </w:r>
    </w:p>
    <w:p w14:paraId="74F01518">
      <w:pPr>
        <w:spacing w:line="360" w:lineRule="auto"/>
        <w:ind w:firstLine="560" w:firstLineChars="200"/>
        <w:rPr>
          <w:bCs/>
          <w:sz w:val="28"/>
          <w:szCs w:val="28"/>
        </w:rPr>
      </w:pPr>
      <w:r>
        <w:rPr>
          <w:bCs/>
          <w:sz w:val="28"/>
          <w:szCs w:val="28"/>
        </w:rPr>
        <w:t>根据《矿山地质环境监测技术规程》（DZ/T0287-2015），本方案采用定期无人机航测（地面分辨率小于</w:t>
      </w:r>
      <w:r>
        <w:rPr>
          <w:rFonts w:hint="eastAsia" w:ascii="宋体" w:hAnsi="宋体" w:cs="宋体"/>
          <w:spacing w:val="13"/>
          <w:sz w:val="32"/>
          <w:szCs w:val="32"/>
        </w:rPr>
        <w:t>***</w:t>
      </w:r>
      <w:r>
        <w:rPr>
          <w:bCs/>
          <w:sz w:val="28"/>
          <w:szCs w:val="28"/>
        </w:rPr>
        <w:t>cm）方式。定期指定专人采用人工监测、巡查的方式对矿山开采活动影响地段的地形地貌景观及土地损毁情况进行监测，防止矿山开采乱采乱挖以及废弃物的随意堆放。可根据样表5-</w:t>
      </w:r>
      <w:r>
        <w:rPr>
          <w:rFonts w:hint="eastAsia"/>
          <w:bCs/>
          <w:sz w:val="28"/>
          <w:szCs w:val="28"/>
        </w:rPr>
        <w:t>3</w:t>
      </w:r>
      <w:r>
        <w:rPr>
          <w:bCs/>
          <w:sz w:val="28"/>
          <w:szCs w:val="28"/>
        </w:rPr>
        <w:t>记录监测情况。</w:t>
      </w:r>
    </w:p>
    <w:p w14:paraId="3966302E">
      <w:pPr>
        <w:spacing w:line="360" w:lineRule="auto"/>
        <w:ind w:firstLine="560" w:firstLineChars="200"/>
        <w:rPr>
          <w:bCs/>
          <w:sz w:val="28"/>
          <w:szCs w:val="28"/>
        </w:rPr>
      </w:pPr>
    </w:p>
    <w:p w14:paraId="2053354C">
      <w:pPr>
        <w:spacing w:line="360" w:lineRule="auto"/>
        <w:ind w:firstLine="560" w:firstLineChars="200"/>
        <w:rPr>
          <w:bCs/>
          <w:sz w:val="28"/>
          <w:szCs w:val="28"/>
        </w:rPr>
      </w:pPr>
    </w:p>
    <w:p w14:paraId="33305D42">
      <w:pPr>
        <w:spacing w:line="360" w:lineRule="auto"/>
        <w:ind w:firstLine="560" w:firstLineChars="200"/>
        <w:rPr>
          <w:sz w:val="28"/>
          <w:szCs w:val="28"/>
        </w:rPr>
      </w:pPr>
    </w:p>
    <w:p w14:paraId="61766CBD">
      <w:pPr>
        <w:pStyle w:val="115"/>
        <w:rPr>
          <w:rFonts w:ascii="Times New Roman" w:hAnsi="Times New Roman" w:eastAsia="黑体" w:cs="Times New Roman"/>
          <w:sz w:val="24"/>
          <w:szCs w:val="24"/>
        </w:rPr>
      </w:pPr>
      <w:r>
        <w:rPr>
          <w:rFonts w:ascii="Times New Roman" w:hAnsi="Times New Roman" w:eastAsia="黑体" w:cs="Times New Roman"/>
          <w:sz w:val="24"/>
          <w:szCs w:val="24"/>
        </w:rPr>
        <w:t>表5-</w:t>
      </w:r>
      <w:r>
        <w:rPr>
          <w:rFonts w:hint="eastAsia" w:ascii="Times New Roman" w:hAnsi="Times New Roman" w:eastAsia="黑体" w:cs="Times New Roman"/>
          <w:sz w:val="24"/>
          <w:szCs w:val="24"/>
        </w:rPr>
        <w:t>3</w:t>
      </w:r>
      <w:r>
        <w:rPr>
          <w:rFonts w:ascii="Times New Roman" w:hAnsi="Times New Roman" w:eastAsia="黑体" w:cs="Times New Roman"/>
          <w:sz w:val="24"/>
          <w:szCs w:val="24"/>
        </w:rPr>
        <w:t xml:space="preserve">  地形地貌景观及土地资源监测记录表</w:t>
      </w:r>
    </w:p>
    <w:p w14:paraId="17367E9B">
      <w:pPr>
        <w:pStyle w:val="115"/>
        <w:jc w:val="both"/>
        <w:rPr>
          <w:rFonts w:ascii="Times New Roman" w:hAnsi="Times New Roman" w:cs="Times New Roman"/>
          <w:b/>
          <w:bCs/>
          <w:sz w:val="24"/>
          <w:szCs w:val="24"/>
        </w:rPr>
      </w:pPr>
      <w:r>
        <w:rPr>
          <w:rFonts w:ascii="Times New Roman" w:hAnsi="Times New Roman" w:cs="Times New Roman"/>
          <w:b/>
          <w:bCs/>
          <w:sz w:val="24"/>
          <w:szCs w:val="24"/>
        </w:rPr>
        <w:t xml:space="preserve">时间：  年   月   日        星期              天气：     </w:t>
      </w:r>
    </w:p>
    <w:tbl>
      <w:tblPr>
        <w:tblStyle w:val="7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895"/>
        <w:gridCol w:w="1314"/>
        <w:gridCol w:w="5423"/>
      </w:tblGrid>
      <w:tr w14:paraId="3A51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6" w:type="dxa"/>
            <w:gridSpan w:val="3"/>
            <w:vAlign w:val="center"/>
          </w:tcPr>
          <w:p w14:paraId="20A3C206">
            <w:pPr>
              <w:jc w:val="center"/>
              <w:rPr>
                <w:szCs w:val="21"/>
              </w:rPr>
            </w:pPr>
            <w:r>
              <w:rPr>
                <w:szCs w:val="21"/>
              </w:rPr>
              <w:t>监测单元</w:t>
            </w:r>
          </w:p>
        </w:tc>
        <w:tc>
          <w:tcPr>
            <w:tcW w:w="5423" w:type="dxa"/>
            <w:vAlign w:val="center"/>
          </w:tcPr>
          <w:p w14:paraId="45571F1F">
            <w:pPr>
              <w:jc w:val="center"/>
              <w:rPr>
                <w:szCs w:val="21"/>
              </w:rPr>
            </w:pPr>
          </w:p>
        </w:tc>
      </w:tr>
      <w:tr w14:paraId="4AB9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7" w:type="dxa"/>
            <w:vMerge w:val="restart"/>
            <w:vAlign w:val="center"/>
          </w:tcPr>
          <w:p w14:paraId="6B234D0D">
            <w:pPr>
              <w:jc w:val="center"/>
              <w:rPr>
                <w:szCs w:val="21"/>
              </w:rPr>
            </w:pPr>
            <w:r>
              <w:rPr>
                <w:szCs w:val="21"/>
              </w:rPr>
              <w:t>监测内容</w:t>
            </w:r>
          </w:p>
        </w:tc>
        <w:tc>
          <w:tcPr>
            <w:tcW w:w="2209" w:type="dxa"/>
            <w:gridSpan w:val="2"/>
            <w:vAlign w:val="center"/>
          </w:tcPr>
          <w:p w14:paraId="444FCCE8">
            <w:pPr>
              <w:jc w:val="center"/>
              <w:rPr>
                <w:szCs w:val="21"/>
              </w:rPr>
            </w:pPr>
            <w:r>
              <w:rPr>
                <w:szCs w:val="21"/>
              </w:rPr>
              <w:t>损毁土地面积（m</w:t>
            </w:r>
            <w:r>
              <w:rPr>
                <w:szCs w:val="21"/>
                <w:vertAlign w:val="superscript"/>
              </w:rPr>
              <w:t>2</w:t>
            </w:r>
            <w:r>
              <w:rPr>
                <w:szCs w:val="21"/>
              </w:rPr>
              <w:t>）</w:t>
            </w:r>
          </w:p>
        </w:tc>
        <w:tc>
          <w:tcPr>
            <w:tcW w:w="5423" w:type="dxa"/>
            <w:vAlign w:val="center"/>
          </w:tcPr>
          <w:p w14:paraId="4474AA63">
            <w:pPr>
              <w:jc w:val="center"/>
              <w:rPr>
                <w:szCs w:val="21"/>
              </w:rPr>
            </w:pPr>
          </w:p>
        </w:tc>
      </w:tr>
      <w:tr w14:paraId="724A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7" w:type="dxa"/>
            <w:vMerge w:val="continue"/>
            <w:vAlign w:val="center"/>
          </w:tcPr>
          <w:p w14:paraId="4541B52D">
            <w:pPr>
              <w:jc w:val="center"/>
              <w:rPr>
                <w:szCs w:val="21"/>
              </w:rPr>
            </w:pPr>
          </w:p>
        </w:tc>
        <w:tc>
          <w:tcPr>
            <w:tcW w:w="2209" w:type="dxa"/>
            <w:gridSpan w:val="2"/>
            <w:vAlign w:val="center"/>
          </w:tcPr>
          <w:p w14:paraId="04D04BA1">
            <w:pPr>
              <w:jc w:val="center"/>
              <w:rPr>
                <w:szCs w:val="21"/>
              </w:rPr>
            </w:pPr>
            <w:r>
              <w:rPr>
                <w:szCs w:val="21"/>
              </w:rPr>
              <w:t>破坏土地利用类型</w:t>
            </w:r>
          </w:p>
        </w:tc>
        <w:tc>
          <w:tcPr>
            <w:tcW w:w="5423" w:type="dxa"/>
            <w:vAlign w:val="center"/>
          </w:tcPr>
          <w:p w14:paraId="45F20F84">
            <w:pPr>
              <w:jc w:val="center"/>
              <w:rPr>
                <w:szCs w:val="21"/>
              </w:rPr>
            </w:pPr>
          </w:p>
        </w:tc>
      </w:tr>
      <w:tr w14:paraId="6B2D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7" w:type="dxa"/>
            <w:vMerge w:val="continue"/>
            <w:vAlign w:val="center"/>
          </w:tcPr>
          <w:p w14:paraId="2187C4D7">
            <w:pPr>
              <w:jc w:val="center"/>
              <w:rPr>
                <w:szCs w:val="21"/>
              </w:rPr>
            </w:pPr>
          </w:p>
        </w:tc>
        <w:tc>
          <w:tcPr>
            <w:tcW w:w="2209" w:type="dxa"/>
            <w:gridSpan w:val="2"/>
            <w:vAlign w:val="center"/>
          </w:tcPr>
          <w:p w14:paraId="7097292B">
            <w:pPr>
              <w:jc w:val="center"/>
              <w:rPr>
                <w:szCs w:val="21"/>
              </w:rPr>
            </w:pPr>
            <w:r>
              <w:rPr>
                <w:szCs w:val="21"/>
              </w:rPr>
              <w:t>损毁方式</w:t>
            </w:r>
          </w:p>
        </w:tc>
        <w:tc>
          <w:tcPr>
            <w:tcW w:w="5423" w:type="dxa"/>
            <w:vAlign w:val="center"/>
          </w:tcPr>
          <w:p w14:paraId="7213583F">
            <w:pPr>
              <w:jc w:val="center"/>
              <w:rPr>
                <w:szCs w:val="21"/>
              </w:rPr>
            </w:pPr>
          </w:p>
        </w:tc>
      </w:tr>
      <w:tr w14:paraId="21DB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7" w:type="dxa"/>
            <w:vMerge w:val="continue"/>
            <w:vAlign w:val="center"/>
          </w:tcPr>
          <w:p w14:paraId="43CA1B48">
            <w:pPr>
              <w:jc w:val="center"/>
              <w:rPr>
                <w:szCs w:val="21"/>
              </w:rPr>
            </w:pPr>
          </w:p>
        </w:tc>
        <w:tc>
          <w:tcPr>
            <w:tcW w:w="2209" w:type="dxa"/>
            <w:gridSpan w:val="2"/>
            <w:vAlign w:val="center"/>
          </w:tcPr>
          <w:p w14:paraId="3B856D4D">
            <w:pPr>
              <w:jc w:val="center"/>
              <w:rPr>
                <w:szCs w:val="21"/>
              </w:rPr>
            </w:pPr>
            <w:r>
              <w:rPr>
                <w:szCs w:val="21"/>
              </w:rPr>
              <w:t>影响破坏程度</w:t>
            </w:r>
          </w:p>
        </w:tc>
        <w:tc>
          <w:tcPr>
            <w:tcW w:w="5423" w:type="dxa"/>
            <w:vAlign w:val="center"/>
          </w:tcPr>
          <w:p w14:paraId="08BEFC24">
            <w:pPr>
              <w:jc w:val="center"/>
              <w:rPr>
                <w:szCs w:val="21"/>
              </w:rPr>
            </w:pPr>
          </w:p>
        </w:tc>
      </w:tr>
      <w:tr w14:paraId="519C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7" w:type="dxa"/>
            <w:vMerge w:val="continue"/>
            <w:vAlign w:val="center"/>
          </w:tcPr>
          <w:p w14:paraId="0324E32D">
            <w:pPr>
              <w:jc w:val="center"/>
              <w:rPr>
                <w:szCs w:val="21"/>
              </w:rPr>
            </w:pPr>
          </w:p>
        </w:tc>
        <w:tc>
          <w:tcPr>
            <w:tcW w:w="2209" w:type="dxa"/>
            <w:gridSpan w:val="2"/>
            <w:vAlign w:val="center"/>
          </w:tcPr>
          <w:p w14:paraId="392BD9D7">
            <w:pPr>
              <w:jc w:val="center"/>
              <w:rPr>
                <w:szCs w:val="21"/>
              </w:rPr>
            </w:pPr>
            <w:r>
              <w:rPr>
                <w:szCs w:val="21"/>
              </w:rPr>
              <w:t>治理难度</w:t>
            </w:r>
          </w:p>
        </w:tc>
        <w:tc>
          <w:tcPr>
            <w:tcW w:w="5423" w:type="dxa"/>
            <w:vAlign w:val="center"/>
          </w:tcPr>
          <w:p w14:paraId="6250D231">
            <w:pPr>
              <w:jc w:val="center"/>
              <w:rPr>
                <w:szCs w:val="21"/>
              </w:rPr>
            </w:pPr>
          </w:p>
        </w:tc>
      </w:tr>
      <w:tr w14:paraId="4107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6" w:type="dxa"/>
            <w:gridSpan w:val="3"/>
            <w:vAlign w:val="center"/>
          </w:tcPr>
          <w:p w14:paraId="7BAA6F76">
            <w:pPr>
              <w:jc w:val="center"/>
              <w:rPr>
                <w:szCs w:val="21"/>
              </w:rPr>
            </w:pPr>
            <w:r>
              <w:rPr>
                <w:szCs w:val="21"/>
              </w:rPr>
              <w:t>监测人员</w:t>
            </w:r>
          </w:p>
        </w:tc>
        <w:tc>
          <w:tcPr>
            <w:tcW w:w="5423" w:type="dxa"/>
            <w:vAlign w:val="center"/>
          </w:tcPr>
          <w:p w14:paraId="54830298">
            <w:pPr>
              <w:jc w:val="center"/>
              <w:rPr>
                <w:szCs w:val="21"/>
              </w:rPr>
            </w:pPr>
          </w:p>
        </w:tc>
      </w:tr>
      <w:tr w14:paraId="055C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2" w:type="dxa"/>
            <w:gridSpan w:val="2"/>
            <w:vAlign w:val="center"/>
          </w:tcPr>
          <w:p w14:paraId="52991BFB">
            <w:pPr>
              <w:jc w:val="center"/>
              <w:rPr>
                <w:szCs w:val="21"/>
              </w:rPr>
            </w:pPr>
            <w:r>
              <w:rPr>
                <w:szCs w:val="21"/>
              </w:rPr>
              <w:t>存在问题</w:t>
            </w:r>
          </w:p>
        </w:tc>
        <w:tc>
          <w:tcPr>
            <w:tcW w:w="6737" w:type="dxa"/>
            <w:gridSpan w:val="2"/>
            <w:vAlign w:val="center"/>
          </w:tcPr>
          <w:p w14:paraId="56D35B27">
            <w:pPr>
              <w:jc w:val="center"/>
              <w:rPr>
                <w:szCs w:val="21"/>
              </w:rPr>
            </w:pPr>
          </w:p>
        </w:tc>
      </w:tr>
      <w:tr w14:paraId="24EA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2" w:type="dxa"/>
            <w:gridSpan w:val="2"/>
            <w:vAlign w:val="center"/>
          </w:tcPr>
          <w:p w14:paraId="52739AC0">
            <w:pPr>
              <w:jc w:val="center"/>
              <w:rPr>
                <w:szCs w:val="21"/>
              </w:rPr>
            </w:pPr>
            <w:r>
              <w:rPr>
                <w:szCs w:val="21"/>
              </w:rPr>
              <w:t>处理意见</w:t>
            </w:r>
          </w:p>
        </w:tc>
        <w:tc>
          <w:tcPr>
            <w:tcW w:w="6737" w:type="dxa"/>
            <w:gridSpan w:val="2"/>
            <w:vAlign w:val="center"/>
          </w:tcPr>
          <w:p w14:paraId="3804A2E6">
            <w:pPr>
              <w:jc w:val="center"/>
              <w:rPr>
                <w:szCs w:val="21"/>
              </w:rPr>
            </w:pPr>
          </w:p>
        </w:tc>
      </w:tr>
      <w:tr w14:paraId="54254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2" w:type="dxa"/>
            <w:gridSpan w:val="2"/>
            <w:vAlign w:val="center"/>
          </w:tcPr>
          <w:p w14:paraId="4519E42D">
            <w:pPr>
              <w:jc w:val="center"/>
              <w:rPr>
                <w:szCs w:val="21"/>
              </w:rPr>
            </w:pPr>
            <w:r>
              <w:rPr>
                <w:szCs w:val="21"/>
              </w:rPr>
              <w:t>处理结果</w:t>
            </w:r>
          </w:p>
        </w:tc>
        <w:tc>
          <w:tcPr>
            <w:tcW w:w="6737" w:type="dxa"/>
            <w:gridSpan w:val="2"/>
            <w:vAlign w:val="center"/>
          </w:tcPr>
          <w:p w14:paraId="0D536A64">
            <w:pPr>
              <w:jc w:val="center"/>
              <w:rPr>
                <w:szCs w:val="21"/>
              </w:rPr>
            </w:pPr>
          </w:p>
        </w:tc>
      </w:tr>
    </w:tbl>
    <w:p w14:paraId="346A0130">
      <w:pPr>
        <w:ind w:firstLine="456" w:firstLineChars="200"/>
        <w:rPr>
          <w:bCs/>
          <w:spacing w:val="4"/>
          <w:sz w:val="22"/>
          <w:szCs w:val="22"/>
        </w:rPr>
      </w:pPr>
    </w:p>
    <w:p w14:paraId="61BC53AB">
      <w:pPr>
        <w:spacing w:line="360" w:lineRule="auto"/>
        <w:ind w:firstLine="576" w:firstLineChars="200"/>
        <w:rPr>
          <w:bCs/>
          <w:spacing w:val="4"/>
          <w:sz w:val="28"/>
          <w:szCs w:val="28"/>
        </w:rPr>
      </w:pPr>
      <w:r>
        <w:rPr>
          <w:bCs/>
          <w:spacing w:val="4"/>
          <w:sz w:val="28"/>
          <w:szCs w:val="28"/>
        </w:rPr>
        <w:t>（3）监测频率</w:t>
      </w:r>
    </w:p>
    <w:p w14:paraId="10E2C108">
      <w:pPr>
        <w:spacing w:line="360" w:lineRule="auto"/>
        <w:ind w:firstLine="576" w:firstLineChars="200"/>
        <w:rPr>
          <w:bCs/>
          <w:spacing w:val="4"/>
          <w:sz w:val="28"/>
          <w:szCs w:val="28"/>
        </w:rPr>
      </w:pPr>
      <w:r>
        <w:rPr>
          <w:bCs/>
          <w:spacing w:val="4"/>
          <w:sz w:val="28"/>
          <w:szCs w:val="28"/>
        </w:rPr>
        <w:t>每年</w:t>
      </w:r>
      <w:r>
        <w:rPr>
          <w:rFonts w:hint="eastAsia" w:ascii="宋体" w:hAnsi="宋体" w:cs="宋体"/>
          <w:spacing w:val="13"/>
          <w:sz w:val="32"/>
          <w:szCs w:val="32"/>
        </w:rPr>
        <w:t>***</w:t>
      </w:r>
      <w:r>
        <w:rPr>
          <w:bCs/>
          <w:spacing w:val="4"/>
          <w:sz w:val="28"/>
          <w:szCs w:val="28"/>
        </w:rPr>
        <w:t>次（选取</w:t>
      </w:r>
      <w:r>
        <w:rPr>
          <w:rFonts w:hint="eastAsia" w:ascii="宋体" w:hAnsi="宋体" w:cs="宋体"/>
          <w:spacing w:val="13"/>
          <w:sz w:val="32"/>
          <w:szCs w:val="32"/>
        </w:rPr>
        <w:t>***</w:t>
      </w:r>
      <w:r>
        <w:rPr>
          <w:bCs/>
          <w:spacing w:val="4"/>
          <w:sz w:val="28"/>
          <w:szCs w:val="28"/>
        </w:rPr>
        <w:t>月份）固定航测。</w:t>
      </w:r>
    </w:p>
    <w:p w14:paraId="661417B0">
      <w:pPr>
        <w:spacing w:line="360" w:lineRule="auto"/>
        <w:ind w:firstLine="576" w:firstLineChars="200"/>
        <w:rPr>
          <w:bCs/>
          <w:spacing w:val="4"/>
          <w:sz w:val="28"/>
          <w:szCs w:val="28"/>
        </w:rPr>
      </w:pPr>
      <w:r>
        <w:rPr>
          <w:bCs/>
          <w:spacing w:val="4"/>
          <w:sz w:val="28"/>
          <w:szCs w:val="28"/>
        </w:rPr>
        <w:t>（4）监测时限</w:t>
      </w:r>
    </w:p>
    <w:p w14:paraId="2BDD953A">
      <w:pPr>
        <w:spacing w:line="360" w:lineRule="auto"/>
        <w:ind w:firstLine="560" w:firstLineChars="200"/>
        <w:rPr>
          <w:bCs/>
          <w:sz w:val="28"/>
          <w:szCs w:val="28"/>
        </w:rPr>
      </w:pPr>
      <w:r>
        <w:rPr>
          <w:bCs/>
          <w:sz w:val="28"/>
          <w:szCs w:val="28"/>
        </w:rPr>
        <w:t>矿山生产期间和综合治理期内，即</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月至</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w:t>
      </w:r>
      <w:r>
        <w:rPr>
          <w:bCs/>
          <w:sz w:val="28"/>
          <w:szCs w:val="28"/>
        </w:rPr>
        <w:t>。</w:t>
      </w:r>
    </w:p>
    <w:p w14:paraId="6EB2A730">
      <w:pPr>
        <w:spacing w:line="360" w:lineRule="auto"/>
        <w:ind w:firstLine="562" w:firstLineChars="200"/>
        <w:rPr>
          <w:b/>
          <w:bCs/>
          <w:sz w:val="28"/>
          <w:szCs w:val="28"/>
        </w:rPr>
      </w:pPr>
      <w:r>
        <w:rPr>
          <w:rFonts w:hint="eastAsia"/>
          <w:b/>
          <w:bCs/>
          <w:sz w:val="28"/>
          <w:szCs w:val="28"/>
        </w:rPr>
        <w:t>（三）土壤污染监测目标与监测措施</w:t>
      </w:r>
    </w:p>
    <w:p w14:paraId="56C4C376">
      <w:pPr>
        <w:spacing w:line="360" w:lineRule="auto"/>
        <w:ind w:firstLine="560" w:firstLineChars="200"/>
        <w:rPr>
          <w:sz w:val="28"/>
          <w:szCs w:val="28"/>
        </w:rPr>
      </w:pPr>
      <w:r>
        <w:rPr>
          <w:rFonts w:hint="eastAsia"/>
          <w:sz w:val="28"/>
          <w:szCs w:val="28"/>
        </w:rPr>
        <w:t>（1）监测目标</w:t>
      </w:r>
    </w:p>
    <w:p w14:paraId="558B7CC7">
      <w:pPr>
        <w:spacing w:line="360" w:lineRule="auto"/>
        <w:ind w:firstLine="560" w:firstLineChars="200"/>
        <w:rPr>
          <w:sz w:val="28"/>
          <w:szCs w:val="28"/>
        </w:rPr>
      </w:pPr>
      <w:r>
        <w:rPr>
          <w:rFonts w:hint="eastAsia"/>
          <w:sz w:val="28"/>
          <w:szCs w:val="28"/>
        </w:rPr>
        <w:t>根据矿山问题识别结果，参照《土壤环境质量 农用地土壤污染风险管控标准（试行）》的必测项目以及《土壤环境质量 建设用地土壤污染风险管控标准（试行）》基本项目要求，确定矿山土壤污染监测内容为土壤理化性质、重金属八项，包括pH、有机质含量、砷、镉、铬（六价）、铜、铅、汞、镍、锌。</w:t>
      </w:r>
    </w:p>
    <w:p w14:paraId="633EC23F">
      <w:pPr>
        <w:spacing w:line="360" w:lineRule="auto"/>
        <w:ind w:firstLine="560" w:firstLineChars="200"/>
        <w:rPr>
          <w:sz w:val="28"/>
          <w:szCs w:val="28"/>
        </w:rPr>
      </w:pPr>
      <w:r>
        <w:rPr>
          <w:rFonts w:hint="eastAsia"/>
          <w:sz w:val="28"/>
          <w:szCs w:val="28"/>
        </w:rPr>
        <w:t>（2）监测点的布设</w:t>
      </w:r>
    </w:p>
    <w:p w14:paraId="79AED090">
      <w:pPr>
        <w:spacing w:line="360" w:lineRule="auto"/>
        <w:ind w:firstLine="560" w:firstLineChars="200"/>
        <w:rPr>
          <w:sz w:val="28"/>
          <w:szCs w:val="28"/>
        </w:rPr>
      </w:pPr>
      <w:r>
        <w:rPr>
          <w:rFonts w:hint="eastAsia"/>
          <w:sz w:val="28"/>
          <w:szCs w:val="28"/>
        </w:rPr>
        <w:t>重点布设在未来开采使用的场地中，拟建露天采场顶部1个监测点，工业场地下风向共计2个监测点，监测点坐标见表5-4。</w:t>
      </w:r>
    </w:p>
    <w:p w14:paraId="428410CF">
      <w:pPr>
        <w:pStyle w:val="115"/>
        <w:rPr>
          <w:rFonts w:hint="eastAsia"/>
          <w:sz w:val="20"/>
        </w:rPr>
      </w:pPr>
      <w:r>
        <w:rPr>
          <w:rFonts w:ascii="Times New Roman" w:hAnsi="Times New Roman" w:eastAsia="黑体" w:cs="Times New Roman"/>
          <w:sz w:val="24"/>
          <w:szCs w:val="24"/>
        </w:rPr>
        <w:t>表5-</w:t>
      </w:r>
      <w:r>
        <w:rPr>
          <w:rFonts w:hint="eastAsia" w:ascii="Times New Roman" w:hAnsi="Times New Roman" w:eastAsia="黑体" w:cs="Times New Roman"/>
          <w:sz w:val="24"/>
          <w:szCs w:val="24"/>
        </w:rPr>
        <w:t>4</w:t>
      </w:r>
      <w:r>
        <w:rPr>
          <w:rFonts w:ascii="Times New Roman" w:hAnsi="Times New Roman" w:eastAsia="黑体" w:cs="Times New Roman"/>
          <w:sz w:val="24"/>
          <w:szCs w:val="24"/>
        </w:rPr>
        <w:t xml:space="preserve">  水土污染监测点坐标一览表</w:t>
      </w:r>
    </w:p>
    <w:p w14:paraId="5F85AFA3">
      <w:pPr>
        <w:spacing w:line="360" w:lineRule="auto"/>
        <w:ind w:firstLine="560" w:firstLineChars="200"/>
        <w:rPr>
          <w:sz w:val="28"/>
          <w:szCs w:val="28"/>
        </w:rPr>
      </w:pPr>
      <w:r>
        <w:rPr>
          <w:rFonts w:hint="eastAsia"/>
          <w:sz w:val="28"/>
          <w:szCs w:val="28"/>
        </w:rPr>
        <w:t>（3）监测措施</w:t>
      </w:r>
    </w:p>
    <w:p w14:paraId="26AFE346">
      <w:pPr>
        <w:spacing w:line="360" w:lineRule="auto"/>
        <w:ind w:firstLine="560" w:firstLineChars="200"/>
        <w:rPr>
          <w:sz w:val="28"/>
          <w:szCs w:val="28"/>
        </w:rPr>
      </w:pPr>
      <w:r>
        <w:rPr>
          <w:rFonts w:hint="eastAsia"/>
          <w:sz w:val="28"/>
          <w:szCs w:val="28"/>
        </w:rPr>
        <w:t>按《土壤质量 决策单元-多点增量采样法》（GB/T 42489-2023）中采样方法进行采样。</w:t>
      </w:r>
    </w:p>
    <w:p w14:paraId="44AEACDA">
      <w:pPr>
        <w:spacing w:line="360" w:lineRule="auto"/>
        <w:ind w:firstLine="560" w:firstLineChars="200"/>
        <w:rPr>
          <w:sz w:val="28"/>
          <w:szCs w:val="28"/>
        </w:rPr>
      </w:pPr>
      <w:r>
        <w:rPr>
          <w:rFonts w:hint="eastAsia"/>
          <w:sz w:val="28"/>
          <w:szCs w:val="28"/>
        </w:rPr>
        <w:t>（4）监测频率</w:t>
      </w:r>
    </w:p>
    <w:p w14:paraId="7C29F86A">
      <w:pPr>
        <w:spacing w:line="360" w:lineRule="auto"/>
        <w:ind w:firstLine="560" w:firstLineChars="200"/>
        <w:rPr>
          <w:sz w:val="28"/>
          <w:szCs w:val="28"/>
        </w:rPr>
      </w:pPr>
      <w:r>
        <w:rPr>
          <w:rFonts w:hint="eastAsia"/>
          <w:sz w:val="28"/>
          <w:szCs w:val="28"/>
        </w:rPr>
        <w:t>每年</w:t>
      </w:r>
      <w:r>
        <w:rPr>
          <w:rFonts w:hint="eastAsia" w:ascii="宋体" w:hAnsi="宋体" w:cs="宋体"/>
          <w:spacing w:val="13"/>
          <w:sz w:val="32"/>
          <w:szCs w:val="32"/>
        </w:rPr>
        <w:t>***</w:t>
      </w:r>
      <w:r>
        <w:rPr>
          <w:rFonts w:hint="eastAsia"/>
          <w:sz w:val="28"/>
          <w:szCs w:val="28"/>
        </w:rPr>
        <w:t>次。</w:t>
      </w:r>
    </w:p>
    <w:p w14:paraId="712BF6D0">
      <w:pPr>
        <w:spacing w:line="360" w:lineRule="auto"/>
        <w:ind w:firstLine="560" w:firstLineChars="200"/>
        <w:rPr>
          <w:sz w:val="28"/>
          <w:szCs w:val="28"/>
        </w:rPr>
      </w:pPr>
      <w:r>
        <w:rPr>
          <w:rFonts w:hint="eastAsia"/>
          <w:sz w:val="28"/>
          <w:szCs w:val="28"/>
        </w:rPr>
        <w:t>（5）监测时限</w:t>
      </w:r>
    </w:p>
    <w:p w14:paraId="3EA87097">
      <w:pPr>
        <w:spacing w:line="360" w:lineRule="auto"/>
        <w:ind w:firstLine="560" w:firstLineChars="200"/>
        <w:rPr>
          <w:sz w:val="28"/>
          <w:szCs w:val="28"/>
        </w:rPr>
      </w:pPr>
      <w:r>
        <w:rPr>
          <w:rFonts w:hint="eastAsia"/>
          <w:sz w:val="28"/>
          <w:szCs w:val="28"/>
        </w:rPr>
        <w:t>矿山生产期间和综合治理期内，即</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月至</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w:t>
      </w:r>
    </w:p>
    <w:p w14:paraId="5EF42167">
      <w:pPr>
        <w:spacing w:line="360" w:lineRule="auto"/>
        <w:ind w:firstLine="562" w:firstLineChars="200"/>
        <w:rPr>
          <w:b/>
          <w:bCs/>
          <w:sz w:val="28"/>
          <w:szCs w:val="28"/>
        </w:rPr>
      </w:pPr>
      <w:r>
        <w:rPr>
          <w:rFonts w:hint="eastAsia"/>
          <w:b/>
          <w:bCs/>
          <w:sz w:val="28"/>
          <w:szCs w:val="28"/>
        </w:rPr>
        <w:t>（四）复垦效果监测</w:t>
      </w:r>
    </w:p>
    <w:p w14:paraId="56B2505F">
      <w:pPr>
        <w:spacing w:line="360" w:lineRule="auto"/>
        <w:ind w:firstLine="560" w:firstLineChars="200"/>
        <w:rPr>
          <w:sz w:val="28"/>
          <w:szCs w:val="28"/>
        </w:rPr>
      </w:pPr>
      <w:r>
        <w:rPr>
          <w:rFonts w:hint="eastAsia"/>
          <w:sz w:val="28"/>
          <w:szCs w:val="28"/>
        </w:rPr>
        <w:t>（1）土地损毁监测</w:t>
      </w:r>
    </w:p>
    <w:p w14:paraId="11C23231">
      <w:pPr>
        <w:spacing w:line="360" w:lineRule="auto"/>
        <w:ind w:firstLine="560" w:firstLineChars="200"/>
        <w:rPr>
          <w:sz w:val="28"/>
          <w:szCs w:val="28"/>
        </w:rPr>
      </w:pPr>
      <w:r>
        <w:rPr>
          <w:rFonts w:hint="eastAsia"/>
          <w:sz w:val="28"/>
          <w:szCs w:val="28"/>
        </w:rPr>
        <w:t>根据项目土地损毁情况，采用实地勘测、现场测量等方法，并结合GPS、全站仪等测量技术，结合复垦区具体情况选取土地损毁监测指标，在矿山建设生产过程中应对挖损和压占的土地进行监测。监测过程中，对损毁面积、损毁地类、土壤等变化情况进行监测，应重点对露天采场（矿区外）、废石场1、废石场2周边进行监测。此部分内容列入“矿山地质环境监测”内容之中。</w:t>
      </w:r>
    </w:p>
    <w:p w14:paraId="620C47EF">
      <w:pPr>
        <w:spacing w:line="360" w:lineRule="auto"/>
        <w:ind w:firstLine="560" w:firstLineChars="200"/>
        <w:rPr>
          <w:sz w:val="28"/>
          <w:szCs w:val="28"/>
        </w:rPr>
      </w:pPr>
      <w:r>
        <w:rPr>
          <w:rFonts w:hint="eastAsia"/>
          <w:sz w:val="28"/>
          <w:szCs w:val="28"/>
        </w:rPr>
        <w:t>（2）土壤质量监测</w:t>
      </w:r>
    </w:p>
    <w:p w14:paraId="0C307644">
      <w:pPr>
        <w:spacing w:line="360" w:lineRule="auto"/>
        <w:ind w:firstLine="560" w:firstLineChars="200"/>
        <w:rPr>
          <w:sz w:val="28"/>
          <w:szCs w:val="28"/>
        </w:rPr>
      </w:pPr>
      <w:r>
        <w:rPr>
          <w:rFonts w:hint="eastAsia"/>
          <w:sz w:val="28"/>
          <w:szCs w:val="28"/>
        </w:rPr>
        <w:t>监测对象为所有复垦单元，为保障土地复垦落实到位，切实确保土地质量达到土地复垦要求，在复垦过程及管护期对复垦土地地形坡度、有效土层厚度（林地</w:t>
      </w:r>
      <w:r>
        <w:rPr>
          <w:rFonts w:hint="eastAsia" w:ascii="宋体" w:hAnsi="宋体" w:cs="宋体"/>
          <w:spacing w:val="13"/>
          <w:sz w:val="32"/>
          <w:szCs w:val="32"/>
        </w:rPr>
        <w:t>***</w:t>
      </w:r>
      <w:r>
        <w:rPr>
          <w:rFonts w:hint="eastAsia"/>
          <w:sz w:val="28"/>
          <w:szCs w:val="28"/>
        </w:rPr>
        <w:t>m、草地</w:t>
      </w:r>
      <w:r>
        <w:rPr>
          <w:rFonts w:hint="eastAsia" w:ascii="宋体" w:hAnsi="宋体" w:cs="宋体"/>
          <w:spacing w:val="13"/>
          <w:sz w:val="32"/>
          <w:szCs w:val="32"/>
        </w:rPr>
        <w:t>***</w:t>
      </w:r>
      <w:r>
        <w:rPr>
          <w:rFonts w:hint="eastAsia"/>
          <w:sz w:val="28"/>
          <w:szCs w:val="28"/>
        </w:rPr>
        <w:t>m）、土壤容重、PH值、有机质含量、重金属含量等进行监测，为各单元设立监测措施。</w:t>
      </w:r>
    </w:p>
    <w:p w14:paraId="3A35CB65">
      <w:pPr>
        <w:spacing w:line="360" w:lineRule="auto"/>
        <w:ind w:firstLine="560" w:firstLineChars="200"/>
        <w:rPr>
          <w:bCs/>
          <w:sz w:val="20"/>
        </w:rPr>
      </w:pPr>
      <w:r>
        <w:rPr>
          <w:rFonts w:hint="eastAsia"/>
          <w:sz w:val="28"/>
          <w:szCs w:val="28"/>
        </w:rPr>
        <w:t>根据矿山生产年限，确定的监测时间。由于地表单元数量较多，监测点布设时，采用选取特征因子进行布设监测点，在拟建露天采场、工业场地各布设</w:t>
      </w:r>
      <w:r>
        <w:rPr>
          <w:rFonts w:hint="eastAsia" w:ascii="宋体" w:hAnsi="宋体" w:cs="宋体"/>
          <w:spacing w:val="13"/>
          <w:sz w:val="32"/>
          <w:szCs w:val="32"/>
        </w:rPr>
        <w:t>***</w:t>
      </w:r>
      <w:r>
        <w:rPr>
          <w:rFonts w:hint="eastAsia"/>
          <w:sz w:val="28"/>
          <w:szCs w:val="28"/>
        </w:rPr>
        <w:t>个监测点，监测频率为每年</w:t>
      </w:r>
      <w:r>
        <w:rPr>
          <w:rFonts w:hint="eastAsia" w:ascii="宋体" w:hAnsi="宋体" w:cs="宋体"/>
          <w:spacing w:val="13"/>
          <w:sz w:val="32"/>
          <w:szCs w:val="32"/>
        </w:rPr>
        <w:t>***</w:t>
      </w:r>
      <w:r>
        <w:rPr>
          <w:rFonts w:hint="eastAsia"/>
          <w:sz w:val="28"/>
          <w:szCs w:val="28"/>
        </w:rPr>
        <w:t>次，监测期限</w:t>
      </w:r>
      <w:r>
        <w:rPr>
          <w:rFonts w:hint="eastAsia" w:ascii="宋体" w:hAnsi="宋体" w:cs="宋体"/>
          <w:spacing w:val="13"/>
          <w:sz w:val="32"/>
          <w:szCs w:val="32"/>
        </w:rPr>
        <w:t>***</w:t>
      </w:r>
      <w:r>
        <w:rPr>
          <w:rFonts w:hint="eastAsia"/>
          <w:sz w:val="28"/>
          <w:szCs w:val="28"/>
        </w:rPr>
        <w:t>年，按土壤环境监测技术规范》（HJ/T 166—2004）中采样方法进行采样。</w:t>
      </w:r>
    </w:p>
    <w:p w14:paraId="3CC8C07A">
      <w:pPr>
        <w:spacing w:line="360" w:lineRule="auto"/>
        <w:ind w:firstLine="560" w:firstLineChars="200"/>
        <w:rPr>
          <w:sz w:val="28"/>
          <w:szCs w:val="28"/>
        </w:rPr>
      </w:pPr>
      <w:r>
        <w:rPr>
          <w:rFonts w:hint="eastAsia"/>
          <w:sz w:val="28"/>
          <w:szCs w:val="28"/>
        </w:rPr>
        <w:t>（3）复垦植被监测</w:t>
      </w:r>
    </w:p>
    <w:p w14:paraId="7C8CD98A">
      <w:pPr>
        <w:spacing w:line="360" w:lineRule="auto"/>
        <w:ind w:firstLine="560" w:firstLineChars="200"/>
        <w:rPr>
          <w:sz w:val="28"/>
          <w:szCs w:val="28"/>
        </w:rPr>
      </w:pPr>
      <w:r>
        <w:rPr>
          <w:rFonts w:hint="eastAsia"/>
          <w:sz w:val="28"/>
          <w:szCs w:val="28"/>
        </w:rPr>
        <w:t>复垦为有林地、草地的植被监测内容，选具代表性区域，用随机系统抽样法确定样方位置，GPS定位并标记边界。固定样地，按固定间隔重复调查，保持方法、指标一致，确保数据可比。选取2个监测点，监测频率</w:t>
      </w:r>
      <w:r>
        <w:rPr>
          <w:rFonts w:hint="eastAsia" w:ascii="宋体" w:hAnsi="宋体" w:cs="宋体"/>
          <w:spacing w:val="13"/>
          <w:sz w:val="32"/>
          <w:szCs w:val="32"/>
        </w:rPr>
        <w:t>***</w:t>
      </w:r>
      <w:r>
        <w:rPr>
          <w:rFonts w:hint="eastAsia"/>
          <w:sz w:val="28"/>
          <w:szCs w:val="28"/>
        </w:rPr>
        <w:t>次/年，监测</w:t>
      </w:r>
      <w:r>
        <w:rPr>
          <w:rFonts w:hint="eastAsia" w:ascii="宋体" w:hAnsi="宋体" w:cs="宋体"/>
          <w:spacing w:val="13"/>
          <w:sz w:val="32"/>
          <w:szCs w:val="32"/>
        </w:rPr>
        <w:t>***</w:t>
      </w:r>
      <w:r>
        <w:rPr>
          <w:rFonts w:hint="eastAsia"/>
          <w:sz w:val="28"/>
          <w:szCs w:val="28"/>
        </w:rPr>
        <w:t>年。</w:t>
      </w:r>
    </w:p>
    <w:p w14:paraId="42827F70">
      <w:pPr>
        <w:pStyle w:val="4"/>
        <w:spacing w:before="120" w:beforeLines="50"/>
        <w:rPr>
          <w:rFonts w:ascii="Times New Roman" w:hAnsi="Times New Roman"/>
          <w:b w:val="0"/>
          <w:bCs/>
          <w:sz w:val="28"/>
          <w:szCs w:val="28"/>
        </w:rPr>
      </w:pPr>
      <w:bookmarkStart w:id="144" w:name="_Toc21906"/>
      <w:r>
        <w:rPr>
          <w:rFonts w:ascii="Times New Roman" w:hAnsi="Times New Roman"/>
        </w:rPr>
        <w:t>第二节  管护目标与措施</w:t>
      </w:r>
      <w:bookmarkEnd w:id="144"/>
    </w:p>
    <w:p w14:paraId="235FD2B7">
      <w:pPr>
        <w:pStyle w:val="5"/>
        <w:spacing w:line="360" w:lineRule="auto"/>
        <w:ind w:firstLine="562" w:firstLineChars="200"/>
        <w:rPr>
          <w:rFonts w:ascii="Times New Roman"/>
          <w:b/>
          <w:bCs/>
          <w:sz w:val="28"/>
          <w:szCs w:val="24"/>
        </w:rPr>
      </w:pPr>
      <w:r>
        <w:rPr>
          <w:rFonts w:ascii="Times New Roman"/>
          <w:b/>
          <w:bCs/>
          <w:sz w:val="28"/>
          <w:szCs w:val="24"/>
        </w:rPr>
        <w:t>一、管护目标任务</w:t>
      </w:r>
    </w:p>
    <w:p w14:paraId="2E2386F4">
      <w:pPr>
        <w:pStyle w:val="6"/>
        <w:keepNext w:val="0"/>
        <w:keepLines w:val="0"/>
        <w:adjustRightInd/>
        <w:snapToGrid/>
        <w:ind w:firstLine="562"/>
        <w:rPr>
          <w:rFonts w:ascii="Times New Roman" w:hAnsi="Times New Roman"/>
          <w:bCs/>
          <w:sz w:val="28"/>
          <w:szCs w:val="24"/>
        </w:rPr>
      </w:pPr>
      <w:r>
        <w:rPr>
          <w:rFonts w:ascii="Times New Roman" w:hAnsi="Times New Roman"/>
          <w:bCs/>
          <w:sz w:val="28"/>
          <w:szCs w:val="24"/>
        </w:rPr>
        <w:t>（一）管护目标</w:t>
      </w:r>
    </w:p>
    <w:p w14:paraId="23FD1BA1">
      <w:pPr>
        <w:spacing w:line="360" w:lineRule="auto"/>
        <w:ind w:firstLine="560" w:firstLineChars="200"/>
        <w:rPr>
          <w:sz w:val="28"/>
          <w:szCs w:val="28"/>
        </w:rPr>
      </w:pPr>
      <w:r>
        <w:rPr>
          <w:sz w:val="28"/>
          <w:szCs w:val="28"/>
        </w:rPr>
        <w:t>1、</w:t>
      </w:r>
      <w:r>
        <w:rPr>
          <w:rFonts w:hint="eastAsia"/>
          <w:sz w:val="28"/>
          <w:szCs w:val="28"/>
        </w:rPr>
        <w:t>林地、草地管护主要采取补充种植措施、灌溉措施。为了保证栽植苗木和草籽的成活率，对成活率较低区域，综合分析原因，因地制宜开展补种、补撒工程。灌溉时掌握适时适量原则，遇枯水年份应及时补水，可有效防治水土流失，保证植被成活率以便达到预期的设计效果。</w:t>
      </w:r>
    </w:p>
    <w:p w14:paraId="4019B2ED">
      <w:pPr>
        <w:spacing w:line="360" w:lineRule="auto"/>
        <w:ind w:firstLine="560" w:firstLineChars="200"/>
        <w:rPr>
          <w:sz w:val="28"/>
          <w:szCs w:val="28"/>
        </w:rPr>
      </w:pPr>
      <w:r>
        <w:rPr>
          <w:sz w:val="28"/>
          <w:szCs w:val="28"/>
        </w:rPr>
        <w:t>2、</w:t>
      </w:r>
      <w:r>
        <w:rPr>
          <w:rFonts w:hint="eastAsia"/>
          <w:sz w:val="28"/>
          <w:szCs w:val="28"/>
        </w:rPr>
        <w:t>苗木栽植、草籽撒播后要及时浇水，项目区夏秋季降雨较多，能够满足植被正常生长，栽植后第二年对缺苗处进行补植，对草籽发芽率低处进行补撒。</w:t>
      </w:r>
    </w:p>
    <w:p w14:paraId="34F1F3DB">
      <w:pPr>
        <w:spacing w:line="360" w:lineRule="auto"/>
        <w:ind w:firstLine="560" w:firstLineChars="200"/>
        <w:rPr>
          <w:sz w:val="28"/>
          <w:szCs w:val="28"/>
        </w:rPr>
      </w:pPr>
      <w:r>
        <w:rPr>
          <w:sz w:val="28"/>
          <w:szCs w:val="28"/>
        </w:rPr>
        <w:t>3、</w:t>
      </w:r>
      <w:r>
        <w:rPr>
          <w:rFonts w:hint="eastAsia"/>
          <w:sz w:val="28"/>
          <w:szCs w:val="28"/>
        </w:rPr>
        <w:t>复垦林地出现出现缺素症状时，根据缺素症状及时进行追肥。可适当使用少量的化肥，以提高土壤肥力，以提高农作物的成活率和生长速度。</w:t>
      </w:r>
    </w:p>
    <w:p w14:paraId="4124F685">
      <w:pPr>
        <w:spacing w:line="360" w:lineRule="auto"/>
        <w:ind w:firstLine="560" w:firstLineChars="200"/>
        <w:rPr>
          <w:sz w:val="28"/>
          <w:szCs w:val="28"/>
        </w:rPr>
      </w:pPr>
      <w:r>
        <w:rPr>
          <w:sz w:val="28"/>
          <w:szCs w:val="28"/>
        </w:rPr>
        <w:t>4、新造幼林需封育，管护期为</w:t>
      </w:r>
      <w:r>
        <w:rPr>
          <w:rFonts w:hint="eastAsia" w:ascii="宋体" w:hAnsi="宋体" w:cs="宋体"/>
          <w:spacing w:val="13"/>
          <w:sz w:val="32"/>
          <w:szCs w:val="32"/>
        </w:rPr>
        <w:t>***</w:t>
      </w:r>
      <w:r>
        <w:rPr>
          <w:sz w:val="28"/>
          <w:szCs w:val="28"/>
        </w:rPr>
        <w:t>年。</w:t>
      </w:r>
    </w:p>
    <w:p w14:paraId="42121D9D">
      <w:pPr>
        <w:pStyle w:val="6"/>
        <w:keepNext w:val="0"/>
        <w:keepLines w:val="0"/>
        <w:adjustRightInd/>
        <w:snapToGrid/>
        <w:ind w:firstLine="562"/>
        <w:rPr>
          <w:rFonts w:ascii="Times New Roman" w:hAnsi="Times New Roman"/>
          <w:bCs/>
          <w:sz w:val="28"/>
          <w:szCs w:val="24"/>
        </w:rPr>
      </w:pPr>
      <w:r>
        <w:rPr>
          <w:rFonts w:ascii="Times New Roman" w:hAnsi="Times New Roman"/>
          <w:bCs/>
          <w:sz w:val="28"/>
          <w:szCs w:val="24"/>
        </w:rPr>
        <w:t>（二）管护任务</w:t>
      </w:r>
    </w:p>
    <w:p w14:paraId="4C06ECF2">
      <w:pPr>
        <w:spacing w:line="360" w:lineRule="auto"/>
        <w:ind w:firstLine="560" w:firstLineChars="200"/>
        <w:rPr>
          <w:bCs/>
          <w:sz w:val="28"/>
          <w:szCs w:val="28"/>
        </w:rPr>
      </w:pPr>
      <w:r>
        <w:rPr>
          <w:bCs/>
          <w:sz w:val="28"/>
          <w:szCs w:val="28"/>
        </w:rPr>
        <w:t>生态修复工程管护任务是加强重构土壤、重建植被的管护与健康管理，对受损乔灌草及时补种、培土、浇水、施肥，喷洒农药防治病虫害发生以及幼林管护和成林管理；对矿区关键物种和生物多样性进行持续观测，降低生态重建的矿区生态系统的水灾、旱灾、虫灾、火灾等风险。</w:t>
      </w:r>
    </w:p>
    <w:p w14:paraId="40BCE2BF">
      <w:pPr>
        <w:pStyle w:val="5"/>
        <w:spacing w:line="360" w:lineRule="auto"/>
        <w:ind w:firstLine="562" w:firstLineChars="200"/>
        <w:rPr>
          <w:rFonts w:ascii="Times New Roman"/>
          <w:b/>
          <w:bCs/>
          <w:sz w:val="28"/>
          <w:szCs w:val="24"/>
        </w:rPr>
      </w:pPr>
      <w:r>
        <w:rPr>
          <w:rFonts w:ascii="Times New Roman"/>
          <w:b/>
          <w:bCs/>
          <w:sz w:val="28"/>
          <w:szCs w:val="24"/>
        </w:rPr>
        <w:t>二、管护措施</w:t>
      </w:r>
    </w:p>
    <w:p w14:paraId="29538345">
      <w:pPr>
        <w:spacing w:line="360" w:lineRule="auto"/>
        <w:ind w:firstLine="560" w:firstLineChars="200"/>
        <w:rPr>
          <w:sz w:val="28"/>
          <w:szCs w:val="28"/>
        </w:rPr>
      </w:pPr>
      <w:r>
        <w:rPr>
          <w:sz w:val="28"/>
          <w:szCs w:val="28"/>
        </w:rPr>
        <w:t>1、林地</w:t>
      </w:r>
    </w:p>
    <w:p w14:paraId="03DFA54B">
      <w:pPr>
        <w:spacing w:line="360" w:lineRule="auto"/>
        <w:ind w:firstLine="560" w:firstLineChars="200"/>
        <w:rPr>
          <w:sz w:val="28"/>
          <w:szCs w:val="28"/>
        </w:rPr>
      </w:pPr>
      <w:r>
        <w:rPr>
          <w:sz w:val="28"/>
          <w:szCs w:val="28"/>
        </w:rPr>
        <w:t>（1）在林带刚进入郁闭阶段，为了保护和促进苗木生长，要采取平茬修枝技术对苗木进行修剪。</w:t>
      </w:r>
    </w:p>
    <w:p w14:paraId="35D4DCB4">
      <w:pPr>
        <w:spacing w:line="360" w:lineRule="auto"/>
        <w:ind w:firstLine="560" w:firstLineChars="200"/>
        <w:rPr>
          <w:sz w:val="28"/>
          <w:szCs w:val="28"/>
        </w:rPr>
      </w:pPr>
      <w:r>
        <w:rPr>
          <w:sz w:val="28"/>
          <w:szCs w:val="28"/>
        </w:rPr>
        <w:t>（2）对于林带中出现各类树木的病、虫、害等要及时的进行管护，各复垦单元植物生态系统病虫害防治关系到复垦成活率，关系到整个复垦目标的实现，因此在进行其他监测的同时，特别注意当地植物病虫害的防治，及时发现疫情，对于病株要及时的砍伐防治扩散，对于虫害要及时的施用药品等控制灾害的发生。</w:t>
      </w:r>
    </w:p>
    <w:p w14:paraId="4223B08B">
      <w:pPr>
        <w:spacing w:line="360" w:lineRule="auto"/>
        <w:ind w:firstLine="560" w:firstLineChars="200"/>
        <w:rPr>
          <w:sz w:val="28"/>
          <w:szCs w:val="28"/>
        </w:rPr>
      </w:pPr>
      <w:r>
        <w:rPr>
          <w:sz w:val="28"/>
          <w:szCs w:val="28"/>
        </w:rPr>
        <w:t>（3）清理林内枯枝落叶等易燃物，设置防火隔离带，配备灭火设备，严禁林区违规用火。</w:t>
      </w:r>
    </w:p>
    <w:p w14:paraId="6E38A573">
      <w:pPr>
        <w:spacing w:line="360" w:lineRule="auto"/>
        <w:ind w:firstLine="560" w:firstLineChars="200"/>
        <w:rPr>
          <w:sz w:val="28"/>
          <w:szCs w:val="28"/>
        </w:rPr>
      </w:pPr>
      <w:r>
        <w:rPr>
          <w:sz w:val="28"/>
          <w:szCs w:val="28"/>
        </w:rPr>
        <w:t>（4）各林地复垦单元灌溉主要选用车辆送水灌溉，废石场、工业场地等单元均可自然流出不会产生积水，能够保证雨季降水时及时排出。</w:t>
      </w:r>
    </w:p>
    <w:p w14:paraId="0E302EA2">
      <w:pPr>
        <w:spacing w:line="360" w:lineRule="auto"/>
        <w:ind w:firstLine="560" w:firstLineChars="200"/>
        <w:rPr>
          <w:sz w:val="28"/>
          <w:szCs w:val="28"/>
        </w:rPr>
      </w:pPr>
      <w:r>
        <w:rPr>
          <w:sz w:val="28"/>
          <w:szCs w:val="28"/>
        </w:rPr>
        <w:t>2、草地</w:t>
      </w:r>
    </w:p>
    <w:p w14:paraId="6979A815">
      <w:pPr>
        <w:spacing w:line="360" w:lineRule="auto"/>
        <w:ind w:firstLine="560" w:firstLineChars="200"/>
        <w:rPr>
          <w:sz w:val="28"/>
          <w:szCs w:val="28"/>
        </w:rPr>
      </w:pPr>
      <w:r>
        <w:rPr>
          <w:sz w:val="28"/>
          <w:szCs w:val="28"/>
        </w:rPr>
        <w:t>（1）控制放牧强度与频率，避免过度啃食，实行轮牧制度，给草地恢复生长时间。</w:t>
      </w:r>
    </w:p>
    <w:p w14:paraId="7B322669">
      <w:pPr>
        <w:spacing w:line="360" w:lineRule="auto"/>
        <w:ind w:firstLine="560" w:firstLineChars="200"/>
        <w:rPr>
          <w:sz w:val="28"/>
          <w:szCs w:val="28"/>
        </w:rPr>
      </w:pPr>
      <w:r>
        <w:rPr>
          <w:sz w:val="28"/>
          <w:szCs w:val="28"/>
        </w:rPr>
        <w:t>（2）对于草地病虫害的发生，可采用一定的生物及仿生制剂、化学药剂、人工物理方法来防治病虫害。根据不同的草种在不同的生长期，根据病虫害种类的生长发育期选用不同的药物，使用不同的浓度和不同的使用方法。当杂草种子高出主草丛时，人工拔除。</w:t>
      </w:r>
    </w:p>
    <w:p w14:paraId="4DF882DA">
      <w:pPr>
        <w:spacing w:line="360" w:lineRule="auto"/>
        <w:ind w:firstLine="560" w:firstLineChars="200"/>
        <w:rPr>
          <w:sz w:val="28"/>
          <w:szCs w:val="28"/>
        </w:rPr>
      </w:pPr>
      <w:r>
        <w:rPr>
          <w:sz w:val="28"/>
          <w:szCs w:val="28"/>
        </w:rPr>
        <w:t>（3）对于多年生、二年生或越年生草种来说，冬季的低温是一个逆境，如果管护不当，可能发生冻害而不能安全越冬返青，或影响第二年的产草量。因此，须重视越冬与返青期管护，尤其是初建草地。</w:t>
      </w:r>
    </w:p>
    <w:p w14:paraId="51C0D703">
      <w:pPr>
        <w:pStyle w:val="4"/>
        <w:spacing w:before="120" w:beforeLines="50"/>
        <w:rPr>
          <w:rFonts w:ascii="Times New Roman" w:hAnsi="Times New Roman"/>
          <w:b w:val="0"/>
          <w:bCs/>
          <w:sz w:val="28"/>
          <w:szCs w:val="28"/>
        </w:rPr>
      </w:pPr>
      <w:bookmarkStart w:id="145" w:name="_Toc32538"/>
      <w:r>
        <w:rPr>
          <w:rFonts w:ascii="Times New Roman" w:hAnsi="Times New Roman"/>
        </w:rPr>
        <w:t>第三节  工程量</w:t>
      </w:r>
      <w:bookmarkEnd w:id="145"/>
    </w:p>
    <w:p w14:paraId="6E05648E">
      <w:pPr>
        <w:pStyle w:val="5"/>
        <w:spacing w:line="360" w:lineRule="auto"/>
        <w:ind w:firstLine="562" w:firstLineChars="200"/>
        <w:rPr>
          <w:rFonts w:ascii="Times New Roman"/>
          <w:b/>
          <w:bCs/>
          <w:sz w:val="28"/>
          <w:szCs w:val="24"/>
        </w:rPr>
      </w:pPr>
      <w:r>
        <w:rPr>
          <w:rFonts w:ascii="Times New Roman"/>
          <w:b/>
          <w:bCs/>
          <w:sz w:val="28"/>
          <w:szCs w:val="24"/>
        </w:rPr>
        <w:t>一、监测工程</w:t>
      </w:r>
    </w:p>
    <w:p w14:paraId="5FEF8CF3">
      <w:pPr>
        <w:pStyle w:val="88"/>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根据生态修复监测工程的设计，针对需要监测、检测的场地设置针对性的检测点，检测点具有代表性，能对矿区是否存在隐患、污染源提供依据主要监测工程量计算表见表5-</w:t>
      </w:r>
      <w:r>
        <w:rPr>
          <w:rFonts w:hint="eastAsia" w:ascii="Times New Roman" w:cs="Times New Roman"/>
          <w:color w:val="auto"/>
          <w:sz w:val="28"/>
          <w:szCs w:val="28"/>
        </w:rPr>
        <w:t>5</w:t>
      </w:r>
      <w:r>
        <w:rPr>
          <w:rFonts w:ascii="Times New Roman" w:cs="Times New Roman"/>
          <w:color w:val="auto"/>
          <w:sz w:val="28"/>
          <w:szCs w:val="28"/>
        </w:rPr>
        <w:t>，监测工程布置见附图6。</w:t>
      </w:r>
    </w:p>
    <w:p w14:paraId="03FF3FBD">
      <w:pPr>
        <w:pStyle w:val="115"/>
        <w:rPr>
          <w:rFonts w:ascii="Times New Roman" w:hAnsi="Times New Roman" w:eastAsia="黑体" w:cs="Times New Roman"/>
          <w:sz w:val="24"/>
          <w:szCs w:val="24"/>
        </w:rPr>
      </w:pPr>
      <w:r>
        <w:rPr>
          <w:rFonts w:ascii="Times New Roman" w:hAnsi="Times New Roman" w:eastAsia="黑体" w:cs="Times New Roman"/>
          <w:sz w:val="24"/>
          <w:szCs w:val="24"/>
        </w:rPr>
        <w:t>表5-</w:t>
      </w:r>
      <w:r>
        <w:rPr>
          <w:rFonts w:hint="eastAsia" w:ascii="Times New Roman" w:hAnsi="Times New Roman" w:eastAsia="黑体" w:cs="Times New Roman"/>
          <w:sz w:val="24"/>
          <w:szCs w:val="24"/>
        </w:rPr>
        <w:t>5</w:t>
      </w:r>
      <w:r>
        <w:rPr>
          <w:rFonts w:ascii="Times New Roman" w:hAnsi="Times New Roman" w:eastAsia="黑体" w:cs="Times New Roman"/>
          <w:sz w:val="24"/>
          <w:szCs w:val="24"/>
        </w:rPr>
        <w:t xml:space="preserve">  监测工程量一览表</w:t>
      </w:r>
    </w:p>
    <w:p w14:paraId="723CF9FE">
      <w:pPr>
        <w:pStyle w:val="5"/>
        <w:spacing w:before="240" w:beforeLines="100" w:line="360" w:lineRule="auto"/>
        <w:ind w:firstLine="562" w:firstLineChars="200"/>
        <w:rPr>
          <w:rFonts w:ascii="Times New Roman"/>
          <w:b/>
          <w:bCs/>
          <w:sz w:val="28"/>
          <w:szCs w:val="24"/>
        </w:rPr>
      </w:pPr>
      <w:r>
        <w:rPr>
          <w:rFonts w:ascii="Times New Roman"/>
          <w:b/>
          <w:bCs/>
          <w:sz w:val="28"/>
          <w:szCs w:val="24"/>
        </w:rPr>
        <w:t>二、管护工程</w:t>
      </w:r>
    </w:p>
    <w:p w14:paraId="284F784A">
      <w:pPr>
        <w:pStyle w:val="88"/>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根据土地复垦管护措施及内容，本方案植被管护面积为复垦的林地、草地，总面积</w:t>
      </w:r>
      <w:r>
        <w:rPr>
          <w:rFonts w:hint="eastAsia" w:hAnsi="宋体"/>
          <w:color w:val="auto"/>
          <w:spacing w:val="13"/>
          <w:sz w:val="32"/>
          <w:szCs w:val="32"/>
        </w:rPr>
        <w:t>***</w:t>
      </w:r>
      <w:r>
        <w:rPr>
          <w:rFonts w:ascii="Times New Roman" w:cs="Times New Roman"/>
          <w:color w:val="auto"/>
          <w:sz w:val="28"/>
          <w:szCs w:val="28"/>
        </w:rPr>
        <w:t>hm</w:t>
      </w:r>
      <w:r>
        <w:rPr>
          <w:rFonts w:ascii="Times New Roman" w:cs="Times New Roman"/>
          <w:color w:val="auto"/>
          <w:sz w:val="28"/>
          <w:szCs w:val="28"/>
          <w:vertAlign w:val="superscript"/>
        </w:rPr>
        <w:t>2</w:t>
      </w:r>
      <w:r>
        <w:rPr>
          <w:rFonts w:ascii="Times New Roman" w:cs="Times New Roman"/>
          <w:color w:val="auto"/>
          <w:sz w:val="28"/>
          <w:szCs w:val="28"/>
        </w:rPr>
        <w:t>。</w:t>
      </w:r>
    </w:p>
    <w:p w14:paraId="0BC681D5">
      <w:pPr>
        <w:pStyle w:val="88"/>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管护时间为矿区生态修复后的近</w:t>
      </w:r>
      <w:r>
        <w:rPr>
          <w:rFonts w:hint="eastAsia" w:hAnsi="宋体"/>
          <w:color w:val="auto"/>
          <w:spacing w:val="13"/>
          <w:sz w:val="32"/>
          <w:szCs w:val="32"/>
        </w:rPr>
        <w:t>***</w:t>
      </w:r>
      <w:r>
        <w:rPr>
          <w:rFonts w:ascii="Times New Roman" w:cs="Times New Roman"/>
          <w:color w:val="auto"/>
          <w:sz w:val="28"/>
          <w:szCs w:val="28"/>
        </w:rPr>
        <w:t>年时间，具体工程量见表5-</w:t>
      </w:r>
      <w:r>
        <w:rPr>
          <w:rFonts w:hint="eastAsia" w:ascii="Times New Roman" w:cs="Times New Roman"/>
          <w:color w:val="auto"/>
          <w:sz w:val="28"/>
          <w:szCs w:val="28"/>
        </w:rPr>
        <w:t>6</w:t>
      </w:r>
      <w:r>
        <w:rPr>
          <w:rFonts w:ascii="Times New Roman" w:cs="Times New Roman"/>
          <w:color w:val="auto"/>
          <w:sz w:val="28"/>
          <w:szCs w:val="28"/>
        </w:rPr>
        <w:t>。</w:t>
      </w:r>
    </w:p>
    <w:p w14:paraId="596F7EC7">
      <w:pPr>
        <w:pStyle w:val="115"/>
        <w:rPr>
          <w:rFonts w:ascii="Times New Roman" w:hAnsi="Times New Roman" w:eastAsia="黑体" w:cs="Times New Roman"/>
          <w:sz w:val="24"/>
          <w:szCs w:val="24"/>
        </w:rPr>
      </w:pPr>
      <w:r>
        <w:rPr>
          <w:rFonts w:ascii="Times New Roman" w:hAnsi="Times New Roman" w:eastAsia="黑体" w:cs="Times New Roman"/>
          <w:sz w:val="24"/>
          <w:szCs w:val="24"/>
        </w:rPr>
        <w:t>表5-</w:t>
      </w:r>
      <w:r>
        <w:rPr>
          <w:rFonts w:hint="eastAsia" w:ascii="Times New Roman" w:hAnsi="Times New Roman" w:eastAsia="黑体" w:cs="Times New Roman"/>
          <w:sz w:val="24"/>
          <w:szCs w:val="24"/>
        </w:rPr>
        <w:t>6</w:t>
      </w:r>
      <w:r>
        <w:rPr>
          <w:rFonts w:ascii="Times New Roman" w:hAnsi="Times New Roman" w:eastAsia="黑体" w:cs="Times New Roman"/>
          <w:sz w:val="24"/>
          <w:szCs w:val="24"/>
        </w:rPr>
        <w:t xml:space="preserve">  管护工程量表</w:t>
      </w:r>
    </w:p>
    <w:p w14:paraId="255F6D30">
      <w:pPr>
        <w:spacing w:line="360" w:lineRule="auto"/>
        <w:ind w:firstLine="560" w:firstLineChars="200"/>
        <w:rPr>
          <w:sz w:val="28"/>
          <w:szCs w:val="28"/>
        </w:rPr>
      </w:pPr>
    </w:p>
    <w:p w14:paraId="58EC9C8F">
      <w:pPr>
        <w:pStyle w:val="88"/>
        <w:spacing w:line="360" w:lineRule="auto"/>
        <w:ind w:firstLine="480" w:firstLineChars="200"/>
        <w:jc w:val="both"/>
        <w:rPr>
          <w:rFonts w:ascii="Times New Roman" w:cs="Times New Roman"/>
          <w:color w:val="auto"/>
        </w:rPr>
        <w:sectPr>
          <w:headerReference r:id="rId20" w:type="default"/>
          <w:footerReference r:id="rId21" w:type="default"/>
          <w:pgSz w:w="11906" w:h="16838"/>
          <w:pgMar w:top="1219" w:right="1797" w:bottom="1440" w:left="1797" w:header="851" w:footer="992" w:gutter="0"/>
          <w:cols w:space="720" w:num="1"/>
          <w:docGrid w:linePitch="312" w:charSpace="0"/>
        </w:sectPr>
      </w:pPr>
    </w:p>
    <w:p w14:paraId="083EF6CA">
      <w:pPr>
        <w:pStyle w:val="3"/>
        <w:spacing w:line="360" w:lineRule="auto"/>
        <w:jc w:val="center"/>
        <w:rPr>
          <w:rFonts w:eastAsia="黑体"/>
          <w:bCs/>
        </w:rPr>
      </w:pPr>
      <w:bookmarkStart w:id="146" w:name="_Toc21036"/>
      <w:r>
        <w:rPr>
          <w:rFonts w:eastAsia="黑体"/>
          <w:bCs/>
        </w:rPr>
        <w:t>第六章  工程部署与经费估算</w:t>
      </w:r>
      <w:bookmarkEnd w:id="146"/>
    </w:p>
    <w:p w14:paraId="728E58E1">
      <w:pPr>
        <w:pStyle w:val="4"/>
        <w:spacing w:before="120" w:beforeLines="50"/>
        <w:rPr>
          <w:rFonts w:ascii="Times New Roman" w:hAnsi="Times New Roman"/>
          <w:sz w:val="28"/>
          <w:szCs w:val="28"/>
        </w:rPr>
      </w:pPr>
      <w:bookmarkStart w:id="147" w:name="_bookmark30"/>
      <w:bookmarkEnd w:id="147"/>
      <w:bookmarkStart w:id="148" w:name="第一节__总体工作部署__"/>
      <w:bookmarkEnd w:id="148"/>
      <w:bookmarkStart w:id="149" w:name="_Toc5285"/>
      <w:r>
        <w:rPr>
          <w:rFonts w:ascii="Times New Roman" w:hAnsi="Times New Roman"/>
        </w:rPr>
        <w:t>第一节  总体部署</w:t>
      </w:r>
      <w:bookmarkEnd w:id="149"/>
    </w:p>
    <w:p w14:paraId="59F4A41A">
      <w:pPr>
        <w:spacing w:line="360" w:lineRule="auto"/>
        <w:ind w:firstLine="560" w:firstLineChars="200"/>
        <w:rPr>
          <w:sz w:val="28"/>
          <w:szCs w:val="28"/>
        </w:rPr>
      </w:pPr>
      <w:r>
        <w:rPr>
          <w:sz w:val="28"/>
          <w:szCs w:val="28"/>
        </w:rPr>
        <w:t>根据“边开采、边修复”的原则，生产中破坏多少修复多少，有利于当地的生态环境恢复。针对矿区内可能产生的矿山生态问题，应坚持“预防为主，防治结合”、“在开发中保护，在保护中开发”和“边开采、边治理”的主导思路，把矿山生态修复工作贯穿于整个矿业活动中，统筹规划，分布实施，全面推进的保护与恢复治理工作。</w:t>
      </w:r>
    </w:p>
    <w:p w14:paraId="194856BC">
      <w:pPr>
        <w:spacing w:line="360" w:lineRule="auto"/>
        <w:ind w:firstLine="560" w:firstLineChars="200"/>
        <w:rPr>
          <w:sz w:val="28"/>
          <w:szCs w:val="28"/>
        </w:rPr>
      </w:pPr>
      <w:r>
        <w:rPr>
          <w:sz w:val="28"/>
          <w:szCs w:val="28"/>
        </w:rPr>
        <w:t>矿山</w:t>
      </w:r>
      <w:r>
        <w:rPr>
          <w:rFonts w:hint="eastAsia"/>
          <w:sz w:val="28"/>
          <w:szCs w:val="28"/>
        </w:rPr>
        <w:t>生产</w:t>
      </w:r>
      <w:r>
        <w:rPr>
          <w:sz w:val="28"/>
          <w:szCs w:val="28"/>
        </w:rPr>
        <w:t>服务年限</w:t>
      </w:r>
      <w:r>
        <w:rPr>
          <w:rFonts w:hint="eastAsia" w:ascii="宋体" w:hAnsi="宋体" w:cs="宋体"/>
          <w:spacing w:val="13"/>
          <w:sz w:val="32"/>
          <w:szCs w:val="32"/>
        </w:rPr>
        <w:t>***</w:t>
      </w:r>
      <w:r>
        <w:rPr>
          <w:sz w:val="28"/>
          <w:szCs w:val="28"/>
        </w:rPr>
        <w:t>年</w:t>
      </w:r>
      <w:r>
        <w:rPr>
          <w:rFonts w:hint="eastAsia"/>
          <w:sz w:val="28"/>
          <w:szCs w:val="28"/>
        </w:rPr>
        <w:t>，</w:t>
      </w:r>
      <w:r>
        <w:rPr>
          <w:sz w:val="28"/>
          <w:szCs w:val="28"/>
        </w:rPr>
        <w:t>依据《金属矿土地复垦与生态修复技术规范》（GB/T 43933-2024）</w:t>
      </w:r>
      <w:r>
        <w:rPr>
          <w:rFonts w:hint="eastAsia" w:ascii="宋体" w:hAnsi="宋体" w:cs="宋体"/>
          <w:spacing w:val="13"/>
          <w:sz w:val="32"/>
          <w:szCs w:val="32"/>
        </w:rPr>
        <w:t>***</w:t>
      </w:r>
      <w:r>
        <w:rPr>
          <w:sz w:val="28"/>
          <w:szCs w:val="28"/>
        </w:rPr>
        <w:t>矿山后续管护期一般宜为</w:t>
      </w:r>
      <w:r>
        <w:rPr>
          <w:rFonts w:hint="eastAsia" w:ascii="宋体" w:hAnsi="宋体" w:cs="宋体"/>
          <w:spacing w:val="13"/>
          <w:sz w:val="32"/>
          <w:szCs w:val="32"/>
        </w:rPr>
        <w:t>***</w:t>
      </w:r>
      <w:r>
        <w:rPr>
          <w:sz w:val="28"/>
          <w:szCs w:val="28"/>
        </w:rPr>
        <w:t>年～5年，本方案计划后续修复管护期为</w:t>
      </w:r>
      <w:r>
        <w:rPr>
          <w:rFonts w:hint="eastAsia" w:ascii="宋体" w:hAnsi="宋体" w:cs="宋体"/>
          <w:spacing w:val="13"/>
          <w:sz w:val="32"/>
          <w:szCs w:val="32"/>
        </w:rPr>
        <w:t>***</w:t>
      </w:r>
      <w:r>
        <w:rPr>
          <w:sz w:val="28"/>
          <w:szCs w:val="28"/>
        </w:rPr>
        <w:t>年，据此确定本方案服务年限为</w:t>
      </w:r>
      <w:r>
        <w:rPr>
          <w:rFonts w:hint="eastAsia" w:ascii="宋体" w:hAnsi="宋体" w:cs="宋体"/>
          <w:spacing w:val="13"/>
          <w:sz w:val="32"/>
          <w:szCs w:val="32"/>
        </w:rPr>
        <w:t>***</w:t>
      </w:r>
      <w:r>
        <w:rPr>
          <w:sz w:val="28"/>
          <w:szCs w:val="28"/>
        </w:rPr>
        <w:t>年，即</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月至</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w:t>
      </w:r>
      <w:r>
        <w:rPr>
          <w:sz w:val="28"/>
          <w:szCs w:val="28"/>
        </w:rPr>
        <w:t>。</w:t>
      </w:r>
    </w:p>
    <w:p w14:paraId="0734233F">
      <w:pPr>
        <w:pStyle w:val="4"/>
        <w:spacing w:before="120" w:beforeLines="50"/>
        <w:rPr>
          <w:rFonts w:ascii="Times New Roman" w:hAnsi="Times New Roman"/>
          <w:sz w:val="28"/>
          <w:szCs w:val="28"/>
        </w:rPr>
      </w:pPr>
      <w:bookmarkStart w:id="150" w:name="_Toc23070"/>
      <w:r>
        <w:rPr>
          <w:rFonts w:ascii="Times New Roman" w:hAnsi="Times New Roman"/>
        </w:rPr>
        <w:t>第二节  总体经费估算</w:t>
      </w:r>
      <w:bookmarkEnd w:id="150"/>
    </w:p>
    <w:p w14:paraId="7638DD28">
      <w:pPr>
        <w:spacing w:line="360" w:lineRule="auto"/>
        <w:ind w:firstLine="562" w:firstLineChars="200"/>
        <w:jc w:val="left"/>
        <w:outlineLvl w:val="2"/>
        <w:rPr>
          <w:b/>
          <w:bCs/>
          <w:sz w:val="28"/>
          <w:szCs w:val="28"/>
        </w:rPr>
      </w:pPr>
      <w:r>
        <w:rPr>
          <w:b/>
          <w:bCs/>
          <w:sz w:val="28"/>
          <w:szCs w:val="28"/>
        </w:rPr>
        <w:t>一、经费估算依据</w:t>
      </w:r>
    </w:p>
    <w:p w14:paraId="7E894D5A">
      <w:pPr>
        <w:spacing w:line="360" w:lineRule="auto"/>
        <w:ind w:firstLine="560" w:firstLineChars="200"/>
        <w:rPr>
          <w:sz w:val="28"/>
          <w:szCs w:val="28"/>
        </w:rPr>
      </w:pPr>
      <w:r>
        <w:rPr>
          <w:sz w:val="28"/>
          <w:szCs w:val="28"/>
        </w:rPr>
        <w:t>1、《土地开发整理项目预算定额标准》（财综[2011]128号）；</w:t>
      </w:r>
    </w:p>
    <w:p w14:paraId="74695F6B">
      <w:pPr>
        <w:spacing w:line="360" w:lineRule="auto"/>
        <w:ind w:firstLine="560" w:firstLineChars="200"/>
        <w:rPr>
          <w:sz w:val="28"/>
          <w:szCs w:val="28"/>
        </w:rPr>
      </w:pPr>
      <w:r>
        <w:rPr>
          <w:sz w:val="28"/>
          <w:szCs w:val="28"/>
        </w:rPr>
        <w:t>2、《土地开发整理项目施工机械台班费定额》（财综[2011]128号）；</w:t>
      </w:r>
    </w:p>
    <w:p w14:paraId="097E711A">
      <w:pPr>
        <w:spacing w:line="360" w:lineRule="auto"/>
        <w:ind w:firstLine="560" w:firstLineChars="200"/>
        <w:rPr>
          <w:sz w:val="28"/>
          <w:szCs w:val="28"/>
        </w:rPr>
      </w:pPr>
      <w:r>
        <w:rPr>
          <w:sz w:val="28"/>
          <w:szCs w:val="28"/>
        </w:rPr>
        <w:t>3、《土地开发整理项目预算编制规定》（财综[2011]128号）；</w:t>
      </w:r>
    </w:p>
    <w:p w14:paraId="52C5B535">
      <w:pPr>
        <w:spacing w:line="360" w:lineRule="auto"/>
        <w:ind w:firstLine="560" w:firstLineChars="200"/>
        <w:rPr>
          <w:sz w:val="28"/>
          <w:szCs w:val="28"/>
        </w:rPr>
      </w:pPr>
      <w:r>
        <w:rPr>
          <w:sz w:val="28"/>
          <w:szCs w:val="28"/>
        </w:rPr>
        <w:t>4、《工程勘察设计收费标准》（计价格［2002］10号）；</w:t>
      </w:r>
    </w:p>
    <w:p w14:paraId="05C58607">
      <w:pPr>
        <w:spacing w:line="360" w:lineRule="auto"/>
        <w:ind w:firstLine="560" w:firstLineChars="200"/>
        <w:rPr>
          <w:sz w:val="28"/>
          <w:szCs w:val="28"/>
        </w:rPr>
      </w:pPr>
      <w:r>
        <w:rPr>
          <w:sz w:val="28"/>
          <w:szCs w:val="28"/>
        </w:rPr>
        <w:t>5、《</w:t>
      </w:r>
      <w:r>
        <w:rPr>
          <w:rFonts w:hint="eastAsia"/>
          <w:sz w:val="28"/>
          <w:szCs w:val="28"/>
        </w:rPr>
        <w:t>内蒙古自治区矿山生态修复工程预算定额标准（试行）</w:t>
      </w:r>
      <w:r>
        <w:rPr>
          <w:sz w:val="28"/>
          <w:szCs w:val="28"/>
        </w:rPr>
        <w:t>》（</w:t>
      </w:r>
      <w:r>
        <w:rPr>
          <w:rFonts w:hint="eastAsia"/>
          <w:sz w:val="28"/>
          <w:szCs w:val="28"/>
        </w:rPr>
        <w:t>内蒙古自治区地质调查研究院</w:t>
      </w:r>
      <w:r>
        <w:rPr>
          <w:sz w:val="28"/>
          <w:szCs w:val="28"/>
        </w:rPr>
        <w:t>202</w:t>
      </w:r>
      <w:r>
        <w:rPr>
          <w:rFonts w:hint="eastAsia"/>
          <w:sz w:val="28"/>
          <w:szCs w:val="28"/>
        </w:rPr>
        <w:t>6</w:t>
      </w:r>
      <w:r>
        <w:rPr>
          <w:sz w:val="28"/>
          <w:szCs w:val="28"/>
        </w:rPr>
        <w:t>.</w:t>
      </w:r>
      <w:r>
        <w:rPr>
          <w:rFonts w:hint="eastAsia"/>
          <w:sz w:val="28"/>
          <w:szCs w:val="28"/>
        </w:rPr>
        <w:t>3</w:t>
      </w:r>
      <w:r>
        <w:rPr>
          <w:sz w:val="28"/>
          <w:szCs w:val="28"/>
        </w:rPr>
        <w:t>）；</w:t>
      </w:r>
    </w:p>
    <w:p w14:paraId="05B370DF">
      <w:pPr>
        <w:spacing w:line="360" w:lineRule="auto"/>
        <w:ind w:firstLine="560" w:firstLineChars="200"/>
        <w:rPr>
          <w:sz w:val="28"/>
          <w:szCs w:val="28"/>
        </w:rPr>
      </w:pPr>
      <w:r>
        <w:rPr>
          <w:sz w:val="28"/>
          <w:szCs w:val="28"/>
        </w:rPr>
        <w:t>6、《关于深化增值税改革有关政策的公告》（财政部税务总局海关总署公告2019年第39号）；</w:t>
      </w:r>
    </w:p>
    <w:p w14:paraId="4FFDC293">
      <w:pPr>
        <w:spacing w:line="360" w:lineRule="auto"/>
        <w:ind w:firstLine="560" w:firstLineChars="200"/>
        <w:rPr>
          <w:sz w:val="28"/>
          <w:szCs w:val="28"/>
        </w:rPr>
      </w:pPr>
      <w:r>
        <w:rPr>
          <w:sz w:val="28"/>
          <w:szCs w:val="28"/>
        </w:rPr>
        <w:t>7、《住房和城乡建设部办公厅关于重新调整建设工程计价依据增值税税率的通知》建办标函[2019]193号；</w:t>
      </w:r>
    </w:p>
    <w:p w14:paraId="551E57A5">
      <w:pPr>
        <w:spacing w:line="360" w:lineRule="auto"/>
        <w:ind w:firstLine="560" w:firstLineChars="200"/>
        <w:rPr>
          <w:sz w:val="28"/>
          <w:szCs w:val="28"/>
        </w:rPr>
      </w:pPr>
      <w:r>
        <w:rPr>
          <w:sz w:val="28"/>
          <w:szCs w:val="28"/>
        </w:rPr>
        <w:t>8、当地材料价格信息（202</w:t>
      </w:r>
      <w:r>
        <w:rPr>
          <w:rFonts w:hint="eastAsia"/>
          <w:sz w:val="28"/>
          <w:szCs w:val="28"/>
        </w:rPr>
        <w:t>6</w:t>
      </w:r>
      <w:r>
        <w:rPr>
          <w:sz w:val="28"/>
          <w:szCs w:val="28"/>
        </w:rPr>
        <w:t>年</w:t>
      </w:r>
      <w:r>
        <w:rPr>
          <w:rFonts w:hint="eastAsia"/>
          <w:sz w:val="28"/>
          <w:szCs w:val="28"/>
        </w:rPr>
        <w:t>2</w:t>
      </w:r>
      <w:r>
        <w:rPr>
          <w:sz w:val="28"/>
          <w:szCs w:val="28"/>
        </w:rPr>
        <w:t>季度）材料价格市场询价；</w:t>
      </w:r>
    </w:p>
    <w:p w14:paraId="08153168">
      <w:pPr>
        <w:spacing w:line="360" w:lineRule="auto"/>
        <w:ind w:firstLine="560" w:firstLineChars="200"/>
        <w:rPr>
          <w:sz w:val="28"/>
          <w:szCs w:val="28"/>
        </w:rPr>
      </w:pPr>
      <w:r>
        <w:rPr>
          <w:sz w:val="28"/>
          <w:szCs w:val="28"/>
        </w:rPr>
        <w:t>9、其它有关规定和标准。</w:t>
      </w:r>
    </w:p>
    <w:p w14:paraId="30151BCE">
      <w:pPr>
        <w:spacing w:line="360" w:lineRule="auto"/>
        <w:ind w:firstLine="560" w:firstLineChars="200"/>
        <w:jc w:val="left"/>
        <w:rPr>
          <w:sz w:val="28"/>
          <w:szCs w:val="28"/>
        </w:rPr>
      </w:pPr>
      <w:r>
        <w:rPr>
          <w:sz w:val="28"/>
          <w:szCs w:val="28"/>
        </w:rPr>
        <w:t>本方案投资估算水平年为2026年，并以国家和地方政策文件规定的单价为标准。如与工程开工时间不在同一年份或物价有变动，应根据开工年的物价和政策在工程开工年重新调整。</w:t>
      </w:r>
    </w:p>
    <w:p w14:paraId="34D86A14">
      <w:pPr>
        <w:spacing w:line="360" w:lineRule="auto"/>
        <w:ind w:firstLine="562" w:firstLineChars="200"/>
        <w:jc w:val="left"/>
        <w:outlineLvl w:val="2"/>
        <w:rPr>
          <w:sz w:val="28"/>
          <w:szCs w:val="28"/>
        </w:rPr>
      </w:pPr>
      <w:r>
        <w:rPr>
          <w:b/>
          <w:bCs/>
          <w:sz w:val="28"/>
          <w:szCs w:val="28"/>
        </w:rPr>
        <w:t>二、费用构成及计费标准</w:t>
      </w:r>
    </w:p>
    <w:p w14:paraId="6D6A5C9A">
      <w:pPr>
        <w:spacing w:line="360" w:lineRule="auto"/>
        <w:ind w:firstLine="562" w:firstLineChars="200"/>
        <w:jc w:val="left"/>
        <w:rPr>
          <w:b/>
          <w:bCs/>
          <w:sz w:val="28"/>
          <w:szCs w:val="28"/>
        </w:rPr>
      </w:pPr>
      <w:r>
        <w:rPr>
          <w:rFonts w:hint="eastAsia"/>
          <w:b/>
          <w:bCs/>
          <w:sz w:val="28"/>
          <w:szCs w:val="28"/>
        </w:rPr>
        <w:t>（一）</w:t>
      </w:r>
      <w:r>
        <w:rPr>
          <w:b/>
          <w:bCs/>
          <w:sz w:val="28"/>
          <w:szCs w:val="28"/>
        </w:rPr>
        <w:t>工程施工费</w:t>
      </w:r>
    </w:p>
    <w:p w14:paraId="246F69E5">
      <w:pPr>
        <w:spacing w:line="360" w:lineRule="auto"/>
        <w:ind w:firstLine="560" w:firstLineChars="200"/>
        <w:jc w:val="left"/>
        <w:rPr>
          <w:sz w:val="28"/>
          <w:szCs w:val="28"/>
        </w:rPr>
      </w:pPr>
      <w:r>
        <w:rPr>
          <w:rFonts w:hint="eastAsia"/>
          <w:sz w:val="28"/>
          <w:szCs w:val="28"/>
        </w:rPr>
        <w:t>工程施工费单价=直接费+间接费+利润+材料价差+税金。</w:t>
      </w:r>
    </w:p>
    <w:p w14:paraId="613E4A09">
      <w:pPr>
        <w:spacing w:line="360" w:lineRule="auto"/>
        <w:ind w:firstLine="560" w:firstLineChars="200"/>
        <w:jc w:val="left"/>
        <w:rPr>
          <w:sz w:val="28"/>
          <w:szCs w:val="28"/>
        </w:rPr>
      </w:pPr>
      <w:r>
        <w:rPr>
          <w:sz w:val="28"/>
          <w:szCs w:val="28"/>
        </w:rPr>
        <w:t>1</w:t>
      </w:r>
      <w:r>
        <w:rPr>
          <w:rFonts w:hint="eastAsia"/>
          <w:sz w:val="28"/>
          <w:szCs w:val="28"/>
        </w:rPr>
        <w:t>、</w:t>
      </w:r>
      <w:r>
        <w:rPr>
          <w:sz w:val="28"/>
          <w:szCs w:val="28"/>
        </w:rPr>
        <w:t>直接费</w:t>
      </w:r>
    </w:p>
    <w:p w14:paraId="2DAB1EED">
      <w:pPr>
        <w:spacing w:line="360" w:lineRule="auto"/>
        <w:ind w:firstLine="560" w:firstLineChars="200"/>
        <w:jc w:val="left"/>
        <w:rPr>
          <w:sz w:val="28"/>
          <w:szCs w:val="28"/>
        </w:rPr>
      </w:pPr>
      <w:r>
        <w:rPr>
          <w:rFonts w:hint="eastAsia"/>
          <w:sz w:val="28"/>
          <w:szCs w:val="28"/>
        </w:rPr>
        <w:t>直接费=直接工程费+措施费</w:t>
      </w:r>
    </w:p>
    <w:p w14:paraId="18CE33E8">
      <w:pPr>
        <w:spacing w:line="360" w:lineRule="auto"/>
        <w:ind w:firstLine="560" w:firstLineChars="200"/>
        <w:jc w:val="left"/>
        <w:rPr>
          <w:sz w:val="28"/>
          <w:szCs w:val="28"/>
        </w:rPr>
      </w:pPr>
      <w:r>
        <w:rPr>
          <w:rFonts w:hint="eastAsia"/>
          <w:sz w:val="28"/>
          <w:szCs w:val="28"/>
        </w:rPr>
        <w:t>（1）</w:t>
      </w:r>
      <w:r>
        <w:rPr>
          <w:sz w:val="28"/>
          <w:szCs w:val="28"/>
        </w:rPr>
        <w:t>直接工程费</w:t>
      </w:r>
    </w:p>
    <w:p w14:paraId="39A9FB89">
      <w:pPr>
        <w:spacing w:line="360" w:lineRule="auto"/>
        <w:ind w:firstLine="560" w:firstLineChars="200"/>
        <w:rPr>
          <w:sz w:val="28"/>
          <w:szCs w:val="28"/>
        </w:rPr>
      </w:pPr>
      <w:r>
        <w:rPr>
          <w:sz w:val="28"/>
          <w:szCs w:val="28"/>
        </w:rPr>
        <w:t>直接工程费由人工费、材料费、施工机械使用费组成。</w:t>
      </w:r>
    </w:p>
    <w:p w14:paraId="49238FB6">
      <w:pPr>
        <w:spacing w:line="360" w:lineRule="auto"/>
        <w:ind w:firstLine="560" w:firstLineChars="200"/>
        <w:rPr>
          <w:sz w:val="28"/>
          <w:szCs w:val="28"/>
        </w:rPr>
      </w:pPr>
      <w:r>
        <w:rPr>
          <w:bCs/>
          <w:sz w:val="28"/>
          <w:szCs w:val="28"/>
        </w:rPr>
        <w:t>人工费=定额劳动量（工日）×人工概算单价（元／工日），人工单价根据《内蒙古自治区矿山生态修复工程预算定额标准（试行）》的规定计取，赤峰市松山区属于</w:t>
      </w:r>
      <w:r>
        <w:rPr>
          <w:rFonts w:hint="eastAsia"/>
          <w:bCs/>
          <w:sz w:val="28"/>
          <w:szCs w:val="28"/>
        </w:rPr>
        <w:t>二</w:t>
      </w:r>
      <w:r>
        <w:rPr>
          <w:bCs/>
          <w:sz w:val="28"/>
          <w:szCs w:val="28"/>
        </w:rPr>
        <w:t>类地区，人工费定额为甲类工</w:t>
      </w:r>
      <w:r>
        <w:rPr>
          <w:rFonts w:hint="eastAsia" w:ascii="宋体" w:hAnsi="宋体" w:cs="宋体"/>
          <w:spacing w:val="13"/>
          <w:sz w:val="32"/>
          <w:szCs w:val="32"/>
        </w:rPr>
        <w:t>***</w:t>
      </w:r>
      <w:r>
        <w:rPr>
          <w:bCs/>
          <w:sz w:val="28"/>
          <w:szCs w:val="28"/>
        </w:rPr>
        <w:t>元/工日、乙类工</w:t>
      </w:r>
      <w:r>
        <w:rPr>
          <w:rFonts w:hint="eastAsia" w:ascii="宋体" w:hAnsi="宋体" w:cs="宋体"/>
          <w:spacing w:val="13"/>
          <w:sz w:val="32"/>
          <w:szCs w:val="32"/>
        </w:rPr>
        <w:t>***</w:t>
      </w:r>
      <w:r>
        <w:rPr>
          <w:bCs/>
          <w:sz w:val="28"/>
          <w:szCs w:val="28"/>
        </w:rPr>
        <w:t>元/工日。</w:t>
      </w:r>
    </w:p>
    <w:p w14:paraId="744D03E5">
      <w:pPr>
        <w:spacing w:line="360" w:lineRule="auto"/>
        <w:ind w:firstLine="560" w:firstLineChars="200"/>
        <w:rPr>
          <w:bCs/>
          <w:sz w:val="28"/>
          <w:szCs w:val="28"/>
        </w:rPr>
      </w:pPr>
      <w:r>
        <w:rPr>
          <w:bCs/>
          <w:sz w:val="28"/>
          <w:szCs w:val="28"/>
        </w:rPr>
        <w:t>材料费=定额材料用量×材料单价，主要材料单价按照《内蒙古自治区矿山生态修复工程预算定额标准（试行）》编制，超出限价部分单独计算材料价差，主要材料以外的材料价格以</w:t>
      </w:r>
      <w:r>
        <w:rPr>
          <w:rFonts w:hint="eastAsia"/>
          <w:bCs/>
          <w:sz w:val="28"/>
          <w:szCs w:val="28"/>
        </w:rPr>
        <w:t>松山区</w:t>
      </w:r>
      <w:r>
        <w:rPr>
          <w:bCs/>
          <w:sz w:val="28"/>
          <w:szCs w:val="28"/>
        </w:rPr>
        <w:t>202</w:t>
      </w:r>
      <w:r>
        <w:rPr>
          <w:rFonts w:hint="eastAsia"/>
          <w:bCs/>
          <w:sz w:val="28"/>
          <w:szCs w:val="28"/>
        </w:rPr>
        <w:t>6</w:t>
      </w:r>
      <w:r>
        <w:rPr>
          <w:bCs/>
          <w:sz w:val="28"/>
          <w:szCs w:val="28"/>
        </w:rPr>
        <w:t>年</w:t>
      </w:r>
      <w:r>
        <w:rPr>
          <w:rFonts w:hint="eastAsia"/>
          <w:bCs/>
          <w:sz w:val="28"/>
          <w:szCs w:val="28"/>
        </w:rPr>
        <w:t>2</w:t>
      </w:r>
      <w:r>
        <w:rPr>
          <w:bCs/>
          <w:sz w:val="28"/>
          <w:szCs w:val="28"/>
        </w:rPr>
        <w:t>季度市场价格计取并以材料到工地实际价格计算。</w:t>
      </w:r>
    </w:p>
    <w:p w14:paraId="499B4CAC">
      <w:pPr>
        <w:spacing w:line="360" w:lineRule="auto"/>
        <w:ind w:firstLine="560" w:firstLineChars="200"/>
        <w:rPr>
          <w:sz w:val="28"/>
          <w:szCs w:val="28"/>
        </w:rPr>
      </w:pPr>
      <w:r>
        <w:rPr>
          <w:bCs/>
          <w:sz w:val="28"/>
          <w:szCs w:val="28"/>
        </w:rPr>
        <w:t>施工机械使用费=定额机械使用量（台班）×施工机械台班费（元／台班）。台班费定额依据《内蒙古自治区矿山生态修复工程预算定额标准（试行）》编制，具体见定额单价取费表。</w:t>
      </w:r>
    </w:p>
    <w:p w14:paraId="65D92C49">
      <w:pPr>
        <w:spacing w:line="360" w:lineRule="auto"/>
        <w:ind w:firstLine="560" w:firstLineChars="200"/>
        <w:jc w:val="left"/>
        <w:rPr>
          <w:sz w:val="28"/>
          <w:szCs w:val="28"/>
        </w:rPr>
      </w:pPr>
      <w:r>
        <w:rPr>
          <w:rFonts w:hint="eastAsia"/>
          <w:sz w:val="28"/>
          <w:szCs w:val="28"/>
        </w:rPr>
        <w:t>（2）</w:t>
      </w:r>
      <w:r>
        <w:rPr>
          <w:sz w:val="28"/>
          <w:szCs w:val="28"/>
        </w:rPr>
        <w:t>措施费</w:t>
      </w:r>
    </w:p>
    <w:p w14:paraId="5784E980">
      <w:pPr>
        <w:spacing w:line="360" w:lineRule="auto"/>
        <w:ind w:firstLine="560" w:firstLineChars="200"/>
        <w:rPr>
          <w:sz w:val="28"/>
          <w:szCs w:val="28"/>
        </w:rPr>
      </w:pPr>
      <w:r>
        <w:rPr>
          <w:rFonts w:hint="eastAsia"/>
          <w:sz w:val="28"/>
          <w:szCs w:val="28"/>
        </w:rPr>
        <w:t>措施费=（人工费+机械费）×措施费率</w:t>
      </w:r>
    </w:p>
    <w:p w14:paraId="20FEAC71">
      <w:pPr>
        <w:spacing w:line="360" w:lineRule="auto"/>
        <w:ind w:firstLine="560" w:firstLineChars="200"/>
        <w:rPr>
          <w:sz w:val="28"/>
          <w:szCs w:val="28"/>
        </w:rPr>
      </w:pPr>
      <w:r>
        <w:rPr>
          <w:rFonts w:hint="eastAsia"/>
          <w:sz w:val="28"/>
          <w:szCs w:val="28"/>
        </w:rPr>
        <w:t>①临时设施费</w:t>
      </w:r>
    </w:p>
    <w:p w14:paraId="652A35D4">
      <w:pPr>
        <w:spacing w:line="360" w:lineRule="auto"/>
        <w:ind w:firstLine="560" w:firstLineChars="200"/>
        <w:rPr>
          <w:sz w:val="28"/>
          <w:szCs w:val="28"/>
        </w:rPr>
      </w:pPr>
      <w:r>
        <w:rPr>
          <w:rFonts w:hint="eastAsia"/>
          <w:sz w:val="28"/>
          <w:szCs w:val="28"/>
        </w:rPr>
        <w:t>不同工程类别的临时设施费费率见下表：</w:t>
      </w:r>
    </w:p>
    <w:p w14:paraId="1F5FEA7F">
      <w:pPr>
        <w:jc w:val="center"/>
        <w:rPr>
          <w:rFonts w:eastAsia="黑体"/>
          <w:sz w:val="24"/>
          <w:szCs w:val="22"/>
        </w:rPr>
      </w:pPr>
      <w:r>
        <w:rPr>
          <w:rFonts w:eastAsia="黑体"/>
          <w:sz w:val="24"/>
          <w:szCs w:val="22"/>
        </w:rPr>
        <w:t>表6-1  措施费费率表</w:t>
      </w:r>
    </w:p>
    <w:p w14:paraId="3DB3D3DE">
      <w:pPr>
        <w:ind w:firstLine="420" w:firstLineChars="200"/>
        <w:jc w:val="left"/>
        <w:rPr>
          <w:szCs w:val="21"/>
        </w:rPr>
      </w:pPr>
    </w:p>
    <w:p w14:paraId="36D3BB4C">
      <w:pPr>
        <w:spacing w:line="360" w:lineRule="auto"/>
        <w:ind w:firstLine="560" w:firstLineChars="200"/>
        <w:rPr>
          <w:sz w:val="28"/>
          <w:szCs w:val="28"/>
        </w:rPr>
      </w:pPr>
      <w:r>
        <w:rPr>
          <w:rFonts w:hint="eastAsia"/>
          <w:sz w:val="28"/>
          <w:szCs w:val="28"/>
        </w:rPr>
        <w:t>②冬雨季施工增加费</w:t>
      </w:r>
    </w:p>
    <w:p w14:paraId="73C52FAB">
      <w:pPr>
        <w:spacing w:line="360" w:lineRule="auto"/>
        <w:ind w:firstLine="560" w:firstLineChars="200"/>
        <w:rPr>
          <w:sz w:val="28"/>
          <w:szCs w:val="28"/>
        </w:rPr>
      </w:pPr>
      <w:r>
        <w:rPr>
          <w:rFonts w:hint="eastAsia"/>
          <w:sz w:val="28"/>
          <w:szCs w:val="28"/>
        </w:rPr>
        <w:t>按人工费+机械费的百分率计算，费率为</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%。其中，不在冬雨季施工的项目取小值，部分工程在冬雨季施工的项目取中值，全部工程在冬雨季施工的项目取大值。</w:t>
      </w:r>
    </w:p>
    <w:p w14:paraId="6EC2A3E3">
      <w:pPr>
        <w:spacing w:line="360" w:lineRule="auto"/>
        <w:ind w:firstLine="560" w:firstLineChars="200"/>
        <w:rPr>
          <w:sz w:val="28"/>
          <w:szCs w:val="28"/>
        </w:rPr>
      </w:pPr>
      <w:r>
        <w:rPr>
          <w:rFonts w:hint="eastAsia"/>
          <w:sz w:val="28"/>
          <w:szCs w:val="28"/>
        </w:rPr>
        <w:t>③夜间施工增加费</w:t>
      </w:r>
    </w:p>
    <w:p w14:paraId="3C16238A">
      <w:pPr>
        <w:spacing w:line="360" w:lineRule="auto"/>
        <w:ind w:firstLine="560" w:firstLineChars="200"/>
        <w:rPr>
          <w:sz w:val="28"/>
          <w:szCs w:val="28"/>
        </w:rPr>
      </w:pPr>
      <w:r>
        <w:rPr>
          <w:rFonts w:hint="eastAsia"/>
          <w:sz w:val="28"/>
          <w:szCs w:val="28"/>
        </w:rPr>
        <w:t>按人工费+机械费的百分率计算，费率取</w:t>
      </w:r>
      <w:r>
        <w:rPr>
          <w:rFonts w:hint="eastAsia" w:ascii="宋体" w:hAnsi="宋体" w:cs="宋体"/>
          <w:spacing w:val="13"/>
          <w:sz w:val="32"/>
          <w:szCs w:val="32"/>
        </w:rPr>
        <w:t>***</w:t>
      </w:r>
      <w:r>
        <w:rPr>
          <w:rFonts w:hint="eastAsia"/>
          <w:sz w:val="28"/>
          <w:szCs w:val="28"/>
        </w:rPr>
        <w:t>%。</w:t>
      </w:r>
    </w:p>
    <w:p w14:paraId="385E4A83">
      <w:pPr>
        <w:spacing w:line="360" w:lineRule="auto"/>
        <w:ind w:firstLine="560" w:firstLineChars="200"/>
        <w:rPr>
          <w:sz w:val="28"/>
          <w:szCs w:val="28"/>
        </w:rPr>
      </w:pPr>
      <w:r>
        <w:rPr>
          <w:rFonts w:hint="eastAsia"/>
          <w:sz w:val="28"/>
          <w:szCs w:val="28"/>
        </w:rPr>
        <w:t>④施工辅助费</w:t>
      </w:r>
    </w:p>
    <w:p w14:paraId="145D5437">
      <w:pPr>
        <w:spacing w:line="360" w:lineRule="auto"/>
        <w:ind w:firstLine="560" w:firstLineChars="200"/>
        <w:rPr>
          <w:sz w:val="28"/>
          <w:szCs w:val="28"/>
        </w:rPr>
      </w:pPr>
      <w:r>
        <w:rPr>
          <w:rFonts w:hint="eastAsia"/>
          <w:sz w:val="28"/>
          <w:szCs w:val="28"/>
        </w:rPr>
        <w:t>按人工费+机械费的百分率计算，费率取</w:t>
      </w:r>
      <w:r>
        <w:rPr>
          <w:rFonts w:hint="eastAsia" w:ascii="宋体" w:hAnsi="宋体" w:cs="宋体"/>
          <w:spacing w:val="13"/>
          <w:sz w:val="32"/>
          <w:szCs w:val="32"/>
        </w:rPr>
        <w:t>***</w:t>
      </w:r>
      <w:r>
        <w:rPr>
          <w:rFonts w:hint="eastAsia"/>
          <w:sz w:val="28"/>
          <w:szCs w:val="28"/>
        </w:rPr>
        <w:t>%。</w:t>
      </w:r>
    </w:p>
    <w:p w14:paraId="5B74868A">
      <w:pPr>
        <w:spacing w:line="360" w:lineRule="auto"/>
        <w:ind w:firstLine="560" w:firstLineChars="200"/>
        <w:rPr>
          <w:sz w:val="28"/>
          <w:szCs w:val="28"/>
        </w:rPr>
      </w:pPr>
      <w:r>
        <w:rPr>
          <w:rFonts w:hint="eastAsia"/>
          <w:sz w:val="28"/>
          <w:szCs w:val="28"/>
        </w:rPr>
        <w:t>⑤安全施工措施费</w:t>
      </w:r>
    </w:p>
    <w:p w14:paraId="205A3DB1">
      <w:pPr>
        <w:spacing w:line="360" w:lineRule="auto"/>
        <w:ind w:firstLine="560" w:firstLineChars="200"/>
        <w:rPr>
          <w:sz w:val="28"/>
          <w:szCs w:val="28"/>
        </w:rPr>
      </w:pPr>
      <w:r>
        <w:rPr>
          <w:rFonts w:hint="eastAsia"/>
          <w:sz w:val="28"/>
          <w:szCs w:val="28"/>
        </w:rPr>
        <w:t>按人工费+机械费的百分率计算，费率取</w:t>
      </w:r>
      <w:r>
        <w:rPr>
          <w:rFonts w:hint="eastAsia" w:ascii="宋体" w:hAnsi="宋体" w:cs="宋体"/>
          <w:spacing w:val="13"/>
          <w:sz w:val="32"/>
          <w:szCs w:val="32"/>
        </w:rPr>
        <w:t>***</w:t>
      </w:r>
      <w:r>
        <w:rPr>
          <w:rFonts w:hint="eastAsia"/>
          <w:sz w:val="28"/>
          <w:szCs w:val="28"/>
        </w:rPr>
        <w:t>%。</w:t>
      </w:r>
    </w:p>
    <w:p w14:paraId="40FD75CF">
      <w:pPr>
        <w:spacing w:line="360" w:lineRule="auto"/>
        <w:ind w:firstLine="560" w:firstLineChars="200"/>
        <w:jc w:val="left"/>
        <w:rPr>
          <w:sz w:val="28"/>
          <w:szCs w:val="28"/>
        </w:rPr>
      </w:pPr>
      <w:r>
        <w:rPr>
          <w:rFonts w:hint="eastAsia"/>
          <w:sz w:val="28"/>
          <w:szCs w:val="28"/>
        </w:rPr>
        <w:t>2、</w:t>
      </w:r>
      <w:r>
        <w:rPr>
          <w:sz w:val="28"/>
          <w:szCs w:val="28"/>
        </w:rPr>
        <w:t>间接费</w:t>
      </w:r>
    </w:p>
    <w:p w14:paraId="569D5D1D">
      <w:pPr>
        <w:spacing w:line="360" w:lineRule="auto"/>
        <w:ind w:firstLine="560" w:firstLineChars="200"/>
        <w:rPr>
          <w:sz w:val="28"/>
          <w:szCs w:val="28"/>
        </w:rPr>
      </w:pPr>
      <w:r>
        <w:rPr>
          <w:rFonts w:hint="eastAsia"/>
          <w:sz w:val="28"/>
          <w:szCs w:val="28"/>
        </w:rPr>
        <w:t>间接费=直接费×间接费费率</w:t>
      </w:r>
    </w:p>
    <w:p w14:paraId="6E0A1659">
      <w:pPr>
        <w:spacing w:line="360" w:lineRule="auto"/>
        <w:ind w:firstLine="560" w:firstLineChars="200"/>
        <w:rPr>
          <w:sz w:val="28"/>
          <w:szCs w:val="28"/>
        </w:rPr>
      </w:pPr>
      <w:r>
        <w:rPr>
          <w:rFonts w:hint="eastAsia"/>
          <w:sz w:val="28"/>
          <w:szCs w:val="28"/>
        </w:rPr>
        <w:t>不同工程类别的间接费费率见下表：</w:t>
      </w:r>
    </w:p>
    <w:p w14:paraId="140834FE">
      <w:pPr>
        <w:jc w:val="center"/>
        <w:rPr>
          <w:rFonts w:eastAsia="黑体"/>
          <w:sz w:val="24"/>
          <w:szCs w:val="22"/>
        </w:rPr>
      </w:pPr>
      <w:r>
        <w:rPr>
          <w:rFonts w:eastAsia="黑体"/>
          <w:sz w:val="24"/>
          <w:szCs w:val="22"/>
        </w:rPr>
        <w:t>表6-2  间接费费率表</w:t>
      </w:r>
    </w:p>
    <w:p w14:paraId="19E5B40A">
      <w:pPr>
        <w:snapToGrid w:val="0"/>
        <w:spacing w:before="120" w:beforeLines="50" w:line="360" w:lineRule="auto"/>
        <w:ind w:firstLine="560" w:firstLineChars="200"/>
        <w:jc w:val="left"/>
        <w:rPr>
          <w:sz w:val="28"/>
          <w:szCs w:val="28"/>
        </w:rPr>
      </w:pPr>
      <w:r>
        <w:rPr>
          <w:rFonts w:hint="eastAsia"/>
          <w:sz w:val="28"/>
          <w:szCs w:val="28"/>
        </w:rPr>
        <w:t>3、</w:t>
      </w:r>
      <w:r>
        <w:rPr>
          <w:sz w:val="28"/>
          <w:szCs w:val="28"/>
        </w:rPr>
        <w:t>利润</w:t>
      </w:r>
    </w:p>
    <w:p w14:paraId="1C38AD37">
      <w:pPr>
        <w:spacing w:line="360" w:lineRule="auto"/>
        <w:ind w:firstLine="560" w:firstLineChars="200"/>
        <w:jc w:val="left"/>
        <w:rPr>
          <w:bCs/>
          <w:sz w:val="28"/>
          <w:szCs w:val="28"/>
        </w:rPr>
      </w:pPr>
      <w:r>
        <w:rPr>
          <w:bCs/>
          <w:sz w:val="28"/>
          <w:szCs w:val="28"/>
        </w:rPr>
        <w:t>依据《内蒙古自治区矿山生态修复工程预算定额标准（试行）》规定，利润按直接费与间接费之和的</w:t>
      </w:r>
      <w:r>
        <w:rPr>
          <w:rFonts w:hint="eastAsia" w:ascii="宋体" w:hAnsi="宋体" w:cs="宋体"/>
          <w:spacing w:val="13"/>
          <w:sz w:val="32"/>
          <w:szCs w:val="32"/>
        </w:rPr>
        <w:t>***</w:t>
      </w:r>
      <w:r>
        <w:rPr>
          <w:bCs/>
          <w:sz w:val="28"/>
          <w:szCs w:val="28"/>
        </w:rPr>
        <w:t>%计取。</w:t>
      </w:r>
    </w:p>
    <w:p w14:paraId="4559D8B1">
      <w:pPr>
        <w:spacing w:line="360" w:lineRule="auto"/>
        <w:ind w:firstLine="560" w:firstLineChars="200"/>
        <w:jc w:val="left"/>
        <w:rPr>
          <w:bCs/>
          <w:sz w:val="28"/>
          <w:szCs w:val="28"/>
        </w:rPr>
      </w:pPr>
      <w:r>
        <w:rPr>
          <w:rFonts w:hint="eastAsia"/>
          <w:bCs/>
          <w:sz w:val="28"/>
          <w:szCs w:val="28"/>
        </w:rPr>
        <w:t>利润=（直接费+间接费）×利润率</w:t>
      </w:r>
    </w:p>
    <w:p w14:paraId="22DAE39B">
      <w:pPr>
        <w:spacing w:line="360" w:lineRule="auto"/>
        <w:ind w:firstLine="560" w:firstLineChars="200"/>
        <w:jc w:val="left"/>
        <w:rPr>
          <w:sz w:val="28"/>
          <w:szCs w:val="28"/>
        </w:rPr>
      </w:pPr>
      <w:r>
        <w:rPr>
          <w:rFonts w:hint="eastAsia"/>
          <w:sz w:val="28"/>
          <w:szCs w:val="28"/>
        </w:rPr>
        <w:t>4、材料价差</w:t>
      </w:r>
    </w:p>
    <w:p w14:paraId="425A7AF7">
      <w:pPr>
        <w:spacing w:line="360" w:lineRule="auto"/>
        <w:ind w:firstLine="560" w:firstLineChars="200"/>
        <w:jc w:val="left"/>
        <w:rPr>
          <w:sz w:val="28"/>
          <w:szCs w:val="28"/>
        </w:rPr>
      </w:pPr>
      <w:r>
        <w:rPr>
          <w:rFonts w:hint="eastAsia"/>
          <w:sz w:val="28"/>
          <w:szCs w:val="28"/>
        </w:rPr>
        <w:t>材料价差=材料消耗量×（材料预算价格－材料限价）</w:t>
      </w:r>
    </w:p>
    <w:p w14:paraId="242C1E6A">
      <w:pPr>
        <w:spacing w:line="360" w:lineRule="auto"/>
        <w:ind w:firstLine="560" w:firstLineChars="200"/>
        <w:jc w:val="left"/>
        <w:rPr>
          <w:sz w:val="28"/>
          <w:szCs w:val="28"/>
        </w:rPr>
      </w:pPr>
      <w:r>
        <w:rPr>
          <w:rFonts w:hint="eastAsia"/>
          <w:sz w:val="28"/>
          <w:szCs w:val="28"/>
        </w:rPr>
        <w:t>5、</w:t>
      </w:r>
      <w:r>
        <w:rPr>
          <w:sz w:val="28"/>
          <w:szCs w:val="28"/>
        </w:rPr>
        <w:t>税金</w:t>
      </w:r>
    </w:p>
    <w:p w14:paraId="4B978353">
      <w:pPr>
        <w:spacing w:line="360" w:lineRule="auto"/>
        <w:ind w:firstLine="560" w:firstLineChars="200"/>
        <w:jc w:val="left"/>
        <w:rPr>
          <w:sz w:val="28"/>
          <w:szCs w:val="28"/>
        </w:rPr>
      </w:pPr>
      <w:r>
        <w:rPr>
          <w:rFonts w:hint="eastAsia"/>
          <w:sz w:val="28"/>
          <w:szCs w:val="28"/>
        </w:rPr>
        <w:t>按直接费、间接费、利润及材料价差之和计算，税率取9%，计算公式为：</w:t>
      </w:r>
    </w:p>
    <w:p w14:paraId="0E95F78C">
      <w:pPr>
        <w:spacing w:line="360" w:lineRule="auto"/>
        <w:ind w:firstLine="560" w:firstLineChars="200"/>
        <w:jc w:val="left"/>
        <w:rPr>
          <w:sz w:val="28"/>
          <w:szCs w:val="28"/>
        </w:rPr>
      </w:pPr>
      <w:r>
        <w:rPr>
          <w:rFonts w:hint="eastAsia"/>
          <w:sz w:val="28"/>
          <w:szCs w:val="28"/>
        </w:rPr>
        <w:t>税金=（直接费+间接费+利润+材料价差）×9%</w:t>
      </w:r>
    </w:p>
    <w:p w14:paraId="2A467B05">
      <w:pPr>
        <w:spacing w:line="360" w:lineRule="auto"/>
        <w:ind w:firstLine="562" w:firstLineChars="200"/>
        <w:jc w:val="left"/>
        <w:rPr>
          <w:b/>
          <w:bCs/>
          <w:sz w:val="28"/>
          <w:szCs w:val="28"/>
        </w:rPr>
      </w:pPr>
      <w:r>
        <w:rPr>
          <w:rFonts w:hint="eastAsia"/>
          <w:b/>
          <w:bCs/>
          <w:sz w:val="28"/>
          <w:szCs w:val="28"/>
        </w:rPr>
        <w:t>（二）</w:t>
      </w:r>
      <w:r>
        <w:rPr>
          <w:b/>
          <w:bCs/>
          <w:sz w:val="28"/>
          <w:szCs w:val="28"/>
        </w:rPr>
        <w:t>其他费用</w:t>
      </w:r>
    </w:p>
    <w:p w14:paraId="6CEA3B64">
      <w:pPr>
        <w:spacing w:line="360" w:lineRule="auto"/>
        <w:ind w:firstLine="560" w:firstLineChars="200"/>
        <w:jc w:val="left"/>
        <w:rPr>
          <w:sz w:val="28"/>
          <w:szCs w:val="28"/>
        </w:rPr>
      </w:pPr>
      <w:r>
        <w:rPr>
          <w:sz w:val="28"/>
          <w:szCs w:val="28"/>
        </w:rPr>
        <w:t>其他费用包括前期工作费、工程监理费、竣工验收费、</w:t>
      </w:r>
      <w:r>
        <w:rPr>
          <w:rFonts w:hint="eastAsia"/>
          <w:sz w:val="28"/>
          <w:szCs w:val="28"/>
        </w:rPr>
        <w:t>项目</w:t>
      </w:r>
      <w:r>
        <w:rPr>
          <w:sz w:val="28"/>
          <w:szCs w:val="28"/>
        </w:rPr>
        <w:t>管理费。</w:t>
      </w:r>
    </w:p>
    <w:p w14:paraId="70F55D97">
      <w:pPr>
        <w:spacing w:line="360" w:lineRule="auto"/>
        <w:ind w:firstLine="560" w:firstLineChars="200"/>
        <w:jc w:val="left"/>
        <w:rPr>
          <w:sz w:val="28"/>
          <w:szCs w:val="28"/>
        </w:rPr>
      </w:pPr>
      <w:r>
        <w:rPr>
          <w:sz w:val="28"/>
          <w:szCs w:val="28"/>
        </w:rPr>
        <w:t>1</w:t>
      </w:r>
      <w:r>
        <w:rPr>
          <w:rFonts w:hint="eastAsia"/>
          <w:sz w:val="28"/>
          <w:szCs w:val="28"/>
        </w:rPr>
        <w:t>、</w:t>
      </w:r>
      <w:r>
        <w:rPr>
          <w:sz w:val="28"/>
          <w:szCs w:val="28"/>
        </w:rPr>
        <w:t>前期工作费</w:t>
      </w:r>
    </w:p>
    <w:p w14:paraId="10146A36">
      <w:pPr>
        <w:spacing w:line="360" w:lineRule="auto"/>
        <w:ind w:firstLine="560" w:firstLineChars="200"/>
        <w:jc w:val="left"/>
        <w:rPr>
          <w:sz w:val="28"/>
          <w:szCs w:val="28"/>
        </w:rPr>
      </w:pPr>
      <w:r>
        <w:rPr>
          <w:sz w:val="28"/>
          <w:szCs w:val="28"/>
        </w:rPr>
        <w:t>包括项目可行性研究费、项目勘测费、项目设计与预算编制费和项目招标代理费。</w:t>
      </w:r>
    </w:p>
    <w:p w14:paraId="7A3B52EF">
      <w:pPr>
        <w:spacing w:line="360" w:lineRule="auto"/>
        <w:ind w:firstLine="560" w:firstLineChars="200"/>
        <w:jc w:val="left"/>
        <w:rPr>
          <w:sz w:val="28"/>
          <w:szCs w:val="28"/>
        </w:rPr>
      </w:pPr>
      <w:r>
        <w:rPr>
          <w:rFonts w:hint="eastAsia"/>
          <w:sz w:val="28"/>
          <w:szCs w:val="28"/>
        </w:rPr>
        <w:t>（1）项目可研编制费</w:t>
      </w:r>
    </w:p>
    <w:p w14:paraId="50E9994D">
      <w:pPr>
        <w:spacing w:line="360" w:lineRule="auto"/>
        <w:ind w:firstLine="560" w:firstLineChars="200"/>
        <w:jc w:val="left"/>
        <w:rPr>
          <w:sz w:val="28"/>
          <w:szCs w:val="28"/>
        </w:rPr>
      </w:pPr>
      <w:r>
        <w:rPr>
          <w:rFonts w:hint="eastAsia"/>
          <w:sz w:val="28"/>
          <w:szCs w:val="28"/>
        </w:rPr>
        <w:t>以工程施工费作为计费基数，采用分档定额计费方式，各区间按内插法确定。</w:t>
      </w:r>
    </w:p>
    <w:p w14:paraId="2CAB1031">
      <w:pPr>
        <w:jc w:val="center"/>
        <w:rPr>
          <w:rFonts w:eastAsia="黑体"/>
          <w:sz w:val="24"/>
          <w:szCs w:val="22"/>
        </w:rPr>
      </w:pPr>
      <w:r>
        <w:rPr>
          <w:rFonts w:eastAsia="黑体"/>
          <w:sz w:val="24"/>
          <w:szCs w:val="22"/>
        </w:rPr>
        <w:t>表6-3  项目可研论证费计费标准表</w:t>
      </w:r>
    </w:p>
    <w:p w14:paraId="3998ECE3">
      <w:pPr>
        <w:spacing w:line="360" w:lineRule="auto"/>
        <w:rPr>
          <w:szCs w:val="21"/>
        </w:rPr>
      </w:pPr>
      <w:r>
        <w:rPr>
          <w:rFonts w:hint="eastAsia"/>
          <w:szCs w:val="21"/>
        </w:rPr>
        <w:t>注：计费基数不足50万元时，按1万元计取；计费基数大于1亿元时，按计费基数的0.25%计取。</w:t>
      </w:r>
    </w:p>
    <w:p w14:paraId="3AC48613">
      <w:pPr>
        <w:spacing w:line="360" w:lineRule="auto"/>
        <w:ind w:firstLine="560" w:firstLineChars="200"/>
        <w:jc w:val="left"/>
        <w:rPr>
          <w:sz w:val="28"/>
          <w:szCs w:val="28"/>
        </w:rPr>
      </w:pPr>
      <w:r>
        <w:rPr>
          <w:rFonts w:hint="eastAsia"/>
          <w:sz w:val="28"/>
          <w:szCs w:val="28"/>
        </w:rPr>
        <w:t>（2）项目勘测费</w:t>
      </w:r>
    </w:p>
    <w:p w14:paraId="205856EE">
      <w:pPr>
        <w:spacing w:line="360" w:lineRule="auto"/>
        <w:ind w:firstLine="560" w:firstLineChars="200"/>
        <w:jc w:val="left"/>
        <w:rPr>
          <w:sz w:val="28"/>
          <w:szCs w:val="28"/>
        </w:rPr>
      </w:pPr>
      <w:r>
        <w:rPr>
          <w:rFonts w:hint="eastAsia"/>
          <w:sz w:val="28"/>
          <w:szCs w:val="28"/>
        </w:rPr>
        <w:t>以工程施工费作为计费基数，采用分档定额计费方式，各区间按内插法确定。</w:t>
      </w:r>
    </w:p>
    <w:p w14:paraId="780B9BA2">
      <w:pPr>
        <w:jc w:val="center"/>
        <w:rPr>
          <w:rFonts w:eastAsia="黑体"/>
          <w:sz w:val="24"/>
          <w:szCs w:val="22"/>
        </w:rPr>
      </w:pPr>
      <w:r>
        <w:rPr>
          <w:rFonts w:eastAsia="黑体"/>
          <w:sz w:val="24"/>
          <w:szCs w:val="22"/>
        </w:rPr>
        <w:t>表6-4  项目勘测计费标准表</w:t>
      </w:r>
    </w:p>
    <w:p w14:paraId="705E9860">
      <w:pPr>
        <w:spacing w:line="360" w:lineRule="auto"/>
        <w:rPr>
          <w:sz w:val="28"/>
          <w:szCs w:val="28"/>
        </w:rPr>
      </w:pPr>
      <w:r>
        <w:rPr>
          <w:rFonts w:hint="eastAsia"/>
          <w:szCs w:val="21"/>
        </w:rPr>
        <w:t>注：计费基数不足50万元时，按0.75万元计取；计费基数大于1亿元时，按计费基数的0.80%计取。</w:t>
      </w:r>
    </w:p>
    <w:p w14:paraId="780884E5">
      <w:pPr>
        <w:spacing w:line="360" w:lineRule="auto"/>
        <w:ind w:firstLine="560" w:firstLineChars="200"/>
        <w:jc w:val="left"/>
        <w:rPr>
          <w:sz w:val="28"/>
          <w:szCs w:val="28"/>
        </w:rPr>
      </w:pPr>
      <w:r>
        <w:rPr>
          <w:rFonts w:hint="eastAsia"/>
          <w:sz w:val="28"/>
          <w:szCs w:val="28"/>
        </w:rPr>
        <w:t>（3）项目设计与预算编制费</w:t>
      </w:r>
    </w:p>
    <w:p w14:paraId="79DF464A">
      <w:pPr>
        <w:spacing w:line="360" w:lineRule="auto"/>
        <w:ind w:firstLine="560" w:firstLineChars="200"/>
        <w:jc w:val="left"/>
        <w:rPr>
          <w:sz w:val="28"/>
          <w:szCs w:val="28"/>
        </w:rPr>
      </w:pPr>
      <w:r>
        <w:rPr>
          <w:rFonts w:hint="eastAsia"/>
          <w:sz w:val="28"/>
          <w:szCs w:val="28"/>
        </w:rPr>
        <w:t>以工程施工费作为计费基数，釆用分档定额计费方式计算，各区间按内插法确定。</w:t>
      </w:r>
    </w:p>
    <w:p w14:paraId="059883E4">
      <w:pPr>
        <w:jc w:val="center"/>
        <w:rPr>
          <w:rFonts w:eastAsia="黑体"/>
          <w:sz w:val="24"/>
          <w:szCs w:val="22"/>
        </w:rPr>
      </w:pPr>
      <w:r>
        <w:rPr>
          <w:rFonts w:eastAsia="黑体"/>
          <w:sz w:val="24"/>
          <w:szCs w:val="22"/>
        </w:rPr>
        <w:t>表6-</w:t>
      </w:r>
      <w:r>
        <w:rPr>
          <w:rFonts w:hint="eastAsia" w:eastAsia="黑体"/>
          <w:sz w:val="24"/>
          <w:szCs w:val="22"/>
        </w:rPr>
        <w:t>5</w:t>
      </w:r>
      <w:r>
        <w:rPr>
          <w:rFonts w:eastAsia="黑体"/>
          <w:sz w:val="24"/>
          <w:szCs w:val="22"/>
        </w:rPr>
        <w:t xml:space="preserve">  </w:t>
      </w:r>
      <w:r>
        <w:rPr>
          <w:rFonts w:hint="eastAsia" w:eastAsia="黑体"/>
          <w:sz w:val="24"/>
          <w:szCs w:val="22"/>
        </w:rPr>
        <w:t>项目设计与预算编制费计费标准</w:t>
      </w:r>
      <w:r>
        <w:rPr>
          <w:rFonts w:eastAsia="黑体"/>
          <w:sz w:val="24"/>
          <w:szCs w:val="22"/>
        </w:rPr>
        <w:t>表</w:t>
      </w:r>
    </w:p>
    <w:p w14:paraId="470870CF">
      <w:pPr>
        <w:spacing w:line="360" w:lineRule="auto"/>
        <w:jc w:val="left"/>
        <w:rPr>
          <w:sz w:val="28"/>
          <w:szCs w:val="28"/>
        </w:rPr>
      </w:pPr>
      <w:r>
        <w:rPr>
          <w:rFonts w:hint="eastAsia"/>
          <w:szCs w:val="21"/>
        </w:rPr>
        <w:t>注：计费基数不足50万元时，按2.25万元计取；计费基数大于1亿元时，按计费基数的3.04%计取。</w:t>
      </w:r>
    </w:p>
    <w:p w14:paraId="29DC8AC5">
      <w:pPr>
        <w:spacing w:line="360" w:lineRule="auto"/>
        <w:ind w:firstLine="560" w:firstLineChars="200"/>
        <w:jc w:val="left"/>
        <w:rPr>
          <w:sz w:val="28"/>
          <w:szCs w:val="28"/>
        </w:rPr>
      </w:pPr>
      <w:r>
        <w:rPr>
          <w:rFonts w:hint="eastAsia"/>
          <w:sz w:val="28"/>
          <w:szCs w:val="28"/>
        </w:rPr>
        <w:t>（4）项目招投标代理费</w:t>
      </w:r>
    </w:p>
    <w:p w14:paraId="0CC46BAE">
      <w:pPr>
        <w:spacing w:line="360" w:lineRule="auto"/>
        <w:ind w:firstLine="560" w:firstLineChars="200"/>
        <w:jc w:val="left"/>
        <w:rPr>
          <w:sz w:val="28"/>
          <w:szCs w:val="28"/>
        </w:rPr>
      </w:pPr>
      <w:r>
        <w:rPr>
          <w:rFonts w:hint="eastAsia"/>
          <w:sz w:val="28"/>
          <w:szCs w:val="28"/>
        </w:rPr>
        <w:t>以工程施工费作为计费基数，釆用差额定率累进法计算。</w:t>
      </w:r>
    </w:p>
    <w:p w14:paraId="6663A9F5">
      <w:pPr>
        <w:jc w:val="center"/>
        <w:rPr>
          <w:rFonts w:eastAsia="黑体"/>
        </w:rPr>
      </w:pPr>
      <w:r>
        <w:rPr>
          <w:rFonts w:eastAsia="黑体"/>
          <w:sz w:val="24"/>
          <w:szCs w:val="22"/>
        </w:rPr>
        <w:t>表6-</w:t>
      </w:r>
      <w:r>
        <w:rPr>
          <w:rFonts w:hint="eastAsia" w:eastAsia="黑体"/>
          <w:sz w:val="24"/>
          <w:szCs w:val="22"/>
        </w:rPr>
        <w:t>6</w:t>
      </w:r>
      <w:r>
        <w:rPr>
          <w:rFonts w:eastAsia="黑体"/>
          <w:sz w:val="24"/>
          <w:szCs w:val="22"/>
        </w:rPr>
        <w:t xml:space="preserve">  项目招标代理费计费标准表</w:t>
      </w:r>
    </w:p>
    <w:p w14:paraId="187BFB3E">
      <w:pPr>
        <w:spacing w:line="360" w:lineRule="auto"/>
        <w:jc w:val="left"/>
        <w:rPr>
          <w:bCs/>
          <w:sz w:val="24"/>
          <w:szCs w:val="21"/>
        </w:rPr>
      </w:pPr>
      <w:r>
        <w:rPr>
          <w:rFonts w:hint="eastAsia"/>
          <w:szCs w:val="21"/>
        </w:rPr>
        <w:t>注：计费基数不足50万元时，按0.50万元计取；计费基数大于1亿元时，超出部分按0.05%计取。</w:t>
      </w:r>
    </w:p>
    <w:p w14:paraId="676227D4">
      <w:pPr>
        <w:spacing w:line="360" w:lineRule="auto"/>
        <w:ind w:firstLine="560" w:firstLineChars="200"/>
        <w:jc w:val="left"/>
        <w:rPr>
          <w:sz w:val="28"/>
          <w:szCs w:val="28"/>
        </w:rPr>
      </w:pPr>
      <w:r>
        <w:rPr>
          <w:sz w:val="28"/>
          <w:szCs w:val="28"/>
        </w:rPr>
        <w:t>2</w:t>
      </w:r>
      <w:r>
        <w:rPr>
          <w:rFonts w:hint="eastAsia"/>
          <w:sz w:val="28"/>
          <w:szCs w:val="28"/>
        </w:rPr>
        <w:t>、</w:t>
      </w:r>
      <w:r>
        <w:rPr>
          <w:sz w:val="28"/>
          <w:szCs w:val="28"/>
        </w:rPr>
        <w:t>工程监理费</w:t>
      </w:r>
    </w:p>
    <w:p w14:paraId="3B9ED399">
      <w:pPr>
        <w:spacing w:line="360" w:lineRule="auto"/>
        <w:ind w:firstLine="560" w:firstLineChars="200"/>
        <w:jc w:val="left"/>
        <w:rPr>
          <w:sz w:val="28"/>
          <w:szCs w:val="28"/>
        </w:rPr>
      </w:pPr>
      <w:r>
        <w:rPr>
          <w:rFonts w:hint="eastAsia"/>
          <w:sz w:val="28"/>
          <w:szCs w:val="28"/>
        </w:rPr>
        <w:t>以工程施工费作为计费基数，采用分档定额计费方式计算，各区间按内插法确定。</w:t>
      </w:r>
    </w:p>
    <w:p w14:paraId="5728576B">
      <w:pPr>
        <w:jc w:val="center"/>
        <w:rPr>
          <w:rFonts w:eastAsia="黑体"/>
          <w:sz w:val="24"/>
          <w:szCs w:val="22"/>
        </w:rPr>
      </w:pPr>
      <w:r>
        <w:rPr>
          <w:rFonts w:eastAsia="黑体"/>
          <w:sz w:val="24"/>
          <w:szCs w:val="22"/>
        </w:rPr>
        <w:t>表6-</w:t>
      </w:r>
      <w:r>
        <w:rPr>
          <w:rFonts w:hint="eastAsia" w:eastAsia="黑体"/>
          <w:sz w:val="24"/>
          <w:szCs w:val="22"/>
        </w:rPr>
        <w:t>7</w:t>
      </w:r>
      <w:r>
        <w:rPr>
          <w:rFonts w:eastAsia="黑体"/>
          <w:sz w:val="24"/>
          <w:szCs w:val="22"/>
        </w:rPr>
        <w:t xml:space="preserve">  工程监理费计费标准表</w:t>
      </w:r>
    </w:p>
    <w:p w14:paraId="41AE7E9C">
      <w:pPr>
        <w:spacing w:line="360" w:lineRule="auto"/>
        <w:jc w:val="left"/>
        <w:rPr>
          <w:szCs w:val="21"/>
        </w:rPr>
      </w:pPr>
      <w:r>
        <w:rPr>
          <w:rFonts w:hint="eastAsia"/>
          <w:szCs w:val="21"/>
        </w:rPr>
        <w:t>注：计费基数不足50 万元时，按2.3 万元计取；计费基数大于1 亿元时，按计费基数的2.18%计取。</w:t>
      </w:r>
    </w:p>
    <w:p w14:paraId="5E3BFF3C">
      <w:pPr>
        <w:spacing w:line="360" w:lineRule="auto"/>
        <w:ind w:firstLine="560" w:firstLineChars="200"/>
        <w:jc w:val="left"/>
        <w:rPr>
          <w:sz w:val="28"/>
          <w:szCs w:val="28"/>
        </w:rPr>
      </w:pPr>
      <w:r>
        <w:rPr>
          <w:sz w:val="28"/>
          <w:szCs w:val="28"/>
        </w:rPr>
        <w:t>3</w:t>
      </w:r>
      <w:r>
        <w:rPr>
          <w:rFonts w:hint="eastAsia"/>
          <w:sz w:val="28"/>
          <w:szCs w:val="28"/>
        </w:rPr>
        <w:t>、</w:t>
      </w:r>
      <w:r>
        <w:rPr>
          <w:sz w:val="28"/>
          <w:szCs w:val="28"/>
        </w:rPr>
        <w:t>竣工验收费</w:t>
      </w:r>
    </w:p>
    <w:p w14:paraId="3EBB9576">
      <w:pPr>
        <w:spacing w:line="360" w:lineRule="auto"/>
        <w:ind w:firstLine="560" w:firstLineChars="200"/>
        <w:jc w:val="left"/>
        <w:rPr>
          <w:sz w:val="28"/>
          <w:szCs w:val="28"/>
        </w:rPr>
      </w:pPr>
      <w:r>
        <w:rPr>
          <w:sz w:val="28"/>
          <w:szCs w:val="28"/>
        </w:rPr>
        <w:t>竣工验收费包括</w:t>
      </w:r>
      <w:r>
        <w:rPr>
          <w:rFonts w:hint="eastAsia"/>
          <w:sz w:val="28"/>
          <w:szCs w:val="28"/>
        </w:rPr>
        <w:t>工程复核费</w:t>
      </w:r>
      <w:r>
        <w:rPr>
          <w:sz w:val="28"/>
          <w:szCs w:val="28"/>
        </w:rPr>
        <w:t>、</w:t>
      </w:r>
      <w:r>
        <w:rPr>
          <w:rFonts w:hint="eastAsia"/>
          <w:sz w:val="28"/>
          <w:szCs w:val="28"/>
        </w:rPr>
        <w:t>工程验收费、项目结（决）算审计费。</w:t>
      </w:r>
    </w:p>
    <w:p w14:paraId="3D61A297">
      <w:pPr>
        <w:spacing w:line="360" w:lineRule="auto"/>
        <w:ind w:firstLine="560" w:firstLineChars="200"/>
        <w:jc w:val="left"/>
        <w:rPr>
          <w:sz w:val="28"/>
          <w:szCs w:val="28"/>
        </w:rPr>
      </w:pPr>
      <w:r>
        <w:rPr>
          <w:rFonts w:hint="eastAsia"/>
          <w:sz w:val="28"/>
          <w:szCs w:val="28"/>
        </w:rPr>
        <w:t>（1）工程复核费</w:t>
      </w:r>
    </w:p>
    <w:p w14:paraId="65A742B6">
      <w:pPr>
        <w:spacing w:line="360" w:lineRule="auto"/>
        <w:ind w:firstLine="560" w:firstLineChars="200"/>
        <w:jc w:val="left"/>
        <w:rPr>
          <w:sz w:val="28"/>
          <w:szCs w:val="28"/>
        </w:rPr>
      </w:pPr>
      <w:r>
        <w:rPr>
          <w:rFonts w:hint="eastAsia"/>
          <w:sz w:val="28"/>
          <w:szCs w:val="28"/>
        </w:rPr>
        <w:t>以工程施工费作为计费基数，采用分档定额计费方式计算，各区间按内插法确定。</w:t>
      </w:r>
    </w:p>
    <w:p w14:paraId="5CB7215F">
      <w:pPr>
        <w:jc w:val="center"/>
        <w:rPr>
          <w:rFonts w:eastAsia="黑体"/>
          <w:sz w:val="24"/>
          <w:szCs w:val="22"/>
        </w:rPr>
      </w:pPr>
      <w:r>
        <w:rPr>
          <w:rFonts w:eastAsia="黑体"/>
          <w:sz w:val="24"/>
          <w:szCs w:val="22"/>
        </w:rPr>
        <w:t>表6-</w:t>
      </w:r>
      <w:r>
        <w:rPr>
          <w:rFonts w:hint="eastAsia" w:eastAsia="黑体"/>
          <w:sz w:val="24"/>
          <w:szCs w:val="22"/>
        </w:rPr>
        <w:t>8</w:t>
      </w:r>
      <w:r>
        <w:rPr>
          <w:rFonts w:eastAsia="黑体"/>
          <w:sz w:val="24"/>
          <w:szCs w:val="22"/>
        </w:rPr>
        <w:t xml:space="preserve">  工程</w:t>
      </w:r>
      <w:r>
        <w:rPr>
          <w:rFonts w:hint="eastAsia" w:eastAsia="黑体"/>
          <w:sz w:val="24"/>
          <w:szCs w:val="22"/>
        </w:rPr>
        <w:t>复核</w:t>
      </w:r>
      <w:r>
        <w:rPr>
          <w:rFonts w:eastAsia="黑体"/>
          <w:sz w:val="24"/>
          <w:szCs w:val="22"/>
        </w:rPr>
        <w:t>费计费标准表</w:t>
      </w:r>
    </w:p>
    <w:p w14:paraId="788830DF">
      <w:pPr>
        <w:spacing w:line="360" w:lineRule="auto"/>
        <w:jc w:val="left"/>
        <w:rPr>
          <w:szCs w:val="21"/>
        </w:rPr>
      </w:pPr>
      <w:r>
        <w:rPr>
          <w:rFonts w:hint="eastAsia"/>
          <w:szCs w:val="21"/>
        </w:rPr>
        <w:t>注：计费基数不足50万元时，按1.15万元计取；计费基数大于1 亿元时，按计费基数的0.88%计取。</w:t>
      </w:r>
    </w:p>
    <w:p w14:paraId="1BC7C26A">
      <w:pPr>
        <w:spacing w:line="360" w:lineRule="auto"/>
        <w:ind w:firstLine="560" w:firstLineChars="200"/>
        <w:jc w:val="left"/>
        <w:rPr>
          <w:sz w:val="28"/>
          <w:szCs w:val="28"/>
        </w:rPr>
      </w:pPr>
      <w:r>
        <w:rPr>
          <w:rFonts w:hint="eastAsia"/>
          <w:sz w:val="28"/>
          <w:szCs w:val="28"/>
        </w:rPr>
        <w:t>（2）工程验收费</w:t>
      </w:r>
    </w:p>
    <w:p w14:paraId="597A2975">
      <w:pPr>
        <w:spacing w:line="360" w:lineRule="auto"/>
        <w:ind w:firstLine="560" w:firstLineChars="200"/>
        <w:jc w:val="left"/>
        <w:rPr>
          <w:sz w:val="28"/>
          <w:szCs w:val="28"/>
        </w:rPr>
      </w:pPr>
      <w:r>
        <w:rPr>
          <w:rFonts w:hint="eastAsia"/>
          <w:sz w:val="28"/>
          <w:szCs w:val="28"/>
        </w:rPr>
        <w:t>以工程施工费作为计费基数，采用分档定额计费方式计算，各区间按内插法确定。</w:t>
      </w:r>
    </w:p>
    <w:p w14:paraId="3E955C40">
      <w:pPr>
        <w:jc w:val="center"/>
        <w:rPr>
          <w:rFonts w:eastAsia="黑体"/>
          <w:sz w:val="24"/>
          <w:szCs w:val="22"/>
        </w:rPr>
      </w:pPr>
      <w:r>
        <w:rPr>
          <w:rFonts w:eastAsia="黑体"/>
          <w:sz w:val="24"/>
          <w:szCs w:val="22"/>
        </w:rPr>
        <w:t>表6-</w:t>
      </w:r>
      <w:r>
        <w:rPr>
          <w:rFonts w:hint="eastAsia" w:eastAsia="黑体"/>
          <w:sz w:val="24"/>
          <w:szCs w:val="22"/>
        </w:rPr>
        <w:t>9</w:t>
      </w:r>
      <w:r>
        <w:rPr>
          <w:rFonts w:eastAsia="黑体"/>
          <w:sz w:val="24"/>
          <w:szCs w:val="22"/>
        </w:rPr>
        <w:t xml:space="preserve">  工程</w:t>
      </w:r>
      <w:r>
        <w:rPr>
          <w:rFonts w:hint="eastAsia" w:eastAsia="黑体"/>
          <w:sz w:val="24"/>
          <w:szCs w:val="22"/>
        </w:rPr>
        <w:t>验收</w:t>
      </w:r>
      <w:r>
        <w:rPr>
          <w:rFonts w:eastAsia="黑体"/>
          <w:sz w:val="24"/>
          <w:szCs w:val="22"/>
        </w:rPr>
        <w:t>费计费标准表</w:t>
      </w:r>
    </w:p>
    <w:p w14:paraId="0300C890">
      <w:pPr>
        <w:spacing w:line="360" w:lineRule="auto"/>
        <w:jc w:val="left"/>
        <w:rPr>
          <w:szCs w:val="21"/>
        </w:rPr>
      </w:pPr>
      <w:r>
        <w:rPr>
          <w:rFonts w:hint="eastAsia"/>
          <w:szCs w:val="21"/>
        </w:rPr>
        <w:t>注：计费基数不足50万元时，按1.0万元计取；计费基数大于1 亿元时，按计费基数的0.60%计取。</w:t>
      </w:r>
    </w:p>
    <w:p w14:paraId="501AF076">
      <w:pPr>
        <w:spacing w:line="360" w:lineRule="auto"/>
        <w:ind w:firstLine="560" w:firstLineChars="200"/>
        <w:jc w:val="left"/>
        <w:rPr>
          <w:sz w:val="28"/>
          <w:szCs w:val="28"/>
        </w:rPr>
      </w:pPr>
      <w:r>
        <w:rPr>
          <w:rFonts w:hint="eastAsia"/>
          <w:sz w:val="28"/>
          <w:szCs w:val="28"/>
        </w:rPr>
        <w:t>（3）项目结（决）算审计费</w:t>
      </w:r>
    </w:p>
    <w:p w14:paraId="3487C8E5">
      <w:pPr>
        <w:spacing w:line="360" w:lineRule="auto"/>
        <w:ind w:firstLine="560" w:firstLineChars="200"/>
        <w:jc w:val="left"/>
        <w:rPr>
          <w:sz w:val="28"/>
          <w:szCs w:val="28"/>
        </w:rPr>
      </w:pPr>
      <w:r>
        <w:rPr>
          <w:rFonts w:hint="eastAsia"/>
          <w:sz w:val="28"/>
          <w:szCs w:val="28"/>
        </w:rPr>
        <w:t>以工程施工费作为计费基数，采用分档定额计费方式计算，各区间按内插法确定。</w:t>
      </w:r>
    </w:p>
    <w:p w14:paraId="5832C47E">
      <w:pPr>
        <w:jc w:val="center"/>
        <w:rPr>
          <w:rFonts w:eastAsia="黑体"/>
          <w:sz w:val="24"/>
          <w:szCs w:val="22"/>
        </w:rPr>
      </w:pPr>
      <w:r>
        <w:rPr>
          <w:rFonts w:eastAsia="黑体"/>
          <w:sz w:val="24"/>
          <w:szCs w:val="22"/>
        </w:rPr>
        <w:t>表6-</w:t>
      </w:r>
      <w:r>
        <w:rPr>
          <w:rFonts w:hint="eastAsia" w:eastAsia="黑体"/>
          <w:sz w:val="24"/>
          <w:szCs w:val="22"/>
        </w:rPr>
        <w:t>10</w:t>
      </w:r>
      <w:r>
        <w:rPr>
          <w:rFonts w:eastAsia="黑体"/>
          <w:sz w:val="24"/>
          <w:szCs w:val="22"/>
        </w:rPr>
        <w:t xml:space="preserve">  </w:t>
      </w:r>
      <w:r>
        <w:rPr>
          <w:rFonts w:hint="eastAsia" w:eastAsia="黑体"/>
          <w:sz w:val="24"/>
          <w:szCs w:val="22"/>
        </w:rPr>
        <w:t>项目结（决）算审计费计费标准</w:t>
      </w:r>
      <w:r>
        <w:rPr>
          <w:rFonts w:eastAsia="黑体"/>
          <w:sz w:val="24"/>
          <w:szCs w:val="22"/>
        </w:rPr>
        <w:t>表</w:t>
      </w:r>
    </w:p>
    <w:p w14:paraId="2EA904AB">
      <w:pPr>
        <w:spacing w:line="360" w:lineRule="auto"/>
        <w:jc w:val="left"/>
        <w:rPr>
          <w:szCs w:val="21"/>
        </w:rPr>
      </w:pPr>
      <w:r>
        <w:rPr>
          <w:rFonts w:hint="eastAsia"/>
          <w:szCs w:val="21"/>
        </w:rPr>
        <w:t>注：计费基数不足50万元时，按0.3万元计取；计费基数大于1 亿元时，按计费基数的0.14%计取。</w:t>
      </w:r>
    </w:p>
    <w:p w14:paraId="2524E75E">
      <w:pPr>
        <w:spacing w:line="360" w:lineRule="auto"/>
        <w:ind w:firstLine="560" w:firstLineChars="200"/>
        <w:jc w:val="left"/>
        <w:rPr>
          <w:sz w:val="28"/>
          <w:szCs w:val="28"/>
        </w:rPr>
      </w:pPr>
      <w:r>
        <w:rPr>
          <w:rFonts w:hint="eastAsia"/>
          <w:sz w:val="28"/>
          <w:szCs w:val="28"/>
        </w:rPr>
        <w:t>4、项目管理费</w:t>
      </w:r>
    </w:p>
    <w:p w14:paraId="13CCD36C">
      <w:pPr>
        <w:spacing w:line="360" w:lineRule="auto"/>
        <w:ind w:firstLine="560" w:firstLineChars="200"/>
        <w:jc w:val="left"/>
        <w:rPr>
          <w:sz w:val="28"/>
          <w:szCs w:val="28"/>
        </w:rPr>
      </w:pPr>
      <w:r>
        <w:rPr>
          <w:rFonts w:hint="eastAsia"/>
          <w:sz w:val="28"/>
          <w:szCs w:val="28"/>
        </w:rPr>
        <w:t>以工程施工费、前期工作费、工程监理费、竣工验收费之和作为计费基数，釆用差额定率累进法计算。</w:t>
      </w:r>
    </w:p>
    <w:p w14:paraId="33D79AA5">
      <w:pPr>
        <w:jc w:val="center"/>
        <w:rPr>
          <w:rFonts w:eastAsia="黑体"/>
          <w:sz w:val="24"/>
          <w:szCs w:val="22"/>
        </w:rPr>
      </w:pPr>
      <w:r>
        <w:rPr>
          <w:rFonts w:eastAsia="黑体"/>
          <w:sz w:val="24"/>
          <w:szCs w:val="22"/>
        </w:rPr>
        <w:t>表6-</w:t>
      </w:r>
      <w:r>
        <w:rPr>
          <w:rFonts w:hint="eastAsia" w:eastAsia="黑体"/>
          <w:sz w:val="24"/>
          <w:szCs w:val="22"/>
        </w:rPr>
        <w:t>11</w:t>
      </w:r>
      <w:r>
        <w:rPr>
          <w:rFonts w:eastAsia="黑体"/>
          <w:sz w:val="24"/>
          <w:szCs w:val="22"/>
        </w:rPr>
        <w:t xml:space="preserve">  </w:t>
      </w:r>
      <w:r>
        <w:rPr>
          <w:rFonts w:hint="eastAsia" w:eastAsia="黑体"/>
          <w:sz w:val="24"/>
          <w:szCs w:val="22"/>
        </w:rPr>
        <w:t>项目管理费</w:t>
      </w:r>
      <w:r>
        <w:rPr>
          <w:rFonts w:eastAsia="黑体"/>
          <w:sz w:val="24"/>
          <w:szCs w:val="22"/>
        </w:rPr>
        <w:t>计费标准表</w:t>
      </w:r>
    </w:p>
    <w:p w14:paraId="71547F8F">
      <w:pPr>
        <w:spacing w:line="360" w:lineRule="auto"/>
        <w:jc w:val="left"/>
        <w:rPr>
          <w:szCs w:val="21"/>
        </w:rPr>
      </w:pPr>
      <w:r>
        <w:rPr>
          <w:rFonts w:hint="eastAsia"/>
          <w:szCs w:val="21"/>
        </w:rPr>
        <w:t>注：计费基数不足50 万元时，按1 万计取；计费基数大于1 亿元时，超出部分按0.04%计算收费。</w:t>
      </w:r>
    </w:p>
    <w:p w14:paraId="51AE8610">
      <w:pPr>
        <w:spacing w:line="360" w:lineRule="auto"/>
        <w:ind w:firstLine="562" w:firstLineChars="200"/>
        <w:jc w:val="left"/>
        <w:rPr>
          <w:b/>
          <w:bCs/>
          <w:sz w:val="28"/>
          <w:szCs w:val="28"/>
        </w:rPr>
      </w:pPr>
      <w:r>
        <w:rPr>
          <w:rFonts w:hint="eastAsia"/>
          <w:b/>
          <w:bCs/>
          <w:sz w:val="28"/>
          <w:szCs w:val="28"/>
        </w:rPr>
        <w:t>（三）不可预见</w:t>
      </w:r>
      <w:r>
        <w:rPr>
          <w:b/>
          <w:bCs/>
          <w:sz w:val="28"/>
          <w:szCs w:val="28"/>
        </w:rPr>
        <w:t>费</w:t>
      </w:r>
    </w:p>
    <w:p w14:paraId="2F59EA0E">
      <w:pPr>
        <w:spacing w:line="360" w:lineRule="auto"/>
        <w:ind w:firstLine="560" w:firstLineChars="200"/>
        <w:jc w:val="left"/>
        <w:rPr>
          <w:sz w:val="28"/>
          <w:szCs w:val="28"/>
        </w:rPr>
      </w:pPr>
      <w:r>
        <w:rPr>
          <w:rFonts w:hint="eastAsia"/>
          <w:sz w:val="28"/>
          <w:szCs w:val="28"/>
        </w:rPr>
        <w:t>不可预见费</w:t>
      </w:r>
      <w:r>
        <w:rPr>
          <w:sz w:val="28"/>
          <w:szCs w:val="28"/>
        </w:rPr>
        <w:t>包括</w:t>
      </w:r>
      <w:r>
        <w:rPr>
          <w:rFonts w:hint="eastAsia"/>
          <w:sz w:val="28"/>
          <w:szCs w:val="28"/>
        </w:rPr>
        <w:t>基本预备费</w:t>
      </w:r>
      <w:r>
        <w:rPr>
          <w:sz w:val="28"/>
          <w:szCs w:val="28"/>
        </w:rPr>
        <w:t>、</w:t>
      </w:r>
      <w:r>
        <w:rPr>
          <w:rFonts w:hint="eastAsia"/>
          <w:sz w:val="28"/>
          <w:szCs w:val="28"/>
        </w:rPr>
        <w:t>价差预备费</w:t>
      </w:r>
      <w:r>
        <w:rPr>
          <w:sz w:val="28"/>
          <w:szCs w:val="28"/>
        </w:rPr>
        <w:t>。</w:t>
      </w:r>
    </w:p>
    <w:p w14:paraId="2774F78D">
      <w:pPr>
        <w:spacing w:line="360" w:lineRule="auto"/>
        <w:ind w:firstLine="560" w:firstLineChars="200"/>
        <w:jc w:val="left"/>
        <w:rPr>
          <w:sz w:val="28"/>
          <w:szCs w:val="28"/>
        </w:rPr>
      </w:pPr>
      <w:r>
        <w:rPr>
          <w:rFonts w:hint="eastAsia"/>
          <w:sz w:val="28"/>
          <w:szCs w:val="28"/>
        </w:rPr>
        <w:t>1、基本预备费</w:t>
      </w:r>
    </w:p>
    <w:p w14:paraId="4D49953E">
      <w:pPr>
        <w:spacing w:line="360" w:lineRule="auto"/>
        <w:ind w:firstLine="560" w:firstLineChars="200"/>
        <w:jc w:val="left"/>
        <w:rPr>
          <w:sz w:val="28"/>
          <w:szCs w:val="28"/>
        </w:rPr>
      </w:pPr>
      <w:r>
        <w:rPr>
          <w:rFonts w:hint="eastAsia"/>
          <w:sz w:val="28"/>
          <w:szCs w:val="28"/>
        </w:rPr>
        <w:t>以工程施工费、其他费用之和作为计费基数，釆用差额定率累进法计算。</w:t>
      </w:r>
    </w:p>
    <w:p w14:paraId="1AEF4E22">
      <w:pPr>
        <w:jc w:val="center"/>
        <w:rPr>
          <w:rFonts w:eastAsia="黑体"/>
          <w:sz w:val="24"/>
          <w:szCs w:val="22"/>
        </w:rPr>
      </w:pPr>
      <w:r>
        <w:rPr>
          <w:rFonts w:eastAsia="黑体"/>
          <w:sz w:val="24"/>
          <w:szCs w:val="22"/>
        </w:rPr>
        <w:t>表6-</w:t>
      </w:r>
      <w:r>
        <w:rPr>
          <w:rFonts w:hint="eastAsia" w:eastAsia="黑体"/>
          <w:sz w:val="24"/>
          <w:szCs w:val="22"/>
        </w:rPr>
        <w:t>12</w:t>
      </w:r>
      <w:r>
        <w:rPr>
          <w:rFonts w:eastAsia="黑体"/>
          <w:sz w:val="24"/>
          <w:szCs w:val="22"/>
        </w:rPr>
        <w:t xml:space="preserve">  </w:t>
      </w:r>
      <w:r>
        <w:rPr>
          <w:rFonts w:hint="eastAsia" w:eastAsia="黑体"/>
          <w:sz w:val="24"/>
          <w:szCs w:val="22"/>
        </w:rPr>
        <w:t>基本预备费</w:t>
      </w:r>
      <w:r>
        <w:rPr>
          <w:rFonts w:eastAsia="黑体"/>
          <w:sz w:val="24"/>
          <w:szCs w:val="22"/>
        </w:rPr>
        <w:t>计费标准表</w:t>
      </w:r>
    </w:p>
    <w:p w14:paraId="69952353">
      <w:pPr>
        <w:spacing w:line="360" w:lineRule="auto"/>
        <w:jc w:val="left"/>
        <w:rPr>
          <w:szCs w:val="21"/>
        </w:rPr>
      </w:pPr>
      <w:r>
        <w:rPr>
          <w:rFonts w:hint="eastAsia"/>
          <w:szCs w:val="21"/>
        </w:rPr>
        <w:t>注：计费基数不足50 万元时，按1 万计取；计费基数大于1 亿元时，超出部分按0.05%计算收费。</w:t>
      </w:r>
    </w:p>
    <w:p w14:paraId="1979111B">
      <w:pPr>
        <w:spacing w:line="360" w:lineRule="auto"/>
        <w:ind w:firstLine="560" w:firstLineChars="200"/>
        <w:jc w:val="left"/>
        <w:rPr>
          <w:sz w:val="28"/>
          <w:szCs w:val="28"/>
        </w:rPr>
      </w:pPr>
      <w:r>
        <w:rPr>
          <w:rFonts w:hint="eastAsia"/>
          <w:sz w:val="28"/>
          <w:szCs w:val="28"/>
        </w:rPr>
        <w:t>2、价差预备费</w:t>
      </w:r>
    </w:p>
    <w:p w14:paraId="5491E624">
      <w:pPr>
        <w:spacing w:line="360" w:lineRule="auto"/>
        <w:ind w:firstLine="560" w:firstLineChars="200"/>
        <w:jc w:val="left"/>
        <w:rPr>
          <w:sz w:val="28"/>
          <w:szCs w:val="28"/>
        </w:rPr>
      </w:pPr>
      <w:r>
        <w:rPr>
          <w:rFonts w:hint="eastAsia"/>
          <w:sz w:val="28"/>
          <w:szCs w:val="28"/>
        </w:rPr>
        <w:t>指为在建设期内利率、汇率或价格等因素的变化而预留的可能增加的费用。内容包括：人工、设备、材料、施工机具的价差费，利率、汇率调整等增加的费用。价差预备费的计算公式为：</w:t>
      </w:r>
    </w:p>
    <w:p w14:paraId="7C36C8CB">
      <w:pPr>
        <w:spacing w:line="360" w:lineRule="auto"/>
        <w:ind w:firstLine="482" w:firstLineChars="200"/>
        <w:jc w:val="center"/>
        <w:rPr>
          <w:sz w:val="28"/>
          <w:szCs w:val="28"/>
        </w:rPr>
      </w:pPr>
      <w:r>
        <w:rPr>
          <w:rFonts w:hint="eastAsia"/>
          <w:b/>
          <w:sz w:val="24"/>
          <w:szCs w:val="24"/>
          <w:lang w:eastAsia="zh-CN"/>
        </w:rPr>
        <w:t xml:space="preserve">    </w:t>
      </w:r>
      <w:r>
        <w:rPr>
          <w:sz w:val="24"/>
          <w:szCs w:val="24"/>
        </w:rPr>
        <w:t>。</w:t>
      </w:r>
    </w:p>
    <w:p w14:paraId="5CC20C28">
      <w:pPr>
        <w:spacing w:line="360" w:lineRule="auto"/>
        <w:ind w:firstLine="560" w:firstLineChars="200"/>
        <w:rPr>
          <w:sz w:val="28"/>
          <w:szCs w:val="28"/>
        </w:rPr>
      </w:pPr>
      <w:r>
        <w:rPr>
          <w:rFonts w:hint="eastAsia"/>
          <w:sz w:val="28"/>
          <w:szCs w:val="28"/>
        </w:rPr>
        <w:t>PF：价差预备费；</w:t>
      </w:r>
    </w:p>
    <w:p w14:paraId="1B59307A">
      <w:pPr>
        <w:spacing w:line="360" w:lineRule="auto"/>
        <w:ind w:firstLine="560" w:firstLineChars="200"/>
        <w:rPr>
          <w:sz w:val="28"/>
          <w:szCs w:val="28"/>
        </w:rPr>
      </w:pPr>
      <w:r>
        <w:rPr>
          <w:rFonts w:hint="eastAsia"/>
          <w:sz w:val="28"/>
          <w:szCs w:val="28"/>
        </w:rPr>
        <w:t>n：建设期年份数；</w:t>
      </w:r>
    </w:p>
    <w:p w14:paraId="47A578E9">
      <w:pPr>
        <w:spacing w:line="360" w:lineRule="auto"/>
        <w:ind w:firstLine="560" w:firstLineChars="200"/>
        <w:rPr>
          <w:sz w:val="28"/>
          <w:szCs w:val="28"/>
        </w:rPr>
      </w:pPr>
      <w:r>
        <w:rPr>
          <w:rFonts w:hint="eastAsia"/>
          <w:sz w:val="28"/>
          <w:szCs w:val="28"/>
        </w:rPr>
        <w:t>a</w:t>
      </w:r>
      <w:r>
        <w:rPr>
          <w:rFonts w:hint="eastAsia"/>
          <w:sz w:val="28"/>
          <w:szCs w:val="28"/>
          <w:vertAlign w:val="subscript"/>
        </w:rPr>
        <w:t>t</w:t>
      </w:r>
      <w:r>
        <w:rPr>
          <w:rFonts w:hint="eastAsia"/>
          <w:sz w:val="28"/>
          <w:szCs w:val="28"/>
        </w:rPr>
        <w:t>：建设期中第t年的静态投资计划额，包括工程费用、工程建设其他费用及基本预备费；</w:t>
      </w:r>
    </w:p>
    <w:p w14:paraId="321C4C26">
      <w:pPr>
        <w:spacing w:line="360" w:lineRule="auto"/>
        <w:ind w:firstLine="560" w:firstLineChars="200"/>
        <w:rPr>
          <w:sz w:val="28"/>
          <w:szCs w:val="28"/>
        </w:rPr>
      </w:pPr>
      <w:r>
        <w:rPr>
          <w:rFonts w:hint="eastAsia"/>
          <w:sz w:val="28"/>
          <w:szCs w:val="28"/>
        </w:rPr>
        <w:t>f：年涨价率；注：年涨价率根据政府部门有规定的按规定执行，没有规定的由可行性研究人员预测。</w:t>
      </w:r>
    </w:p>
    <w:p w14:paraId="02A22EEA">
      <w:pPr>
        <w:spacing w:line="360" w:lineRule="auto"/>
        <w:ind w:firstLine="560" w:firstLineChars="200"/>
        <w:jc w:val="left"/>
        <w:rPr>
          <w:sz w:val="28"/>
          <w:szCs w:val="28"/>
        </w:rPr>
      </w:pPr>
      <w:r>
        <w:rPr>
          <w:rFonts w:hint="eastAsia"/>
          <w:sz w:val="28"/>
          <w:szCs w:val="28"/>
        </w:rPr>
        <w:t>m：建设前期年限（从编制估算到开工建设，单位：年）。</w:t>
      </w:r>
    </w:p>
    <w:p w14:paraId="22EE8A12">
      <w:pPr>
        <w:spacing w:line="360" w:lineRule="auto"/>
        <w:ind w:firstLine="562" w:firstLineChars="200"/>
        <w:jc w:val="left"/>
        <w:rPr>
          <w:b/>
          <w:bCs/>
          <w:sz w:val="28"/>
          <w:szCs w:val="28"/>
        </w:rPr>
      </w:pPr>
      <w:r>
        <w:rPr>
          <w:rFonts w:hint="eastAsia"/>
          <w:b/>
          <w:bCs/>
          <w:sz w:val="28"/>
          <w:szCs w:val="28"/>
        </w:rPr>
        <w:t>（四）</w:t>
      </w:r>
      <w:r>
        <w:rPr>
          <w:b/>
          <w:bCs/>
          <w:sz w:val="28"/>
          <w:szCs w:val="28"/>
        </w:rPr>
        <w:t>监测管护费</w:t>
      </w:r>
    </w:p>
    <w:p w14:paraId="34339DD3">
      <w:pPr>
        <w:spacing w:line="360" w:lineRule="auto"/>
        <w:ind w:firstLine="560" w:firstLineChars="200"/>
        <w:jc w:val="left"/>
        <w:rPr>
          <w:sz w:val="28"/>
          <w:szCs w:val="28"/>
        </w:rPr>
      </w:pPr>
      <w:r>
        <w:rPr>
          <w:sz w:val="28"/>
          <w:szCs w:val="28"/>
        </w:rPr>
        <w:t>监测管护费=监测费+管护费</w:t>
      </w:r>
    </w:p>
    <w:p w14:paraId="3B3A647F">
      <w:pPr>
        <w:spacing w:line="360" w:lineRule="auto"/>
        <w:ind w:firstLine="560" w:firstLineChars="200"/>
        <w:jc w:val="left"/>
        <w:rPr>
          <w:sz w:val="28"/>
          <w:szCs w:val="28"/>
        </w:rPr>
      </w:pPr>
      <w:r>
        <w:rPr>
          <w:sz w:val="28"/>
          <w:szCs w:val="28"/>
        </w:rPr>
        <w:t>1</w:t>
      </w:r>
      <w:r>
        <w:rPr>
          <w:rFonts w:hint="eastAsia"/>
          <w:sz w:val="28"/>
          <w:szCs w:val="28"/>
        </w:rPr>
        <w:t>、</w:t>
      </w:r>
      <w:r>
        <w:rPr>
          <w:sz w:val="28"/>
          <w:szCs w:val="28"/>
        </w:rPr>
        <w:t>监测费</w:t>
      </w:r>
    </w:p>
    <w:p w14:paraId="4A2E227E">
      <w:pPr>
        <w:spacing w:line="360" w:lineRule="auto"/>
        <w:ind w:firstLine="560" w:firstLineChars="200"/>
        <w:jc w:val="left"/>
        <w:rPr>
          <w:bCs/>
          <w:sz w:val="28"/>
          <w:szCs w:val="28"/>
        </w:rPr>
      </w:pPr>
      <w:r>
        <w:rPr>
          <w:bCs/>
          <w:sz w:val="28"/>
          <w:szCs w:val="28"/>
        </w:rPr>
        <w:t>包括地质灾害、水质、水位、水量、地貌景观等监测费等。本方案将监测费用单独列出。各项监测措施取费标准详见表6-1</w:t>
      </w:r>
      <w:r>
        <w:rPr>
          <w:rFonts w:hint="eastAsia"/>
          <w:bCs/>
          <w:sz w:val="28"/>
          <w:szCs w:val="28"/>
        </w:rPr>
        <w:t>2</w:t>
      </w:r>
      <w:r>
        <w:rPr>
          <w:bCs/>
          <w:sz w:val="28"/>
          <w:szCs w:val="28"/>
        </w:rPr>
        <w:t>。</w:t>
      </w:r>
    </w:p>
    <w:p w14:paraId="66EE2B1D">
      <w:pPr>
        <w:spacing w:line="360" w:lineRule="auto"/>
        <w:ind w:firstLine="560" w:firstLineChars="200"/>
        <w:jc w:val="left"/>
        <w:rPr>
          <w:bCs/>
          <w:sz w:val="28"/>
          <w:szCs w:val="28"/>
        </w:rPr>
      </w:pPr>
    </w:p>
    <w:p w14:paraId="59F8F497">
      <w:pPr>
        <w:spacing w:line="360" w:lineRule="auto"/>
        <w:ind w:firstLine="560" w:firstLineChars="200"/>
        <w:jc w:val="left"/>
        <w:rPr>
          <w:bCs/>
          <w:sz w:val="28"/>
          <w:szCs w:val="28"/>
        </w:rPr>
      </w:pPr>
    </w:p>
    <w:p w14:paraId="3ECC24C4">
      <w:pPr>
        <w:spacing w:line="360" w:lineRule="auto"/>
        <w:ind w:firstLine="560" w:firstLineChars="200"/>
        <w:jc w:val="left"/>
        <w:rPr>
          <w:sz w:val="28"/>
          <w:szCs w:val="28"/>
        </w:rPr>
      </w:pPr>
    </w:p>
    <w:p w14:paraId="38AB39DC">
      <w:pPr>
        <w:jc w:val="center"/>
        <w:rPr>
          <w:rFonts w:eastAsia="黑体"/>
          <w:sz w:val="24"/>
          <w:szCs w:val="22"/>
        </w:rPr>
      </w:pPr>
      <w:r>
        <w:rPr>
          <w:rFonts w:eastAsia="黑体"/>
          <w:sz w:val="24"/>
          <w:szCs w:val="22"/>
        </w:rPr>
        <w:t>表6-1</w:t>
      </w:r>
      <w:r>
        <w:rPr>
          <w:rFonts w:hint="eastAsia" w:eastAsia="黑体"/>
          <w:sz w:val="24"/>
          <w:szCs w:val="22"/>
        </w:rPr>
        <w:t>2</w:t>
      </w:r>
      <w:r>
        <w:rPr>
          <w:rFonts w:eastAsia="黑体"/>
          <w:sz w:val="24"/>
          <w:szCs w:val="22"/>
        </w:rPr>
        <w:t xml:space="preserve">  监测取费标准参考表</w:t>
      </w:r>
    </w:p>
    <w:p w14:paraId="1BD791C7">
      <w:pPr>
        <w:snapToGrid w:val="0"/>
        <w:spacing w:before="120" w:beforeLines="50" w:line="360" w:lineRule="auto"/>
        <w:ind w:firstLine="560" w:firstLineChars="200"/>
        <w:rPr>
          <w:sz w:val="28"/>
          <w:szCs w:val="28"/>
        </w:rPr>
      </w:pPr>
      <w:r>
        <w:rPr>
          <w:sz w:val="28"/>
          <w:szCs w:val="28"/>
        </w:rPr>
        <w:t>2</w:t>
      </w:r>
      <w:r>
        <w:rPr>
          <w:rFonts w:hint="eastAsia"/>
          <w:sz w:val="28"/>
          <w:szCs w:val="28"/>
        </w:rPr>
        <w:t>、</w:t>
      </w:r>
      <w:r>
        <w:rPr>
          <w:sz w:val="28"/>
          <w:szCs w:val="28"/>
        </w:rPr>
        <w:t>复垦监测和管护费</w:t>
      </w:r>
    </w:p>
    <w:p w14:paraId="38004580">
      <w:pPr>
        <w:spacing w:line="360" w:lineRule="auto"/>
        <w:ind w:firstLine="560" w:firstLineChars="200"/>
        <w:rPr>
          <w:sz w:val="28"/>
          <w:szCs w:val="28"/>
        </w:rPr>
      </w:pPr>
      <w:r>
        <w:rPr>
          <w:sz w:val="28"/>
          <w:szCs w:val="28"/>
        </w:rPr>
        <w:t>复垦监测：本方案复垦效果监测主要土地损毁监测、土壤质量监测、植被恢复效果监测。其中：土地损毁监测主要采用人工巡查监测，对评估区范围内进行区域监测，平均估算为400元/次；土壤质量检测共布设12处监测点，考虑人工、采样设施，监测以监测点计，平监测平均估算为600元/点次，复垦植被监测对评估区范围内复垦区域监测，1000元/点次。详见表6-1</w:t>
      </w:r>
      <w:r>
        <w:rPr>
          <w:rFonts w:hint="eastAsia"/>
          <w:sz w:val="28"/>
          <w:szCs w:val="28"/>
        </w:rPr>
        <w:t>3</w:t>
      </w:r>
      <w:r>
        <w:rPr>
          <w:sz w:val="28"/>
          <w:szCs w:val="28"/>
        </w:rPr>
        <w:t>。</w:t>
      </w:r>
    </w:p>
    <w:p w14:paraId="7D7720E7">
      <w:pPr>
        <w:jc w:val="center"/>
        <w:rPr>
          <w:rFonts w:eastAsia="黑体"/>
          <w:sz w:val="24"/>
          <w:szCs w:val="22"/>
        </w:rPr>
      </w:pPr>
      <w:r>
        <w:rPr>
          <w:rFonts w:eastAsia="黑体"/>
          <w:sz w:val="24"/>
          <w:szCs w:val="22"/>
        </w:rPr>
        <w:t>表6-1</w:t>
      </w:r>
      <w:r>
        <w:rPr>
          <w:rFonts w:hint="eastAsia" w:eastAsia="黑体"/>
          <w:sz w:val="24"/>
          <w:szCs w:val="22"/>
        </w:rPr>
        <w:t>3</w:t>
      </w:r>
      <w:r>
        <w:rPr>
          <w:rFonts w:eastAsia="黑体"/>
          <w:sz w:val="24"/>
          <w:szCs w:val="22"/>
        </w:rPr>
        <w:t xml:space="preserve">  复垦监测单价表</w:t>
      </w:r>
    </w:p>
    <w:p w14:paraId="5E364337">
      <w:pPr>
        <w:spacing w:before="240" w:beforeLines="100" w:line="360" w:lineRule="auto"/>
        <w:ind w:firstLine="560" w:firstLineChars="200"/>
        <w:jc w:val="left"/>
        <w:rPr>
          <w:sz w:val="28"/>
          <w:szCs w:val="28"/>
        </w:rPr>
      </w:pPr>
      <w:r>
        <w:rPr>
          <w:sz w:val="28"/>
          <w:szCs w:val="28"/>
        </w:rPr>
        <w:t>管护费：管护费是对复垦区域土地植被进行有针对性的巡查、补植、除草、施肥浇水、修枝、喷药、刷白等管护工作所发生的费用，主要包括管理和养护两大类。每年管护</w:t>
      </w:r>
      <w:r>
        <w:rPr>
          <w:rFonts w:hint="eastAsia" w:ascii="宋体" w:hAnsi="宋体" w:cs="宋体"/>
          <w:spacing w:val="13"/>
          <w:sz w:val="32"/>
          <w:szCs w:val="32"/>
        </w:rPr>
        <w:t>***</w:t>
      </w:r>
      <w:r>
        <w:rPr>
          <w:sz w:val="28"/>
          <w:szCs w:val="28"/>
        </w:rPr>
        <w:t>次。本方案管护单价为</w:t>
      </w:r>
      <w:r>
        <w:rPr>
          <w:rFonts w:hint="eastAsia" w:ascii="宋体" w:hAnsi="宋体" w:cs="宋体"/>
          <w:spacing w:val="13"/>
          <w:sz w:val="32"/>
          <w:szCs w:val="32"/>
        </w:rPr>
        <w:t>***</w:t>
      </w:r>
      <w:r>
        <w:rPr>
          <w:sz w:val="28"/>
          <w:szCs w:val="28"/>
        </w:rPr>
        <w:t>元/hm</w:t>
      </w:r>
      <w:r>
        <w:rPr>
          <w:sz w:val="28"/>
          <w:szCs w:val="28"/>
          <w:vertAlign w:val="superscript"/>
        </w:rPr>
        <w:t>2</w:t>
      </w:r>
      <w:r>
        <w:rPr>
          <w:sz w:val="28"/>
          <w:szCs w:val="28"/>
        </w:rPr>
        <w:t>。</w:t>
      </w:r>
    </w:p>
    <w:p w14:paraId="62BD7436">
      <w:pPr>
        <w:spacing w:line="360" w:lineRule="auto"/>
        <w:ind w:firstLine="562" w:firstLineChars="200"/>
        <w:jc w:val="left"/>
        <w:outlineLvl w:val="2"/>
        <w:rPr>
          <w:rFonts w:eastAsiaTheme="minorEastAsia"/>
        </w:rPr>
      </w:pPr>
      <w:r>
        <w:rPr>
          <w:b/>
          <w:bCs/>
          <w:sz w:val="28"/>
          <w:szCs w:val="28"/>
        </w:rPr>
        <w:t>三、经费估算</w:t>
      </w:r>
    </w:p>
    <w:p w14:paraId="192036A7">
      <w:pPr>
        <w:pStyle w:val="45"/>
        <w:spacing w:line="360" w:lineRule="auto"/>
        <w:rPr>
          <w:rFonts w:ascii="Times New Roman" w:hAnsi="Times New Roman" w:eastAsiaTheme="minorEastAsia"/>
        </w:rPr>
      </w:pPr>
      <w:bookmarkStart w:id="151" w:name="_Hlk239010951"/>
      <w:r>
        <w:rPr>
          <w:rFonts w:ascii="Times New Roman" w:hAnsi="Times New Roman" w:eastAsiaTheme="minorEastAsia"/>
        </w:rPr>
        <w:t>矿区生态修复</w:t>
      </w:r>
      <w:r>
        <w:rPr>
          <w:rFonts w:hint="eastAsia" w:ascii="Times New Roman" w:hAnsi="Times New Roman" w:eastAsiaTheme="minorEastAsia"/>
        </w:rPr>
        <w:t>静态</w:t>
      </w:r>
      <w:r>
        <w:rPr>
          <w:rFonts w:ascii="Times New Roman" w:hAnsi="Times New Roman" w:eastAsiaTheme="minorEastAsia"/>
        </w:rPr>
        <w:t>投资</w:t>
      </w:r>
      <w:r>
        <w:rPr>
          <w:rFonts w:hint="eastAsia" w:cs="宋体"/>
          <w:spacing w:val="13"/>
          <w:sz w:val="32"/>
          <w:szCs w:val="32"/>
        </w:rPr>
        <w:t>***</w:t>
      </w:r>
      <w:r>
        <w:rPr>
          <w:rFonts w:ascii="Times New Roman" w:hAnsi="Times New Roman" w:eastAsiaTheme="minorEastAsia"/>
        </w:rPr>
        <w:t>万元。其中工程施工费</w:t>
      </w:r>
      <w:r>
        <w:rPr>
          <w:rFonts w:hint="eastAsia" w:cs="宋体"/>
          <w:spacing w:val="13"/>
          <w:sz w:val="32"/>
          <w:szCs w:val="32"/>
        </w:rPr>
        <w:t>***</w:t>
      </w:r>
      <w:r>
        <w:rPr>
          <w:rFonts w:ascii="Times New Roman" w:hAnsi="Times New Roman" w:eastAsiaTheme="minorEastAsia"/>
        </w:rPr>
        <w:t>万元，其他费用</w:t>
      </w:r>
      <w:r>
        <w:rPr>
          <w:rFonts w:hint="eastAsia" w:cs="宋体"/>
          <w:spacing w:val="13"/>
          <w:sz w:val="32"/>
          <w:szCs w:val="32"/>
        </w:rPr>
        <w:t>***</w:t>
      </w:r>
      <w:r>
        <w:rPr>
          <w:rFonts w:ascii="Times New Roman" w:hAnsi="Times New Roman" w:eastAsiaTheme="minorEastAsia"/>
        </w:rPr>
        <w:t>万元，监测费</w:t>
      </w:r>
      <w:r>
        <w:rPr>
          <w:rFonts w:hint="eastAsia" w:cs="宋体"/>
          <w:spacing w:val="13"/>
          <w:sz w:val="32"/>
          <w:szCs w:val="32"/>
        </w:rPr>
        <w:t>***</w:t>
      </w:r>
      <w:r>
        <w:rPr>
          <w:rFonts w:ascii="Times New Roman" w:hAnsi="Times New Roman" w:eastAsiaTheme="minorEastAsia"/>
        </w:rPr>
        <w:t>万元，管护费</w:t>
      </w:r>
      <w:r>
        <w:rPr>
          <w:rFonts w:hint="eastAsia" w:cs="宋体"/>
          <w:spacing w:val="13"/>
          <w:sz w:val="32"/>
          <w:szCs w:val="32"/>
        </w:rPr>
        <w:t>***</w:t>
      </w:r>
      <w:r>
        <w:rPr>
          <w:rFonts w:ascii="Times New Roman" w:hAnsi="Times New Roman" w:eastAsiaTheme="minorEastAsia"/>
        </w:rPr>
        <w:t>万元</w:t>
      </w:r>
      <w:r>
        <w:rPr>
          <w:rFonts w:hint="eastAsia" w:ascii="Times New Roman" w:hAnsi="Times New Roman" w:eastAsiaTheme="minorEastAsia"/>
        </w:rPr>
        <w:t>。</w:t>
      </w:r>
      <w:r>
        <w:rPr>
          <w:rFonts w:ascii="Times New Roman" w:hAnsi="Times New Roman" w:eastAsiaTheme="minorEastAsia"/>
        </w:rPr>
        <w:t>基本预备费</w:t>
      </w:r>
      <w:r>
        <w:rPr>
          <w:rFonts w:hint="eastAsia" w:cs="宋体"/>
          <w:spacing w:val="13"/>
          <w:sz w:val="32"/>
          <w:szCs w:val="32"/>
        </w:rPr>
        <w:t>***</w:t>
      </w:r>
      <w:r>
        <w:rPr>
          <w:rFonts w:ascii="Times New Roman" w:hAnsi="Times New Roman" w:eastAsiaTheme="minorEastAsia"/>
        </w:rPr>
        <w:t>万元</w:t>
      </w:r>
      <w:r>
        <w:rPr>
          <w:rFonts w:hint="eastAsia" w:ascii="Times New Roman" w:hAnsi="Times New Roman" w:eastAsiaTheme="minorEastAsia"/>
        </w:rPr>
        <w:t>，</w:t>
      </w:r>
      <w:r>
        <w:rPr>
          <w:rFonts w:ascii="Times New Roman" w:hAnsi="Times New Roman" w:eastAsiaTheme="minorEastAsia"/>
        </w:rPr>
        <w:t>价差预备费</w:t>
      </w:r>
      <w:r>
        <w:rPr>
          <w:rFonts w:hint="eastAsia" w:cs="宋体"/>
          <w:spacing w:val="13"/>
          <w:sz w:val="32"/>
          <w:szCs w:val="32"/>
        </w:rPr>
        <w:t>***</w:t>
      </w:r>
      <w:r>
        <w:rPr>
          <w:rFonts w:ascii="Times New Roman" w:hAnsi="Times New Roman" w:eastAsiaTheme="minorEastAsia"/>
        </w:rPr>
        <w:t>万元，动态投资经费为</w:t>
      </w:r>
      <w:r>
        <w:rPr>
          <w:rFonts w:hint="eastAsia" w:cs="宋体"/>
          <w:spacing w:val="13"/>
          <w:sz w:val="32"/>
          <w:szCs w:val="32"/>
        </w:rPr>
        <w:t>***</w:t>
      </w:r>
      <w:r>
        <w:rPr>
          <w:rFonts w:ascii="Times New Roman" w:hAnsi="Times New Roman" w:eastAsiaTheme="minorEastAsia"/>
        </w:rPr>
        <w:t>万元。</w:t>
      </w:r>
    </w:p>
    <w:p w14:paraId="03DD61E3">
      <w:pPr>
        <w:pStyle w:val="45"/>
        <w:spacing w:line="360" w:lineRule="auto"/>
        <w:rPr>
          <w:rFonts w:ascii="Times New Roman" w:hAnsi="Times New Roman" w:eastAsiaTheme="minorEastAsia"/>
        </w:rPr>
      </w:pPr>
      <w:r>
        <w:rPr>
          <w:rFonts w:hint="eastAsia" w:ascii="Times New Roman" w:hAnsi="Times New Roman" w:eastAsiaTheme="minorEastAsia"/>
        </w:rPr>
        <w:t>前三年矿区生态修复费用</w:t>
      </w:r>
      <w:r>
        <w:rPr>
          <w:rFonts w:hint="eastAsia" w:cs="宋体"/>
          <w:spacing w:val="13"/>
          <w:sz w:val="32"/>
          <w:szCs w:val="32"/>
        </w:rPr>
        <w:t>***</w:t>
      </w:r>
      <w:r>
        <w:rPr>
          <w:rFonts w:hint="eastAsia" w:ascii="Times New Roman" w:hAnsi="Times New Roman" w:eastAsiaTheme="minorEastAsia"/>
        </w:rPr>
        <w:t>万元，其中第一年度（</w:t>
      </w:r>
      <w:r>
        <w:rPr>
          <w:rFonts w:hint="eastAsia" w:cs="宋体"/>
          <w:spacing w:val="13"/>
          <w:sz w:val="32"/>
          <w:szCs w:val="32"/>
        </w:rPr>
        <w:t>***</w:t>
      </w:r>
      <w:r>
        <w:rPr>
          <w:rFonts w:hint="eastAsia" w:ascii="Times New Roman" w:hAnsi="Times New Roman" w:eastAsiaTheme="minorEastAsia"/>
        </w:rPr>
        <w:t>-</w:t>
      </w:r>
      <w:r>
        <w:rPr>
          <w:rFonts w:hint="eastAsia" w:cs="宋体"/>
          <w:spacing w:val="13"/>
          <w:sz w:val="32"/>
          <w:szCs w:val="32"/>
        </w:rPr>
        <w:t>***</w:t>
      </w:r>
      <w:r>
        <w:rPr>
          <w:rFonts w:hint="eastAsia" w:ascii="Times New Roman" w:hAnsi="Times New Roman" w:eastAsiaTheme="minorEastAsia"/>
        </w:rPr>
        <w:t>）生态修复费用</w:t>
      </w:r>
      <w:r>
        <w:rPr>
          <w:rFonts w:hint="eastAsia" w:cs="宋体"/>
          <w:spacing w:val="13"/>
          <w:sz w:val="32"/>
          <w:szCs w:val="32"/>
        </w:rPr>
        <w:t>***</w:t>
      </w:r>
      <w:r>
        <w:rPr>
          <w:rFonts w:hint="eastAsia" w:ascii="Times New Roman" w:hAnsi="Times New Roman" w:eastAsiaTheme="minorEastAsia"/>
        </w:rPr>
        <w:t>万元，第二年度（</w:t>
      </w:r>
      <w:r>
        <w:rPr>
          <w:rFonts w:hint="eastAsia" w:cs="宋体"/>
          <w:spacing w:val="13"/>
          <w:sz w:val="32"/>
          <w:szCs w:val="32"/>
        </w:rPr>
        <w:t>***</w:t>
      </w:r>
      <w:r>
        <w:rPr>
          <w:rFonts w:hint="eastAsia" w:ascii="Times New Roman" w:hAnsi="Times New Roman" w:eastAsiaTheme="minorEastAsia"/>
        </w:rPr>
        <w:t>-</w:t>
      </w:r>
      <w:r>
        <w:rPr>
          <w:rFonts w:hint="eastAsia" w:cs="宋体"/>
          <w:spacing w:val="13"/>
          <w:sz w:val="32"/>
          <w:szCs w:val="32"/>
        </w:rPr>
        <w:t>***</w:t>
      </w:r>
      <w:r>
        <w:rPr>
          <w:rFonts w:hint="eastAsia" w:ascii="Times New Roman" w:hAnsi="Times New Roman" w:eastAsiaTheme="minorEastAsia"/>
        </w:rPr>
        <w:t>）生态修复费用</w:t>
      </w:r>
      <w:r>
        <w:rPr>
          <w:rFonts w:hint="eastAsia" w:cs="宋体"/>
          <w:spacing w:val="13"/>
          <w:sz w:val="32"/>
          <w:szCs w:val="32"/>
        </w:rPr>
        <w:t>***</w:t>
      </w:r>
      <w:r>
        <w:rPr>
          <w:rFonts w:hint="eastAsia" w:ascii="Times New Roman" w:hAnsi="Times New Roman" w:eastAsiaTheme="minorEastAsia"/>
        </w:rPr>
        <w:t>万元，第三年度（</w:t>
      </w:r>
      <w:r>
        <w:rPr>
          <w:rFonts w:hint="eastAsia" w:cs="宋体"/>
          <w:spacing w:val="13"/>
          <w:sz w:val="32"/>
          <w:szCs w:val="32"/>
        </w:rPr>
        <w:t>***</w:t>
      </w:r>
      <w:r>
        <w:rPr>
          <w:rFonts w:hint="eastAsia" w:ascii="Times New Roman" w:hAnsi="Times New Roman" w:eastAsiaTheme="minorEastAsia"/>
        </w:rPr>
        <w:t>-</w:t>
      </w:r>
      <w:r>
        <w:rPr>
          <w:rFonts w:hint="eastAsia" w:cs="宋体"/>
          <w:spacing w:val="13"/>
          <w:sz w:val="32"/>
          <w:szCs w:val="32"/>
        </w:rPr>
        <w:t>***</w:t>
      </w:r>
      <w:r>
        <w:rPr>
          <w:rFonts w:hint="eastAsia" w:ascii="Times New Roman" w:hAnsi="Times New Roman" w:eastAsiaTheme="minorEastAsia"/>
        </w:rPr>
        <w:t>）生态修复费用</w:t>
      </w:r>
      <w:r>
        <w:rPr>
          <w:rFonts w:hint="eastAsia" w:cs="宋体"/>
          <w:spacing w:val="13"/>
          <w:sz w:val="32"/>
          <w:szCs w:val="32"/>
        </w:rPr>
        <w:t>***</w:t>
      </w:r>
      <w:r>
        <w:rPr>
          <w:rFonts w:hint="eastAsia" w:ascii="Times New Roman" w:hAnsi="Times New Roman" w:eastAsiaTheme="minorEastAsia"/>
        </w:rPr>
        <w:t>万元。</w:t>
      </w:r>
      <w:bookmarkEnd w:id="151"/>
    </w:p>
    <w:p w14:paraId="5F01044D">
      <w:pPr>
        <w:pStyle w:val="45"/>
        <w:spacing w:line="360" w:lineRule="auto"/>
        <w:rPr>
          <w:rFonts w:ascii="Times New Roman" w:hAnsi="Times New Roman" w:eastAsiaTheme="minorEastAsia"/>
        </w:rPr>
      </w:pPr>
      <w:r>
        <w:rPr>
          <w:rFonts w:ascii="Times New Roman" w:hAnsi="Times New Roman" w:eastAsiaTheme="minorEastAsia"/>
        </w:rPr>
        <w:t>详见生态修复总费用组成分析表，表6-</w:t>
      </w:r>
      <w:r>
        <w:rPr>
          <w:rFonts w:hint="eastAsia" w:ascii="Times New Roman" w:hAnsi="Times New Roman" w:eastAsiaTheme="minorEastAsia"/>
        </w:rPr>
        <w:t>14</w:t>
      </w:r>
      <w:r>
        <w:rPr>
          <w:rFonts w:ascii="Times New Roman" w:hAnsi="Times New Roman" w:eastAsiaTheme="minorEastAsia"/>
        </w:rPr>
        <w:t>～6-2</w:t>
      </w:r>
      <w:r>
        <w:rPr>
          <w:rFonts w:hint="eastAsia" w:ascii="Times New Roman" w:hAnsi="Times New Roman" w:eastAsiaTheme="minorEastAsia"/>
        </w:rPr>
        <w:t>4</w:t>
      </w:r>
      <w:r>
        <w:rPr>
          <w:rFonts w:ascii="Times New Roman" w:hAnsi="Times New Roman" w:eastAsiaTheme="minorEastAsia"/>
        </w:rPr>
        <w:t>。</w:t>
      </w:r>
    </w:p>
    <w:p w14:paraId="450ED8B6">
      <w:pPr>
        <w:jc w:val="center"/>
        <w:rPr>
          <w:rFonts w:eastAsia="黑体"/>
          <w:sz w:val="24"/>
          <w:szCs w:val="22"/>
        </w:rPr>
      </w:pPr>
      <w:r>
        <w:rPr>
          <w:rFonts w:eastAsia="黑体"/>
          <w:sz w:val="24"/>
          <w:szCs w:val="22"/>
        </w:rPr>
        <w:t>表6-1</w:t>
      </w:r>
      <w:r>
        <w:rPr>
          <w:rFonts w:hint="eastAsia" w:eastAsia="黑体"/>
          <w:sz w:val="24"/>
          <w:szCs w:val="22"/>
        </w:rPr>
        <w:t>4</w:t>
      </w:r>
      <w:r>
        <w:rPr>
          <w:rFonts w:eastAsia="黑体"/>
          <w:sz w:val="24"/>
          <w:szCs w:val="22"/>
        </w:rPr>
        <w:t xml:space="preserve">    生态修复费用总表</w:t>
      </w:r>
    </w:p>
    <w:p w14:paraId="659C96AE">
      <w:pPr>
        <w:snapToGrid w:val="0"/>
        <w:spacing w:before="120" w:beforeLines="50"/>
        <w:jc w:val="center"/>
        <w:rPr>
          <w:rFonts w:eastAsia="黑体"/>
          <w:sz w:val="24"/>
          <w:szCs w:val="22"/>
        </w:rPr>
      </w:pPr>
      <w:r>
        <w:rPr>
          <w:rFonts w:eastAsia="黑体"/>
          <w:sz w:val="24"/>
          <w:szCs w:val="22"/>
        </w:rPr>
        <w:t>表6-1</w:t>
      </w:r>
      <w:r>
        <w:rPr>
          <w:rFonts w:hint="eastAsia" w:eastAsia="黑体"/>
          <w:sz w:val="24"/>
          <w:szCs w:val="22"/>
        </w:rPr>
        <w:t>5</w:t>
      </w:r>
      <w:r>
        <w:rPr>
          <w:rFonts w:eastAsia="黑体"/>
          <w:sz w:val="24"/>
          <w:szCs w:val="22"/>
        </w:rPr>
        <w:t xml:space="preserve">  工程施工费预算总表</w:t>
      </w:r>
    </w:p>
    <w:p w14:paraId="434D85E0">
      <w:pPr>
        <w:spacing w:before="120" w:beforeLines="50"/>
        <w:jc w:val="center"/>
        <w:rPr>
          <w:rFonts w:eastAsia="黑体"/>
          <w:sz w:val="24"/>
          <w:szCs w:val="22"/>
        </w:rPr>
      </w:pPr>
      <w:r>
        <w:rPr>
          <w:rFonts w:eastAsia="黑体"/>
          <w:sz w:val="24"/>
          <w:szCs w:val="22"/>
        </w:rPr>
        <w:t>表6-1</w:t>
      </w:r>
      <w:r>
        <w:rPr>
          <w:rFonts w:hint="eastAsia" w:eastAsia="黑体"/>
          <w:sz w:val="24"/>
          <w:szCs w:val="22"/>
        </w:rPr>
        <w:t>6</w:t>
      </w:r>
      <w:r>
        <w:rPr>
          <w:rFonts w:eastAsia="黑体"/>
          <w:sz w:val="24"/>
          <w:szCs w:val="22"/>
        </w:rPr>
        <w:t xml:space="preserve">   工程施工费估算表</w:t>
      </w:r>
    </w:p>
    <w:p w14:paraId="1015B519">
      <w:pPr>
        <w:rPr>
          <w:rFonts w:eastAsia="黑体"/>
          <w:sz w:val="24"/>
          <w:szCs w:val="22"/>
        </w:rPr>
      </w:pPr>
    </w:p>
    <w:p w14:paraId="2BD147F1">
      <w:pPr>
        <w:jc w:val="center"/>
        <w:rPr>
          <w:rFonts w:eastAsia="黑体"/>
          <w:sz w:val="24"/>
          <w:szCs w:val="22"/>
        </w:rPr>
      </w:pPr>
      <w:r>
        <w:rPr>
          <w:rFonts w:eastAsia="黑体"/>
          <w:sz w:val="24"/>
          <w:szCs w:val="22"/>
        </w:rPr>
        <w:t>表6-1</w:t>
      </w:r>
      <w:r>
        <w:rPr>
          <w:rFonts w:hint="eastAsia" w:eastAsia="黑体"/>
          <w:sz w:val="24"/>
          <w:szCs w:val="22"/>
        </w:rPr>
        <w:t>7</w:t>
      </w:r>
      <w:r>
        <w:rPr>
          <w:rFonts w:eastAsia="黑体"/>
          <w:sz w:val="24"/>
          <w:szCs w:val="22"/>
        </w:rPr>
        <w:t xml:space="preserve">   工程施工费单价估算表</w:t>
      </w:r>
    </w:p>
    <w:p w14:paraId="16C1A372">
      <w:pPr>
        <w:jc w:val="center"/>
        <w:rPr>
          <w:rFonts w:eastAsia="黑体"/>
          <w:sz w:val="24"/>
          <w:szCs w:val="22"/>
        </w:rPr>
      </w:pPr>
    </w:p>
    <w:p w14:paraId="1DA81D6A">
      <w:pPr>
        <w:jc w:val="center"/>
        <w:rPr>
          <w:rFonts w:eastAsia="黑体"/>
          <w:sz w:val="24"/>
          <w:szCs w:val="22"/>
        </w:rPr>
      </w:pPr>
      <w:r>
        <w:rPr>
          <w:rFonts w:eastAsia="黑体"/>
          <w:sz w:val="24"/>
          <w:szCs w:val="22"/>
        </w:rPr>
        <w:t>表6-1</w:t>
      </w:r>
      <w:r>
        <w:rPr>
          <w:rFonts w:hint="eastAsia" w:eastAsia="黑体"/>
          <w:sz w:val="24"/>
          <w:szCs w:val="22"/>
        </w:rPr>
        <w:t>8</w:t>
      </w:r>
      <w:r>
        <w:rPr>
          <w:rFonts w:eastAsia="黑体"/>
          <w:sz w:val="24"/>
          <w:szCs w:val="22"/>
        </w:rPr>
        <w:t xml:space="preserve">   其他费用估算表</w:t>
      </w:r>
    </w:p>
    <w:p w14:paraId="557D2C8B">
      <w:pPr>
        <w:snapToGrid w:val="0"/>
        <w:spacing w:before="120" w:beforeLines="50"/>
        <w:jc w:val="center"/>
        <w:rPr>
          <w:rFonts w:eastAsia="黑体"/>
          <w:sz w:val="24"/>
          <w:szCs w:val="22"/>
        </w:rPr>
      </w:pPr>
      <w:r>
        <w:rPr>
          <w:rFonts w:eastAsia="黑体"/>
          <w:sz w:val="24"/>
          <w:szCs w:val="22"/>
        </w:rPr>
        <w:t>表 6-1</w:t>
      </w:r>
      <w:r>
        <w:rPr>
          <w:rFonts w:hint="eastAsia" w:eastAsia="黑体"/>
          <w:sz w:val="24"/>
          <w:szCs w:val="22"/>
        </w:rPr>
        <w:t>9</w:t>
      </w:r>
      <w:r>
        <w:rPr>
          <w:rFonts w:eastAsia="黑体"/>
          <w:sz w:val="24"/>
          <w:szCs w:val="22"/>
        </w:rPr>
        <w:t xml:space="preserve">  监测费用估算表</w:t>
      </w:r>
    </w:p>
    <w:p w14:paraId="3E22C3D0">
      <w:pPr>
        <w:snapToGrid w:val="0"/>
        <w:spacing w:before="120" w:beforeLines="50"/>
        <w:jc w:val="center"/>
        <w:rPr>
          <w:rFonts w:eastAsia="黑体"/>
          <w:szCs w:val="16"/>
        </w:rPr>
      </w:pPr>
      <w:r>
        <w:rPr>
          <w:rFonts w:eastAsia="黑体"/>
          <w:sz w:val="24"/>
          <w:szCs w:val="22"/>
        </w:rPr>
        <w:t>表 6-</w:t>
      </w:r>
      <w:r>
        <w:rPr>
          <w:rFonts w:hint="eastAsia" w:eastAsia="黑体"/>
          <w:sz w:val="24"/>
          <w:szCs w:val="22"/>
        </w:rPr>
        <w:t>20</w:t>
      </w:r>
      <w:r>
        <w:rPr>
          <w:rFonts w:eastAsia="黑体"/>
          <w:sz w:val="24"/>
          <w:szCs w:val="22"/>
        </w:rPr>
        <w:t xml:space="preserve">  管护费用估算表</w:t>
      </w:r>
    </w:p>
    <w:p w14:paraId="56BECAF1">
      <w:pPr>
        <w:pStyle w:val="45"/>
        <w:spacing w:line="240" w:lineRule="auto"/>
        <w:ind w:firstLine="0" w:firstLineChars="0"/>
        <w:jc w:val="center"/>
        <w:rPr>
          <w:rFonts w:ascii="Times New Roman" w:hAnsi="Times New Roman" w:eastAsia="黑体"/>
          <w:sz w:val="21"/>
          <w:szCs w:val="16"/>
        </w:rPr>
      </w:pPr>
    </w:p>
    <w:p w14:paraId="707C6B38">
      <w:pPr>
        <w:jc w:val="center"/>
        <w:rPr>
          <w:rFonts w:eastAsia="黑体"/>
          <w:sz w:val="24"/>
          <w:szCs w:val="22"/>
        </w:rPr>
      </w:pPr>
      <w:r>
        <w:rPr>
          <w:rFonts w:eastAsia="黑体"/>
          <w:sz w:val="24"/>
          <w:szCs w:val="22"/>
        </w:rPr>
        <w:t>表 6-</w:t>
      </w:r>
      <w:r>
        <w:rPr>
          <w:rFonts w:hint="eastAsia" w:eastAsia="黑体"/>
          <w:sz w:val="24"/>
          <w:szCs w:val="22"/>
        </w:rPr>
        <w:t>21</w:t>
      </w:r>
      <w:r>
        <w:rPr>
          <w:rFonts w:eastAsia="黑体"/>
          <w:sz w:val="24"/>
          <w:szCs w:val="22"/>
        </w:rPr>
        <w:t xml:space="preserve">  </w:t>
      </w:r>
      <w:r>
        <w:rPr>
          <w:rFonts w:hint="eastAsia" w:eastAsia="黑体"/>
          <w:sz w:val="24"/>
          <w:szCs w:val="22"/>
        </w:rPr>
        <w:t>基本预备费</w:t>
      </w:r>
      <w:r>
        <w:rPr>
          <w:rFonts w:eastAsia="黑体"/>
          <w:sz w:val="24"/>
          <w:szCs w:val="22"/>
        </w:rPr>
        <w:t>估算表</w:t>
      </w:r>
    </w:p>
    <w:p w14:paraId="702A4438">
      <w:pPr>
        <w:snapToGrid w:val="0"/>
        <w:spacing w:before="120" w:beforeLines="50"/>
        <w:jc w:val="center"/>
        <w:rPr>
          <w:rFonts w:eastAsia="黑体"/>
          <w:sz w:val="24"/>
          <w:szCs w:val="22"/>
        </w:rPr>
      </w:pPr>
      <w:r>
        <w:rPr>
          <w:rFonts w:eastAsia="黑体"/>
          <w:sz w:val="24"/>
          <w:szCs w:val="22"/>
        </w:rPr>
        <w:t>表6-2</w:t>
      </w:r>
      <w:r>
        <w:rPr>
          <w:rFonts w:hint="eastAsia" w:eastAsia="黑体"/>
          <w:sz w:val="24"/>
          <w:szCs w:val="22"/>
        </w:rPr>
        <w:t>2</w:t>
      </w:r>
      <w:r>
        <w:rPr>
          <w:rFonts w:eastAsia="黑体"/>
          <w:sz w:val="24"/>
          <w:szCs w:val="22"/>
        </w:rPr>
        <w:t xml:space="preserve">    价差预备费估算表</w:t>
      </w:r>
    </w:p>
    <w:p w14:paraId="2088025F">
      <w:pPr>
        <w:snapToGrid w:val="0"/>
        <w:spacing w:before="120" w:beforeLines="50"/>
        <w:jc w:val="center"/>
        <w:rPr>
          <w:rFonts w:eastAsia="黑体"/>
          <w:sz w:val="24"/>
          <w:szCs w:val="22"/>
        </w:rPr>
      </w:pPr>
      <w:r>
        <w:rPr>
          <w:rFonts w:eastAsia="黑体"/>
          <w:sz w:val="24"/>
          <w:szCs w:val="22"/>
        </w:rPr>
        <w:t>表6-2</w:t>
      </w:r>
      <w:r>
        <w:rPr>
          <w:rFonts w:hint="eastAsia" w:eastAsia="黑体"/>
          <w:sz w:val="24"/>
          <w:szCs w:val="22"/>
        </w:rPr>
        <w:t>3</w:t>
      </w:r>
      <w:r>
        <w:rPr>
          <w:rFonts w:eastAsia="黑体"/>
          <w:sz w:val="24"/>
          <w:szCs w:val="22"/>
        </w:rPr>
        <w:t xml:space="preserve">  施工费单价分析表</w:t>
      </w:r>
    </w:p>
    <w:p w14:paraId="1CCFAAE4">
      <w:pPr>
        <w:rPr>
          <w:rFonts w:eastAsia="黑体"/>
          <w:sz w:val="24"/>
          <w:szCs w:val="22"/>
        </w:rPr>
      </w:pPr>
    </w:p>
    <w:p w14:paraId="65DB9F07">
      <w:pPr>
        <w:jc w:val="center"/>
        <w:rPr>
          <w:rFonts w:eastAsia="黑体"/>
          <w:sz w:val="24"/>
          <w:szCs w:val="22"/>
        </w:rPr>
        <w:sectPr>
          <w:headerReference r:id="rId22" w:type="default"/>
          <w:footerReference r:id="rId23" w:type="default"/>
          <w:pgSz w:w="11906" w:h="16838"/>
          <w:pgMar w:top="1219" w:right="1797" w:bottom="1440" w:left="1797" w:header="851" w:footer="992" w:gutter="0"/>
          <w:cols w:space="720" w:num="1"/>
          <w:docGrid w:linePitch="312" w:charSpace="0"/>
        </w:sectPr>
      </w:pPr>
      <w:r>
        <w:rPr>
          <w:rFonts w:eastAsia="黑体"/>
          <w:sz w:val="24"/>
          <w:szCs w:val="22"/>
        </w:rPr>
        <w:t>表6-2</w:t>
      </w:r>
      <w:r>
        <w:rPr>
          <w:rFonts w:hint="eastAsia" w:eastAsia="黑体"/>
          <w:sz w:val="24"/>
          <w:szCs w:val="22"/>
        </w:rPr>
        <w:t>4</w:t>
      </w:r>
      <w:r>
        <w:rPr>
          <w:rFonts w:eastAsia="黑体"/>
          <w:sz w:val="24"/>
          <w:szCs w:val="22"/>
        </w:rPr>
        <w:t xml:space="preserve">  台班费计算表</w:t>
      </w:r>
    </w:p>
    <w:p w14:paraId="3570C435">
      <w:pPr>
        <w:tabs>
          <w:tab w:val="center" w:pos="4156"/>
        </w:tabs>
        <w:jc w:val="center"/>
        <w:rPr>
          <w:b/>
          <w:bCs/>
          <w:sz w:val="30"/>
          <w:szCs w:val="30"/>
        </w:rPr>
      </w:pPr>
      <w:bookmarkStart w:id="152" w:name="_Toc25403"/>
      <w:r>
        <w:rPr>
          <w:b/>
          <w:bCs/>
          <w:sz w:val="30"/>
          <w:szCs w:val="30"/>
        </w:rPr>
        <w:t>第三节  阶段工作任务与经费安排</w:t>
      </w:r>
      <w:bookmarkEnd w:id="152"/>
    </w:p>
    <w:p w14:paraId="4223F7FA">
      <w:pPr>
        <w:widowControl/>
        <w:shd w:val="clear" w:color="010000" w:fill="auto"/>
        <w:spacing w:line="360" w:lineRule="auto"/>
        <w:ind w:firstLine="562" w:firstLineChars="200"/>
        <w:outlineLvl w:val="2"/>
        <w:rPr>
          <w:b/>
          <w:bCs/>
          <w:kern w:val="0"/>
          <w:sz w:val="28"/>
          <w:szCs w:val="28"/>
        </w:rPr>
      </w:pPr>
      <w:r>
        <w:rPr>
          <w:b/>
          <w:bCs/>
          <w:kern w:val="0"/>
          <w:sz w:val="28"/>
          <w:szCs w:val="28"/>
        </w:rPr>
        <w:t>一、阶段工作任务</w:t>
      </w:r>
    </w:p>
    <w:p w14:paraId="78ECF9AC">
      <w:pPr>
        <w:pStyle w:val="115"/>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根据开采设计，按照矿区生态修复与采矿工程相结合的原则，同时根据现状问题识别和受损预测分析，综合诊断评价，按照轻重缓急、分阶段实施的原则，将矿区生态修复划分为</w:t>
      </w:r>
      <w:r>
        <w:rPr>
          <w:rFonts w:hint="eastAsia" w:ascii="Times New Roman" w:hAnsi="Times New Roman" w:cs="Times New Roman"/>
          <w:sz w:val="28"/>
          <w:szCs w:val="28"/>
        </w:rPr>
        <w:t>近三年</w:t>
      </w:r>
      <w:r>
        <w:rPr>
          <w:rFonts w:ascii="Times New Roman" w:hAnsi="Times New Roman" w:cs="Times New Roman"/>
          <w:sz w:val="28"/>
          <w:szCs w:val="28"/>
        </w:rPr>
        <w:t>、生产期和终采后的治理与管护期三个规划阶段。各阶段实施时间计划见表6-2</w:t>
      </w:r>
      <w:r>
        <w:rPr>
          <w:rFonts w:hint="eastAsia" w:ascii="Times New Roman" w:hAnsi="Times New Roman" w:cs="Times New Roman"/>
          <w:sz w:val="28"/>
          <w:szCs w:val="28"/>
        </w:rPr>
        <w:t>5</w:t>
      </w:r>
      <w:r>
        <w:rPr>
          <w:rFonts w:ascii="Times New Roman" w:hAnsi="Times New Roman" w:cs="Times New Roman"/>
          <w:sz w:val="28"/>
          <w:szCs w:val="28"/>
        </w:rPr>
        <w:t>。</w:t>
      </w:r>
    </w:p>
    <w:p w14:paraId="3633431B">
      <w:pPr>
        <w:jc w:val="center"/>
        <w:rPr>
          <w:rFonts w:eastAsia="黑体"/>
          <w:sz w:val="24"/>
          <w:szCs w:val="22"/>
        </w:rPr>
      </w:pPr>
      <w:r>
        <w:rPr>
          <w:rFonts w:eastAsia="黑体"/>
          <w:sz w:val="24"/>
          <w:szCs w:val="22"/>
        </w:rPr>
        <w:t>表6-2</w:t>
      </w:r>
      <w:r>
        <w:rPr>
          <w:rFonts w:hint="eastAsia" w:eastAsia="黑体"/>
          <w:sz w:val="24"/>
          <w:szCs w:val="22"/>
        </w:rPr>
        <w:t>5</w:t>
      </w:r>
      <w:r>
        <w:rPr>
          <w:rFonts w:eastAsia="黑体"/>
          <w:sz w:val="24"/>
          <w:szCs w:val="22"/>
        </w:rPr>
        <w:t xml:space="preserve">  矿山地质环境治理阶段时间</w:t>
      </w:r>
    </w:p>
    <w:tbl>
      <w:tblPr>
        <w:tblStyle w:val="76"/>
        <w:tblW w:w="8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0"/>
        <w:gridCol w:w="1723"/>
        <w:gridCol w:w="2026"/>
        <w:gridCol w:w="2088"/>
      </w:tblGrid>
      <w:tr w14:paraId="790D0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700" w:type="dxa"/>
            <w:vAlign w:val="center"/>
          </w:tcPr>
          <w:p w14:paraId="67A233F4">
            <w:pPr>
              <w:spacing w:line="240" w:lineRule="atLeast"/>
              <w:jc w:val="center"/>
              <w:rPr>
                <w:sz w:val="24"/>
                <w:szCs w:val="24"/>
              </w:rPr>
            </w:pPr>
            <w:r>
              <w:rPr>
                <w:sz w:val="24"/>
                <w:szCs w:val="24"/>
              </w:rPr>
              <w:t>分期</w:t>
            </w:r>
          </w:p>
        </w:tc>
        <w:tc>
          <w:tcPr>
            <w:tcW w:w="1723" w:type="dxa"/>
            <w:vAlign w:val="center"/>
          </w:tcPr>
          <w:p w14:paraId="54B00CFA">
            <w:pPr>
              <w:spacing w:line="240" w:lineRule="atLeast"/>
              <w:jc w:val="center"/>
              <w:rPr>
                <w:sz w:val="24"/>
                <w:szCs w:val="24"/>
              </w:rPr>
            </w:pPr>
            <w:r>
              <w:rPr>
                <w:sz w:val="24"/>
                <w:szCs w:val="24"/>
              </w:rPr>
              <w:t>阶段划分</w:t>
            </w:r>
          </w:p>
        </w:tc>
        <w:tc>
          <w:tcPr>
            <w:tcW w:w="2026" w:type="dxa"/>
            <w:vAlign w:val="center"/>
          </w:tcPr>
          <w:p w14:paraId="00EEBDE6">
            <w:pPr>
              <w:spacing w:line="240" w:lineRule="atLeast"/>
              <w:jc w:val="center"/>
              <w:rPr>
                <w:sz w:val="24"/>
                <w:szCs w:val="24"/>
              </w:rPr>
            </w:pPr>
            <w:r>
              <w:rPr>
                <w:sz w:val="24"/>
                <w:szCs w:val="24"/>
              </w:rPr>
              <w:t>时段</w:t>
            </w:r>
          </w:p>
        </w:tc>
        <w:tc>
          <w:tcPr>
            <w:tcW w:w="2088" w:type="dxa"/>
            <w:vAlign w:val="center"/>
          </w:tcPr>
          <w:p w14:paraId="61F7C352">
            <w:pPr>
              <w:spacing w:line="240" w:lineRule="atLeast"/>
              <w:jc w:val="center"/>
              <w:rPr>
                <w:sz w:val="24"/>
                <w:szCs w:val="24"/>
              </w:rPr>
            </w:pPr>
            <w:r>
              <w:rPr>
                <w:sz w:val="24"/>
                <w:szCs w:val="24"/>
              </w:rPr>
              <w:t>年限</w:t>
            </w:r>
          </w:p>
        </w:tc>
      </w:tr>
      <w:tr w14:paraId="63CEE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700" w:type="dxa"/>
            <w:vAlign w:val="center"/>
          </w:tcPr>
          <w:p w14:paraId="0395BD01">
            <w:pPr>
              <w:spacing w:line="240" w:lineRule="atLeast"/>
              <w:jc w:val="center"/>
              <w:rPr>
                <w:sz w:val="24"/>
                <w:szCs w:val="24"/>
              </w:rPr>
            </w:pPr>
            <w:r>
              <w:rPr>
                <w:sz w:val="24"/>
                <w:szCs w:val="24"/>
              </w:rPr>
              <w:t>生产期</w:t>
            </w:r>
            <w:r>
              <w:rPr>
                <w:rFonts w:hint="eastAsia"/>
                <w:sz w:val="24"/>
                <w:szCs w:val="24"/>
              </w:rPr>
              <w:t>第一年</w:t>
            </w:r>
          </w:p>
        </w:tc>
        <w:tc>
          <w:tcPr>
            <w:tcW w:w="1723" w:type="dxa"/>
            <w:vMerge w:val="restart"/>
            <w:vAlign w:val="center"/>
          </w:tcPr>
          <w:p w14:paraId="22808ED4">
            <w:pPr>
              <w:spacing w:line="240" w:lineRule="atLeast"/>
              <w:jc w:val="center"/>
              <w:rPr>
                <w:sz w:val="24"/>
                <w:szCs w:val="24"/>
              </w:rPr>
            </w:pPr>
            <w:r>
              <w:rPr>
                <w:sz w:val="24"/>
                <w:szCs w:val="24"/>
              </w:rPr>
              <w:t>第1阶段</w:t>
            </w:r>
          </w:p>
        </w:tc>
        <w:tc>
          <w:tcPr>
            <w:tcW w:w="2026" w:type="dxa"/>
            <w:vAlign w:val="center"/>
          </w:tcPr>
          <w:p w14:paraId="38F42F16">
            <w:pPr>
              <w:spacing w:line="240" w:lineRule="atLeast"/>
              <w:jc w:val="center"/>
              <w:rPr>
                <w:sz w:val="24"/>
                <w:szCs w:val="24"/>
              </w:rPr>
            </w:pPr>
            <w:r>
              <w:rPr>
                <w:rFonts w:hint="eastAsia" w:ascii="宋体" w:hAnsi="宋体" w:cs="宋体"/>
                <w:spacing w:val="13"/>
                <w:sz w:val="32"/>
                <w:szCs w:val="32"/>
              </w:rPr>
              <w:t>***</w:t>
            </w:r>
            <w:r>
              <w:rPr>
                <w:rFonts w:hint="eastAsia" w:eastAsiaTheme="minorEastAsia"/>
              </w:rPr>
              <w:t>-</w:t>
            </w:r>
            <w:r>
              <w:rPr>
                <w:rFonts w:hint="eastAsia" w:ascii="宋体" w:hAnsi="宋体" w:cs="宋体"/>
                <w:spacing w:val="13"/>
                <w:sz w:val="32"/>
                <w:szCs w:val="32"/>
              </w:rPr>
              <w:t>***</w:t>
            </w:r>
          </w:p>
        </w:tc>
        <w:tc>
          <w:tcPr>
            <w:tcW w:w="2088" w:type="dxa"/>
            <w:vAlign w:val="center"/>
          </w:tcPr>
          <w:p w14:paraId="0ABF3131">
            <w:pPr>
              <w:spacing w:line="240" w:lineRule="atLeast"/>
              <w:jc w:val="center"/>
              <w:rPr>
                <w:sz w:val="24"/>
                <w:szCs w:val="24"/>
              </w:rPr>
            </w:pPr>
            <w:r>
              <w:rPr>
                <w:rFonts w:hint="eastAsia" w:ascii="宋体" w:hAnsi="宋体" w:cs="宋体"/>
                <w:spacing w:val="13"/>
                <w:sz w:val="32"/>
                <w:szCs w:val="32"/>
              </w:rPr>
              <w:t>***</w:t>
            </w:r>
          </w:p>
        </w:tc>
      </w:tr>
      <w:tr w14:paraId="4F13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700" w:type="dxa"/>
            <w:vAlign w:val="center"/>
          </w:tcPr>
          <w:p w14:paraId="12CA3C44">
            <w:pPr>
              <w:spacing w:line="240" w:lineRule="atLeast"/>
              <w:jc w:val="center"/>
              <w:rPr>
                <w:sz w:val="24"/>
                <w:szCs w:val="24"/>
              </w:rPr>
            </w:pPr>
            <w:r>
              <w:rPr>
                <w:sz w:val="24"/>
                <w:szCs w:val="24"/>
              </w:rPr>
              <w:t>生产期</w:t>
            </w:r>
            <w:r>
              <w:rPr>
                <w:rFonts w:hint="eastAsia"/>
                <w:sz w:val="24"/>
                <w:szCs w:val="24"/>
              </w:rPr>
              <w:t>第二年</w:t>
            </w:r>
          </w:p>
        </w:tc>
        <w:tc>
          <w:tcPr>
            <w:tcW w:w="1723" w:type="dxa"/>
            <w:vMerge w:val="continue"/>
            <w:vAlign w:val="center"/>
          </w:tcPr>
          <w:p w14:paraId="7376CB13">
            <w:pPr>
              <w:spacing w:line="240" w:lineRule="atLeast"/>
              <w:jc w:val="center"/>
              <w:rPr>
                <w:sz w:val="24"/>
                <w:szCs w:val="24"/>
              </w:rPr>
            </w:pPr>
          </w:p>
        </w:tc>
        <w:tc>
          <w:tcPr>
            <w:tcW w:w="2026" w:type="dxa"/>
            <w:vAlign w:val="center"/>
          </w:tcPr>
          <w:p w14:paraId="2F5997F5">
            <w:pPr>
              <w:spacing w:line="240" w:lineRule="atLeast"/>
              <w:jc w:val="center"/>
              <w:rPr>
                <w:sz w:val="24"/>
                <w:szCs w:val="24"/>
              </w:rPr>
            </w:pPr>
            <w:r>
              <w:rPr>
                <w:rFonts w:hint="eastAsia" w:ascii="宋体" w:hAnsi="宋体" w:cs="宋体"/>
                <w:spacing w:val="13"/>
                <w:sz w:val="32"/>
                <w:szCs w:val="32"/>
              </w:rPr>
              <w:t>***</w:t>
            </w:r>
            <w:r>
              <w:rPr>
                <w:rFonts w:hint="eastAsia" w:eastAsiaTheme="minorEastAsia"/>
              </w:rPr>
              <w:t>-</w:t>
            </w:r>
            <w:r>
              <w:rPr>
                <w:rFonts w:hint="eastAsia" w:ascii="宋体" w:hAnsi="宋体" w:cs="宋体"/>
                <w:spacing w:val="13"/>
                <w:sz w:val="32"/>
                <w:szCs w:val="32"/>
              </w:rPr>
              <w:t>***</w:t>
            </w:r>
          </w:p>
        </w:tc>
        <w:tc>
          <w:tcPr>
            <w:tcW w:w="2088" w:type="dxa"/>
            <w:vAlign w:val="center"/>
          </w:tcPr>
          <w:p w14:paraId="1B2755D1">
            <w:pPr>
              <w:spacing w:line="240" w:lineRule="atLeast"/>
              <w:jc w:val="center"/>
              <w:rPr>
                <w:sz w:val="24"/>
                <w:szCs w:val="24"/>
              </w:rPr>
            </w:pPr>
            <w:r>
              <w:rPr>
                <w:rFonts w:hint="eastAsia" w:ascii="宋体" w:hAnsi="宋体" w:cs="宋体"/>
                <w:spacing w:val="13"/>
                <w:sz w:val="32"/>
                <w:szCs w:val="32"/>
              </w:rPr>
              <w:t>***</w:t>
            </w:r>
          </w:p>
        </w:tc>
      </w:tr>
      <w:tr w14:paraId="27AF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700" w:type="dxa"/>
            <w:vAlign w:val="center"/>
          </w:tcPr>
          <w:p w14:paraId="4BB1159D">
            <w:pPr>
              <w:spacing w:line="240" w:lineRule="atLeast"/>
              <w:jc w:val="center"/>
              <w:rPr>
                <w:sz w:val="24"/>
                <w:szCs w:val="24"/>
              </w:rPr>
            </w:pPr>
            <w:r>
              <w:rPr>
                <w:sz w:val="24"/>
                <w:szCs w:val="24"/>
              </w:rPr>
              <w:t>生产期</w:t>
            </w:r>
            <w:r>
              <w:rPr>
                <w:rFonts w:hint="eastAsia"/>
                <w:sz w:val="24"/>
                <w:szCs w:val="24"/>
              </w:rPr>
              <w:t>第三年</w:t>
            </w:r>
          </w:p>
        </w:tc>
        <w:tc>
          <w:tcPr>
            <w:tcW w:w="1723" w:type="dxa"/>
            <w:vMerge w:val="continue"/>
            <w:vAlign w:val="center"/>
          </w:tcPr>
          <w:p w14:paraId="6396FB34">
            <w:pPr>
              <w:spacing w:line="240" w:lineRule="atLeast"/>
              <w:jc w:val="center"/>
              <w:rPr>
                <w:sz w:val="24"/>
                <w:szCs w:val="24"/>
              </w:rPr>
            </w:pPr>
          </w:p>
        </w:tc>
        <w:tc>
          <w:tcPr>
            <w:tcW w:w="2026" w:type="dxa"/>
            <w:vAlign w:val="center"/>
          </w:tcPr>
          <w:p w14:paraId="322FEB8F">
            <w:pPr>
              <w:spacing w:line="240" w:lineRule="atLeast"/>
              <w:jc w:val="center"/>
              <w:rPr>
                <w:sz w:val="24"/>
                <w:szCs w:val="24"/>
              </w:rPr>
            </w:pPr>
            <w:r>
              <w:rPr>
                <w:rFonts w:hint="eastAsia" w:ascii="宋体" w:hAnsi="宋体" w:cs="宋体"/>
                <w:spacing w:val="13"/>
                <w:sz w:val="32"/>
                <w:szCs w:val="32"/>
              </w:rPr>
              <w:t>***</w:t>
            </w:r>
            <w:r>
              <w:rPr>
                <w:rFonts w:hint="eastAsia" w:eastAsiaTheme="minorEastAsia"/>
              </w:rPr>
              <w:t>-</w:t>
            </w:r>
            <w:r>
              <w:rPr>
                <w:rFonts w:hint="eastAsia" w:ascii="宋体" w:hAnsi="宋体" w:cs="宋体"/>
                <w:spacing w:val="13"/>
                <w:sz w:val="32"/>
                <w:szCs w:val="32"/>
              </w:rPr>
              <w:t>***</w:t>
            </w:r>
          </w:p>
        </w:tc>
        <w:tc>
          <w:tcPr>
            <w:tcW w:w="2088" w:type="dxa"/>
            <w:vAlign w:val="center"/>
          </w:tcPr>
          <w:p w14:paraId="736C957A">
            <w:pPr>
              <w:spacing w:line="240" w:lineRule="atLeast"/>
              <w:jc w:val="center"/>
              <w:rPr>
                <w:sz w:val="24"/>
                <w:szCs w:val="24"/>
              </w:rPr>
            </w:pPr>
            <w:r>
              <w:rPr>
                <w:rFonts w:hint="eastAsia" w:ascii="宋体" w:hAnsi="宋体" w:cs="宋体"/>
                <w:spacing w:val="13"/>
                <w:sz w:val="32"/>
                <w:szCs w:val="32"/>
              </w:rPr>
              <w:t>***</w:t>
            </w:r>
          </w:p>
        </w:tc>
      </w:tr>
      <w:tr w14:paraId="4ECF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700" w:type="dxa"/>
            <w:vAlign w:val="center"/>
          </w:tcPr>
          <w:p w14:paraId="0E7316CF">
            <w:pPr>
              <w:spacing w:line="240" w:lineRule="atLeast"/>
              <w:jc w:val="center"/>
              <w:rPr>
                <w:sz w:val="24"/>
                <w:szCs w:val="24"/>
              </w:rPr>
            </w:pPr>
            <w:r>
              <w:rPr>
                <w:sz w:val="24"/>
                <w:szCs w:val="24"/>
              </w:rPr>
              <w:t>生产期</w:t>
            </w:r>
            <w:r>
              <w:rPr>
                <w:rFonts w:hint="eastAsia"/>
                <w:sz w:val="24"/>
                <w:szCs w:val="24"/>
              </w:rPr>
              <w:t>4-7年</w:t>
            </w:r>
          </w:p>
        </w:tc>
        <w:tc>
          <w:tcPr>
            <w:tcW w:w="1723" w:type="dxa"/>
            <w:vAlign w:val="center"/>
          </w:tcPr>
          <w:p w14:paraId="703ECE93">
            <w:pPr>
              <w:spacing w:line="240" w:lineRule="atLeast"/>
              <w:jc w:val="center"/>
              <w:rPr>
                <w:sz w:val="24"/>
                <w:szCs w:val="24"/>
              </w:rPr>
            </w:pPr>
            <w:r>
              <w:rPr>
                <w:sz w:val="24"/>
                <w:szCs w:val="24"/>
              </w:rPr>
              <w:t>第2阶段</w:t>
            </w:r>
          </w:p>
        </w:tc>
        <w:tc>
          <w:tcPr>
            <w:tcW w:w="2026" w:type="dxa"/>
            <w:vAlign w:val="center"/>
          </w:tcPr>
          <w:p w14:paraId="3487D344">
            <w:pPr>
              <w:spacing w:line="240" w:lineRule="atLeast"/>
              <w:jc w:val="center"/>
              <w:rPr>
                <w:sz w:val="24"/>
                <w:szCs w:val="24"/>
              </w:rPr>
            </w:pPr>
            <w:r>
              <w:rPr>
                <w:rFonts w:hint="eastAsia" w:ascii="宋体" w:hAnsi="宋体" w:cs="宋体"/>
                <w:spacing w:val="13"/>
                <w:sz w:val="32"/>
                <w:szCs w:val="32"/>
              </w:rPr>
              <w:t>***</w:t>
            </w:r>
            <w:r>
              <w:rPr>
                <w:rFonts w:hint="eastAsia" w:eastAsiaTheme="minorEastAsia"/>
              </w:rPr>
              <w:t>-</w:t>
            </w:r>
            <w:r>
              <w:rPr>
                <w:rFonts w:hint="eastAsia" w:ascii="宋体" w:hAnsi="宋体" w:cs="宋体"/>
                <w:spacing w:val="13"/>
                <w:sz w:val="32"/>
                <w:szCs w:val="32"/>
              </w:rPr>
              <w:t>***</w:t>
            </w:r>
          </w:p>
        </w:tc>
        <w:tc>
          <w:tcPr>
            <w:tcW w:w="2088" w:type="dxa"/>
            <w:vAlign w:val="center"/>
          </w:tcPr>
          <w:p w14:paraId="59C0A6E7">
            <w:pPr>
              <w:spacing w:line="240" w:lineRule="atLeast"/>
              <w:jc w:val="center"/>
              <w:rPr>
                <w:sz w:val="24"/>
                <w:szCs w:val="24"/>
              </w:rPr>
            </w:pPr>
            <w:r>
              <w:rPr>
                <w:rFonts w:hint="eastAsia" w:ascii="宋体" w:hAnsi="宋体" w:cs="宋体"/>
                <w:spacing w:val="13"/>
                <w:sz w:val="32"/>
                <w:szCs w:val="32"/>
              </w:rPr>
              <w:t>***</w:t>
            </w:r>
          </w:p>
        </w:tc>
      </w:tr>
      <w:tr w14:paraId="3B99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2700" w:type="dxa"/>
            <w:vAlign w:val="center"/>
          </w:tcPr>
          <w:p w14:paraId="13D9D58A">
            <w:pPr>
              <w:spacing w:line="240" w:lineRule="atLeast"/>
              <w:jc w:val="center"/>
              <w:rPr>
                <w:sz w:val="24"/>
                <w:szCs w:val="24"/>
              </w:rPr>
            </w:pPr>
            <w:r>
              <w:rPr>
                <w:sz w:val="24"/>
                <w:szCs w:val="24"/>
              </w:rPr>
              <w:t>终采后的治理与管护期</w:t>
            </w:r>
          </w:p>
        </w:tc>
        <w:tc>
          <w:tcPr>
            <w:tcW w:w="1723" w:type="dxa"/>
            <w:vAlign w:val="center"/>
          </w:tcPr>
          <w:p w14:paraId="26E1CE86">
            <w:pPr>
              <w:spacing w:line="240" w:lineRule="atLeast"/>
              <w:jc w:val="center"/>
              <w:rPr>
                <w:sz w:val="24"/>
                <w:szCs w:val="24"/>
              </w:rPr>
            </w:pPr>
            <w:r>
              <w:rPr>
                <w:sz w:val="24"/>
                <w:szCs w:val="24"/>
              </w:rPr>
              <w:t>第3阶段</w:t>
            </w:r>
          </w:p>
        </w:tc>
        <w:tc>
          <w:tcPr>
            <w:tcW w:w="2026" w:type="dxa"/>
            <w:vAlign w:val="center"/>
          </w:tcPr>
          <w:p w14:paraId="3FBCB7C8">
            <w:pPr>
              <w:spacing w:line="240" w:lineRule="atLeast"/>
              <w:jc w:val="center"/>
              <w:rPr>
                <w:sz w:val="24"/>
                <w:szCs w:val="24"/>
              </w:rPr>
            </w:pPr>
            <w:r>
              <w:rPr>
                <w:rFonts w:hint="eastAsia" w:ascii="宋体" w:hAnsi="宋体" w:cs="宋体"/>
                <w:spacing w:val="13"/>
                <w:sz w:val="32"/>
                <w:szCs w:val="32"/>
              </w:rPr>
              <w:t>***</w:t>
            </w:r>
            <w:r>
              <w:rPr>
                <w:rFonts w:hint="eastAsia" w:eastAsiaTheme="minorEastAsia"/>
              </w:rPr>
              <w:t>-</w:t>
            </w:r>
            <w:r>
              <w:rPr>
                <w:rFonts w:hint="eastAsia" w:ascii="宋体" w:hAnsi="宋体" w:cs="宋体"/>
                <w:spacing w:val="13"/>
                <w:sz w:val="32"/>
                <w:szCs w:val="32"/>
              </w:rPr>
              <w:t>***</w:t>
            </w:r>
          </w:p>
        </w:tc>
        <w:tc>
          <w:tcPr>
            <w:tcW w:w="2088" w:type="dxa"/>
            <w:vAlign w:val="center"/>
          </w:tcPr>
          <w:p w14:paraId="45E349F9">
            <w:pPr>
              <w:spacing w:line="240" w:lineRule="atLeast"/>
              <w:jc w:val="center"/>
              <w:rPr>
                <w:sz w:val="24"/>
                <w:szCs w:val="24"/>
              </w:rPr>
            </w:pPr>
            <w:r>
              <w:rPr>
                <w:rFonts w:hint="eastAsia" w:ascii="宋体" w:hAnsi="宋体" w:cs="宋体"/>
                <w:spacing w:val="13"/>
                <w:sz w:val="32"/>
                <w:szCs w:val="32"/>
              </w:rPr>
              <w:t>***</w:t>
            </w:r>
          </w:p>
        </w:tc>
      </w:tr>
    </w:tbl>
    <w:p w14:paraId="1356B7BB">
      <w:pPr>
        <w:pStyle w:val="6"/>
        <w:keepNext w:val="0"/>
        <w:keepLines w:val="0"/>
        <w:adjustRightInd/>
        <w:snapToGrid/>
        <w:spacing w:before="240" w:beforeLines="100"/>
        <w:ind w:firstLine="562"/>
        <w:rPr>
          <w:rFonts w:ascii="Times New Roman" w:hAnsi="Times New Roman"/>
          <w:bCs/>
          <w:sz w:val="28"/>
          <w:szCs w:val="24"/>
        </w:rPr>
      </w:pPr>
      <w:bookmarkStart w:id="153" w:name="_Hlk223718530"/>
      <w:r>
        <w:rPr>
          <w:rFonts w:ascii="Times New Roman" w:hAnsi="Times New Roman"/>
          <w:bCs/>
          <w:sz w:val="28"/>
          <w:szCs w:val="24"/>
        </w:rPr>
        <w:t>（一）</w:t>
      </w:r>
      <w:r>
        <w:rPr>
          <w:rFonts w:hint="eastAsia" w:ascii="Times New Roman" w:hAnsi="Times New Roman"/>
          <w:bCs/>
          <w:sz w:val="28"/>
          <w:szCs w:val="24"/>
        </w:rPr>
        <w:t>生产期第一年</w:t>
      </w:r>
      <w:r>
        <w:rPr>
          <w:rFonts w:ascii="Times New Roman" w:hAnsi="Times New Roman"/>
          <w:bCs/>
          <w:sz w:val="28"/>
          <w:szCs w:val="24"/>
        </w:rPr>
        <w:t>实施</w:t>
      </w:r>
      <w:r>
        <w:rPr>
          <w:rFonts w:hint="eastAsia" w:ascii="Times New Roman" w:hAnsi="Times New Roman"/>
          <w:bCs/>
          <w:sz w:val="28"/>
          <w:szCs w:val="24"/>
        </w:rPr>
        <w:t>工程</w:t>
      </w:r>
      <w:r>
        <w:rPr>
          <w:rFonts w:ascii="Times New Roman" w:hAnsi="Times New Roman"/>
          <w:bCs/>
          <w:sz w:val="28"/>
          <w:szCs w:val="24"/>
        </w:rPr>
        <w:t>（</w:t>
      </w:r>
      <w:r>
        <w:rPr>
          <w:rFonts w:hint="eastAsia" w:ascii="宋体" w:hAnsi="宋体" w:cs="宋体"/>
          <w:spacing w:val="13"/>
          <w:sz w:val="32"/>
          <w:szCs w:val="32"/>
        </w:rPr>
        <w:t>***</w:t>
      </w:r>
      <w:r>
        <w:rPr>
          <w:rFonts w:ascii="Times New Roman" w:hAnsi="Times New Roman"/>
          <w:bCs/>
          <w:sz w:val="28"/>
          <w:szCs w:val="24"/>
        </w:rPr>
        <w:t>-</w:t>
      </w:r>
      <w:r>
        <w:rPr>
          <w:rFonts w:hint="eastAsia" w:ascii="宋体" w:hAnsi="宋体" w:cs="宋体"/>
          <w:spacing w:val="13"/>
          <w:sz w:val="32"/>
          <w:szCs w:val="32"/>
        </w:rPr>
        <w:t>***</w:t>
      </w:r>
      <w:r>
        <w:rPr>
          <w:rFonts w:ascii="Times New Roman" w:hAnsi="Times New Roman"/>
          <w:bCs/>
          <w:sz w:val="28"/>
          <w:szCs w:val="24"/>
        </w:rPr>
        <w:t>）</w:t>
      </w:r>
    </w:p>
    <w:p w14:paraId="00D33D8E">
      <w:pPr>
        <w:pStyle w:val="115"/>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严格按照《开发利用方案》执行，并保留开采记录、照片、录像，防治工作的重点是：逐步建立地质环境监测网点，开展监测工作。具体工作内容如下：</w:t>
      </w:r>
    </w:p>
    <w:p w14:paraId="42ED220A">
      <w:pPr>
        <w:pStyle w:val="115"/>
        <w:spacing w:line="360" w:lineRule="auto"/>
        <w:ind w:firstLine="560" w:firstLineChars="200"/>
        <w:jc w:val="both"/>
        <w:rPr>
          <w:rFonts w:ascii="Times New Roman" w:hAnsi="Times New Roman" w:cs="Times New Roman"/>
          <w:sz w:val="28"/>
          <w:szCs w:val="28"/>
        </w:rPr>
      </w:pPr>
      <w:bookmarkStart w:id="154" w:name="_Hlk239010621"/>
      <w:r>
        <w:rPr>
          <w:rFonts w:hint="eastAsia" w:ascii="Times New Roman" w:hAnsi="Times New Roman" w:cs="Times New Roman"/>
          <w:sz w:val="28"/>
          <w:szCs w:val="28"/>
        </w:rPr>
        <w:t>1、完善前期治理，</w:t>
      </w:r>
      <w:r>
        <w:rPr>
          <w:rFonts w:hint="eastAsia"/>
          <w:sz w:val="28"/>
          <w:szCs w:val="28"/>
        </w:rPr>
        <w:t>对前期治理的民采渣堆1、民采坑3、民采渣堆3、民采渣堆4、废石堆1，进行植被补种。</w:t>
      </w:r>
    </w:p>
    <w:p w14:paraId="1E3FAEFB">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2、露天采场（矿区外）实施垫坡整形、覆土整平、恢复植被；</w:t>
      </w:r>
    </w:p>
    <w:p w14:paraId="0C288DDB">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3、对废石场2进行边坡放缓、清理、北部立陡边坡垫坡、边坡规整取直、覆土、恢复植被；</w:t>
      </w:r>
    </w:p>
    <w:p w14:paraId="0AD6C6A8">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4、对废石场1边坡清理、底部回填、场地整平；对废石场3进行边坡规整取直，之后对场地覆土、恢复植被；</w:t>
      </w:r>
    </w:p>
    <w:bookmarkEnd w:id="154"/>
    <w:p w14:paraId="6C8FC211">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5、建立露天采场、排土场、废石场边坡监测点，定期对边坡不稳定地质体进行监测；</w:t>
      </w:r>
    </w:p>
    <w:p w14:paraId="6214F85D">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6、建立土壤污染监测点并定期观测，并定期采样分析，监测土壤污染状况。</w:t>
      </w:r>
    </w:p>
    <w:p w14:paraId="59890118">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7</w:t>
      </w:r>
      <w:r>
        <w:rPr>
          <w:rFonts w:ascii="Times New Roman" w:hAnsi="Times New Roman" w:cs="Times New Roman"/>
          <w:sz w:val="28"/>
          <w:szCs w:val="28"/>
        </w:rPr>
        <w:t>、沿地形地貌景观监测路线，定期对监测矿区地形地貌景观变化状况。</w:t>
      </w:r>
    </w:p>
    <w:p w14:paraId="77FBD27A">
      <w:pPr>
        <w:pStyle w:val="6"/>
        <w:keepNext w:val="0"/>
        <w:keepLines w:val="0"/>
        <w:adjustRightInd/>
        <w:snapToGrid/>
        <w:ind w:firstLine="562"/>
        <w:rPr>
          <w:rFonts w:ascii="Times New Roman" w:hAnsi="Times New Roman"/>
          <w:bCs/>
          <w:sz w:val="28"/>
          <w:szCs w:val="24"/>
        </w:rPr>
      </w:pPr>
      <w:r>
        <w:rPr>
          <w:rFonts w:ascii="Times New Roman" w:hAnsi="Times New Roman"/>
          <w:bCs/>
          <w:sz w:val="28"/>
          <w:szCs w:val="24"/>
        </w:rPr>
        <w:t>（</w:t>
      </w:r>
      <w:r>
        <w:rPr>
          <w:rFonts w:hint="eastAsia" w:ascii="Times New Roman" w:hAnsi="Times New Roman"/>
          <w:bCs/>
          <w:sz w:val="28"/>
          <w:szCs w:val="24"/>
        </w:rPr>
        <w:t>二</w:t>
      </w:r>
      <w:r>
        <w:rPr>
          <w:rFonts w:ascii="Times New Roman" w:hAnsi="Times New Roman"/>
          <w:bCs/>
          <w:sz w:val="28"/>
          <w:szCs w:val="24"/>
        </w:rPr>
        <w:t>）</w:t>
      </w:r>
      <w:r>
        <w:rPr>
          <w:rFonts w:hint="eastAsia" w:ascii="Times New Roman" w:hAnsi="Times New Roman"/>
          <w:bCs/>
          <w:sz w:val="28"/>
          <w:szCs w:val="24"/>
        </w:rPr>
        <w:t>生产期第二年</w:t>
      </w:r>
      <w:r>
        <w:rPr>
          <w:rFonts w:ascii="Times New Roman" w:hAnsi="Times New Roman"/>
          <w:bCs/>
          <w:sz w:val="28"/>
          <w:szCs w:val="24"/>
        </w:rPr>
        <w:t>实施</w:t>
      </w:r>
      <w:r>
        <w:rPr>
          <w:rFonts w:hint="eastAsia" w:ascii="Times New Roman" w:hAnsi="Times New Roman"/>
          <w:bCs/>
          <w:sz w:val="28"/>
          <w:szCs w:val="24"/>
        </w:rPr>
        <w:t>工程</w:t>
      </w:r>
      <w:r>
        <w:rPr>
          <w:rFonts w:ascii="Times New Roman" w:hAnsi="Times New Roman"/>
          <w:bCs/>
          <w:sz w:val="28"/>
          <w:szCs w:val="24"/>
        </w:rPr>
        <w:t>（</w:t>
      </w:r>
      <w:r>
        <w:rPr>
          <w:rFonts w:hint="eastAsia" w:ascii="宋体" w:hAnsi="宋体" w:cs="宋体"/>
          <w:spacing w:val="13"/>
          <w:sz w:val="32"/>
          <w:szCs w:val="32"/>
        </w:rPr>
        <w:t>***</w:t>
      </w:r>
      <w:r>
        <w:rPr>
          <w:rFonts w:ascii="Times New Roman" w:hAnsi="Times New Roman"/>
          <w:bCs/>
          <w:sz w:val="28"/>
          <w:szCs w:val="24"/>
        </w:rPr>
        <w:t>-</w:t>
      </w:r>
      <w:r>
        <w:rPr>
          <w:rFonts w:hint="eastAsia" w:ascii="宋体" w:hAnsi="宋体" w:cs="宋体"/>
          <w:spacing w:val="13"/>
          <w:sz w:val="32"/>
          <w:szCs w:val="32"/>
        </w:rPr>
        <w:t>***</w:t>
      </w:r>
      <w:r>
        <w:rPr>
          <w:rFonts w:ascii="Times New Roman" w:hAnsi="Times New Roman"/>
          <w:bCs/>
          <w:sz w:val="28"/>
          <w:szCs w:val="24"/>
        </w:rPr>
        <w:t>）</w:t>
      </w:r>
    </w:p>
    <w:p w14:paraId="12C68D95">
      <w:pPr>
        <w:pStyle w:val="115"/>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具体工作内容如下：</w:t>
      </w:r>
    </w:p>
    <w:p w14:paraId="663238F6">
      <w:pPr>
        <w:pStyle w:val="115"/>
        <w:spacing w:line="360" w:lineRule="auto"/>
        <w:ind w:firstLine="560" w:firstLineChars="200"/>
        <w:jc w:val="both"/>
        <w:rPr>
          <w:rFonts w:ascii="Times New Roman" w:hAnsi="Times New Roman" w:cs="Times New Roman"/>
          <w:sz w:val="28"/>
          <w:szCs w:val="28"/>
        </w:rPr>
      </w:pPr>
      <w:bookmarkStart w:id="155" w:name="_Hlk239010628"/>
      <w:r>
        <w:rPr>
          <w:rFonts w:hint="eastAsia" w:ascii="Times New Roman" w:hAnsi="Times New Roman" w:cs="Times New Roman"/>
          <w:sz w:val="28"/>
          <w:szCs w:val="28"/>
        </w:rPr>
        <w:t>1、对钻机平台切坡位置回填垫坡、堆坡位置废石清运，覆土整平、恢复植被；</w:t>
      </w:r>
    </w:p>
    <w:p w14:paraId="2FC0192C">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2、</w:t>
      </w:r>
      <w:r>
        <w:rPr>
          <w:rFonts w:ascii="Times New Roman" w:hAnsi="Times New Roman" w:cs="Times New Roman"/>
          <w:sz w:val="28"/>
          <w:szCs w:val="28"/>
        </w:rPr>
        <w:t>对</w:t>
      </w:r>
      <w:r>
        <w:rPr>
          <w:rFonts w:hint="eastAsia" w:ascii="Times New Roman" w:hAnsi="Times New Roman" w:cs="Times New Roman"/>
          <w:sz w:val="28"/>
          <w:szCs w:val="28"/>
        </w:rPr>
        <w:t>办公区进行拆除、建筑垃圾清理、对场地进行场地平整、覆土、恢复植被；</w:t>
      </w:r>
    </w:p>
    <w:bookmarkEnd w:id="155"/>
    <w:p w14:paraId="779284B9">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3、定期对露天采场、排土场、废石场边坡监测点进行观测，加强巡视，为地质灾害监测预警提供技术依据；</w:t>
      </w:r>
    </w:p>
    <w:p w14:paraId="4AFAA1F2">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4、定期对土壤污染监测点进行观测，并定期采样分析，监测土壤污染状况。</w:t>
      </w:r>
    </w:p>
    <w:p w14:paraId="0C239AC2">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5、沿地形地貌景观监测路线，定期对监测矿区地形地貌景观变化状况。</w:t>
      </w:r>
    </w:p>
    <w:p w14:paraId="4CF4AFC9">
      <w:pPr>
        <w:pStyle w:val="6"/>
        <w:keepNext w:val="0"/>
        <w:keepLines w:val="0"/>
        <w:adjustRightInd/>
        <w:snapToGrid/>
        <w:ind w:firstLine="562"/>
        <w:rPr>
          <w:rFonts w:ascii="Times New Roman" w:hAnsi="Times New Roman"/>
          <w:bCs/>
          <w:sz w:val="28"/>
          <w:szCs w:val="24"/>
        </w:rPr>
      </w:pPr>
      <w:r>
        <w:rPr>
          <w:rFonts w:ascii="Times New Roman" w:hAnsi="Times New Roman"/>
          <w:bCs/>
          <w:sz w:val="28"/>
          <w:szCs w:val="24"/>
        </w:rPr>
        <w:t>（</w:t>
      </w:r>
      <w:r>
        <w:rPr>
          <w:rFonts w:hint="eastAsia" w:ascii="Times New Roman" w:hAnsi="Times New Roman"/>
          <w:bCs/>
          <w:sz w:val="28"/>
          <w:szCs w:val="24"/>
        </w:rPr>
        <w:t>三</w:t>
      </w:r>
      <w:r>
        <w:rPr>
          <w:rFonts w:ascii="Times New Roman" w:hAnsi="Times New Roman"/>
          <w:bCs/>
          <w:sz w:val="28"/>
          <w:szCs w:val="24"/>
        </w:rPr>
        <w:t>）</w:t>
      </w:r>
      <w:r>
        <w:rPr>
          <w:rFonts w:hint="eastAsia" w:ascii="Times New Roman" w:hAnsi="Times New Roman"/>
          <w:bCs/>
          <w:sz w:val="28"/>
          <w:szCs w:val="24"/>
        </w:rPr>
        <w:t>生产期第三年</w:t>
      </w:r>
      <w:r>
        <w:rPr>
          <w:rFonts w:ascii="Times New Roman" w:hAnsi="Times New Roman"/>
          <w:bCs/>
          <w:sz w:val="28"/>
          <w:szCs w:val="24"/>
        </w:rPr>
        <w:t>实施</w:t>
      </w:r>
      <w:r>
        <w:rPr>
          <w:rFonts w:hint="eastAsia" w:ascii="Times New Roman" w:hAnsi="Times New Roman"/>
          <w:bCs/>
          <w:sz w:val="28"/>
          <w:szCs w:val="24"/>
        </w:rPr>
        <w:t>工程</w:t>
      </w:r>
      <w:r>
        <w:rPr>
          <w:rFonts w:ascii="Times New Roman" w:hAnsi="Times New Roman"/>
          <w:bCs/>
          <w:sz w:val="28"/>
          <w:szCs w:val="24"/>
        </w:rPr>
        <w:t>（</w:t>
      </w:r>
      <w:r>
        <w:rPr>
          <w:rFonts w:hint="eastAsia" w:ascii="宋体" w:hAnsi="宋体" w:cs="宋体"/>
          <w:spacing w:val="13"/>
          <w:sz w:val="32"/>
          <w:szCs w:val="32"/>
        </w:rPr>
        <w:t>***</w:t>
      </w:r>
      <w:r>
        <w:rPr>
          <w:rFonts w:ascii="Times New Roman" w:hAnsi="Times New Roman"/>
          <w:bCs/>
          <w:sz w:val="28"/>
          <w:szCs w:val="24"/>
        </w:rPr>
        <w:t>-</w:t>
      </w:r>
      <w:r>
        <w:rPr>
          <w:rFonts w:hint="eastAsia" w:ascii="宋体" w:hAnsi="宋体" w:cs="宋体"/>
          <w:spacing w:val="13"/>
          <w:sz w:val="32"/>
          <w:szCs w:val="32"/>
        </w:rPr>
        <w:t>***</w:t>
      </w:r>
      <w:r>
        <w:rPr>
          <w:rFonts w:ascii="Times New Roman" w:hAnsi="Times New Roman"/>
          <w:bCs/>
          <w:sz w:val="28"/>
          <w:szCs w:val="24"/>
        </w:rPr>
        <w:t>）</w:t>
      </w:r>
    </w:p>
    <w:p w14:paraId="62088B68">
      <w:pPr>
        <w:pStyle w:val="115"/>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具体工作内容如下：</w:t>
      </w:r>
    </w:p>
    <w:p w14:paraId="7CD9095E">
      <w:pPr>
        <w:pStyle w:val="115"/>
        <w:spacing w:line="360" w:lineRule="auto"/>
        <w:ind w:firstLine="560" w:firstLineChars="200"/>
        <w:jc w:val="both"/>
        <w:rPr>
          <w:rFonts w:ascii="Times New Roman" w:hAnsi="Times New Roman" w:cs="Times New Roman"/>
          <w:sz w:val="28"/>
          <w:szCs w:val="28"/>
        </w:rPr>
      </w:pPr>
      <w:bookmarkStart w:id="156" w:name="_Hlk239010642"/>
      <w:r>
        <w:rPr>
          <w:rFonts w:hint="eastAsia" w:ascii="Times New Roman" w:hAnsi="Times New Roman" w:cs="Times New Roman"/>
          <w:sz w:val="28"/>
          <w:szCs w:val="28"/>
        </w:rPr>
        <w:t>1、对门卫进行拆除、建筑垃圾清理、切坡位置垫坡、对场地进行场地平整、覆土、恢复植被；</w:t>
      </w:r>
    </w:p>
    <w:p w14:paraId="2D494D44">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2、对生活区进行拆除、建筑垃圾清理、边坡整形、对场地进行场地平整、覆土、恢复植被；</w:t>
      </w:r>
    </w:p>
    <w:bookmarkEnd w:id="156"/>
    <w:p w14:paraId="7025F5C1">
      <w:pPr>
        <w:pStyle w:val="115"/>
        <w:spacing w:line="360" w:lineRule="auto"/>
        <w:ind w:firstLine="560" w:firstLineChars="200"/>
        <w:jc w:val="both"/>
        <w:rPr>
          <w:rFonts w:ascii="Times New Roman" w:hAnsi="Times New Roman" w:cs="Times New Roman"/>
          <w:sz w:val="28"/>
          <w:szCs w:val="28"/>
        </w:rPr>
      </w:pPr>
      <w:bookmarkStart w:id="157" w:name="_Hlk239010657"/>
      <w:r>
        <w:rPr>
          <w:rFonts w:hint="eastAsia" w:ascii="Times New Roman" w:hAnsi="Times New Roman" w:cs="Times New Roman"/>
          <w:sz w:val="28"/>
          <w:szCs w:val="28"/>
        </w:rPr>
        <w:t>3、定期对露天采场、排土场、废石场边坡监测点进行观测，加强巡视，为地质灾害监测预警提供技术依据；</w:t>
      </w:r>
    </w:p>
    <w:p w14:paraId="7B51D4F6">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4、定期对土壤污染监测点进行观测，并定期采样分析，监测土壤污染状况。</w:t>
      </w:r>
    </w:p>
    <w:p w14:paraId="0D63D848">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5、沿地形地貌景观监测路线，定期对监测矿区地形地貌景观变化状况。</w:t>
      </w:r>
      <w:bookmarkEnd w:id="157"/>
    </w:p>
    <w:p w14:paraId="4A6CFFD2">
      <w:pPr>
        <w:pStyle w:val="6"/>
        <w:keepNext w:val="0"/>
        <w:keepLines w:val="0"/>
        <w:adjustRightInd/>
        <w:snapToGrid/>
        <w:ind w:firstLine="562"/>
        <w:rPr>
          <w:rFonts w:ascii="Times New Roman" w:hAnsi="Times New Roman"/>
          <w:bCs/>
          <w:sz w:val="28"/>
          <w:szCs w:val="24"/>
        </w:rPr>
      </w:pPr>
      <w:r>
        <w:rPr>
          <w:rFonts w:ascii="Times New Roman" w:hAnsi="Times New Roman"/>
          <w:bCs/>
          <w:sz w:val="28"/>
          <w:szCs w:val="24"/>
        </w:rPr>
        <w:t>（</w:t>
      </w:r>
      <w:r>
        <w:rPr>
          <w:rFonts w:hint="eastAsia" w:ascii="Times New Roman" w:hAnsi="Times New Roman"/>
          <w:bCs/>
          <w:sz w:val="28"/>
          <w:szCs w:val="24"/>
        </w:rPr>
        <w:t>四</w:t>
      </w:r>
      <w:r>
        <w:rPr>
          <w:rFonts w:ascii="Times New Roman" w:hAnsi="Times New Roman"/>
          <w:bCs/>
          <w:sz w:val="28"/>
          <w:szCs w:val="24"/>
        </w:rPr>
        <w:t>）生产期</w:t>
      </w:r>
      <w:r>
        <w:rPr>
          <w:rFonts w:hint="eastAsia" w:ascii="Times New Roman" w:hAnsi="Times New Roman"/>
          <w:bCs/>
          <w:sz w:val="28"/>
          <w:szCs w:val="24"/>
        </w:rPr>
        <w:t>（</w:t>
      </w:r>
      <w:r>
        <w:rPr>
          <w:rFonts w:hint="eastAsia" w:ascii="宋体" w:hAnsi="宋体" w:cs="宋体"/>
          <w:spacing w:val="13"/>
          <w:sz w:val="32"/>
          <w:szCs w:val="32"/>
        </w:rPr>
        <w:t>***</w:t>
      </w:r>
      <w:r>
        <w:rPr>
          <w:rFonts w:hint="eastAsia" w:ascii="Times New Roman" w:hAnsi="Times New Roman"/>
          <w:bCs/>
          <w:sz w:val="28"/>
          <w:szCs w:val="24"/>
        </w:rPr>
        <w:t>-</w:t>
      </w:r>
      <w:r>
        <w:rPr>
          <w:rFonts w:hint="eastAsia" w:ascii="宋体" w:hAnsi="宋体" w:cs="宋体"/>
          <w:spacing w:val="13"/>
          <w:sz w:val="32"/>
          <w:szCs w:val="32"/>
        </w:rPr>
        <w:t>***</w:t>
      </w:r>
      <w:r>
        <w:rPr>
          <w:rFonts w:hint="eastAsia" w:ascii="Times New Roman" w:hAnsi="Times New Roman"/>
          <w:bCs/>
          <w:sz w:val="28"/>
          <w:szCs w:val="24"/>
        </w:rPr>
        <w:t>年）</w:t>
      </w:r>
      <w:r>
        <w:rPr>
          <w:rFonts w:ascii="Times New Roman" w:hAnsi="Times New Roman"/>
          <w:bCs/>
          <w:sz w:val="28"/>
          <w:szCs w:val="24"/>
        </w:rPr>
        <w:t>实施阶段（</w:t>
      </w:r>
      <w:r>
        <w:rPr>
          <w:rFonts w:hint="eastAsia" w:ascii="宋体" w:hAnsi="宋体" w:cs="宋体"/>
          <w:spacing w:val="13"/>
          <w:sz w:val="32"/>
          <w:szCs w:val="32"/>
        </w:rPr>
        <w:t>***</w:t>
      </w:r>
      <w:r>
        <w:rPr>
          <w:rFonts w:ascii="Times New Roman" w:hAnsi="Times New Roman"/>
          <w:bCs/>
          <w:sz w:val="28"/>
          <w:szCs w:val="24"/>
        </w:rPr>
        <w:t>-</w:t>
      </w:r>
      <w:r>
        <w:rPr>
          <w:rFonts w:hint="eastAsia" w:ascii="宋体" w:hAnsi="宋体" w:cs="宋体"/>
          <w:spacing w:val="13"/>
          <w:sz w:val="32"/>
          <w:szCs w:val="32"/>
        </w:rPr>
        <w:t>***</w:t>
      </w:r>
      <w:r>
        <w:rPr>
          <w:rFonts w:ascii="Times New Roman" w:hAnsi="Times New Roman"/>
          <w:bCs/>
          <w:sz w:val="28"/>
          <w:szCs w:val="24"/>
        </w:rPr>
        <w:t>）</w:t>
      </w:r>
    </w:p>
    <w:p w14:paraId="529F07EF">
      <w:pPr>
        <w:pStyle w:val="115"/>
        <w:spacing w:line="360" w:lineRule="auto"/>
        <w:ind w:firstLine="560" w:firstLineChars="200"/>
        <w:jc w:val="both"/>
        <w:rPr>
          <w:rFonts w:ascii="Times New Roman" w:hAnsi="Times New Roman" w:cs="Times New Roman"/>
          <w:sz w:val="28"/>
          <w:szCs w:val="28"/>
        </w:rPr>
      </w:pPr>
      <w:bookmarkStart w:id="158" w:name="_Hlk239010695"/>
      <w:r>
        <w:rPr>
          <w:rFonts w:ascii="Times New Roman" w:hAnsi="Times New Roman" w:cs="Times New Roman"/>
          <w:sz w:val="28"/>
          <w:szCs w:val="28"/>
        </w:rPr>
        <w:t>1、根据“边开采、边修复”原则，</w:t>
      </w:r>
      <w:r>
        <w:rPr>
          <w:rFonts w:hint="eastAsia" w:ascii="Times New Roman" w:hAnsi="Times New Roman" w:cs="Times New Roman"/>
          <w:sz w:val="28"/>
          <w:szCs w:val="28"/>
        </w:rPr>
        <w:t>本方案设计拟建露天采场每形成一阶台阶，将对台阶平台进行覆土，种草过渡；</w:t>
      </w:r>
    </w:p>
    <w:p w14:paraId="3A004433">
      <w:pPr>
        <w:pStyle w:val="115"/>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2、</w:t>
      </w:r>
      <w:r>
        <w:rPr>
          <w:rFonts w:hint="eastAsia" w:ascii="Times New Roman" w:hAnsi="Times New Roman" w:cs="Times New Roman"/>
          <w:sz w:val="28"/>
          <w:szCs w:val="28"/>
        </w:rPr>
        <w:t>及时对拟建露天采场边坡形成的危岩体进行清理；</w:t>
      </w:r>
    </w:p>
    <w:p w14:paraId="37453357">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3、定期对露天采场、排土场、废石场边坡监测点进行观测，加强巡视，为地质灾害监测预警提供技术依据；</w:t>
      </w:r>
    </w:p>
    <w:p w14:paraId="74CF7023">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4、定期对土壤污染监测点进行观测，并定期采样分析，监测土壤污染状况。</w:t>
      </w:r>
    </w:p>
    <w:p w14:paraId="550DDF42">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5、沿地形地貌景观监测路线，定期对监测矿区地形地貌景观变化状况。</w:t>
      </w:r>
    </w:p>
    <w:bookmarkEnd w:id="158"/>
    <w:p w14:paraId="103ABA3A">
      <w:pPr>
        <w:pStyle w:val="6"/>
        <w:keepNext w:val="0"/>
        <w:keepLines w:val="0"/>
        <w:adjustRightInd/>
        <w:snapToGrid/>
        <w:ind w:firstLine="562"/>
        <w:rPr>
          <w:rFonts w:ascii="Times New Roman" w:hAnsi="Times New Roman"/>
          <w:bCs/>
          <w:sz w:val="28"/>
          <w:szCs w:val="24"/>
        </w:rPr>
      </w:pPr>
      <w:r>
        <w:rPr>
          <w:rFonts w:ascii="Times New Roman" w:hAnsi="Times New Roman"/>
          <w:bCs/>
          <w:sz w:val="28"/>
          <w:szCs w:val="24"/>
        </w:rPr>
        <w:t>（</w:t>
      </w:r>
      <w:r>
        <w:rPr>
          <w:rFonts w:hint="eastAsia" w:ascii="Times New Roman" w:hAnsi="Times New Roman"/>
          <w:bCs/>
          <w:sz w:val="28"/>
          <w:szCs w:val="24"/>
        </w:rPr>
        <w:t>五</w:t>
      </w:r>
      <w:r>
        <w:rPr>
          <w:rFonts w:ascii="Times New Roman" w:hAnsi="Times New Roman"/>
          <w:bCs/>
          <w:sz w:val="28"/>
          <w:szCs w:val="24"/>
        </w:rPr>
        <w:t>）终采后的治理与管护期（</w:t>
      </w:r>
      <w:r>
        <w:rPr>
          <w:rFonts w:hint="eastAsia" w:ascii="宋体" w:hAnsi="宋体" w:cs="宋体"/>
          <w:spacing w:val="13"/>
          <w:sz w:val="32"/>
          <w:szCs w:val="32"/>
        </w:rPr>
        <w:t>***</w:t>
      </w:r>
      <w:r>
        <w:rPr>
          <w:rFonts w:ascii="Times New Roman" w:hAnsi="Times New Roman"/>
          <w:bCs/>
          <w:sz w:val="28"/>
          <w:szCs w:val="24"/>
        </w:rPr>
        <w:t>-</w:t>
      </w:r>
      <w:r>
        <w:rPr>
          <w:rFonts w:hint="eastAsia" w:ascii="宋体" w:hAnsi="宋体" w:cs="宋体"/>
          <w:spacing w:val="13"/>
          <w:sz w:val="32"/>
          <w:szCs w:val="32"/>
        </w:rPr>
        <w:t>***</w:t>
      </w:r>
      <w:r>
        <w:rPr>
          <w:rFonts w:ascii="Times New Roman" w:hAnsi="Times New Roman"/>
          <w:bCs/>
          <w:sz w:val="28"/>
          <w:szCs w:val="24"/>
        </w:rPr>
        <w:t>）</w:t>
      </w:r>
    </w:p>
    <w:p w14:paraId="3806EEFB">
      <w:pPr>
        <w:pStyle w:val="115"/>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继续实施生态修复工程，并保留开采记录、照片、录像，重点有以下内容：</w:t>
      </w:r>
    </w:p>
    <w:p w14:paraId="7D0AD797">
      <w:pPr>
        <w:pStyle w:val="115"/>
        <w:spacing w:line="360" w:lineRule="auto"/>
        <w:ind w:firstLine="560" w:firstLineChars="200"/>
        <w:jc w:val="both"/>
        <w:rPr>
          <w:rFonts w:ascii="Times New Roman" w:hAnsi="Times New Roman" w:cs="Times New Roman"/>
          <w:sz w:val="28"/>
          <w:szCs w:val="28"/>
        </w:rPr>
      </w:pPr>
      <w:bookmarkStart w:id="159" w:name="_Hlk239010719"/>
      <w:r>
        <w:rPr>
          <w:rFonts w:ascii="Times New Roman" w:hAnsi="Times New Roman" w:cs="Times New Roman"/>
          <w:sz w:val="28"/>
          <w:szCs w:val="28"/>
        </w:rPr>
        <w:t>1、</w:t>
      </w:r>
      <w:r>
        <w:rPr>
          <w:rFonts w:hint="eastAsia" w:ascii="Times New Roman" w:hAnsi="Times New Roman" w:cs="Times New Roman"/>
          <w:sz w:val="28"/>
          <w:szCs w:val="28"/>
        </w:rPr>
        <w:t>拟建露天采场场底部平台回填、剩余的平台覆土、恢复植被；</w:t>
      </w:r>
    </w:p>
    <w:p w14:paraId="23FDB5D7">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2、对拟建办公生活区进行拆除、建筑垃圾清理、对场地进行场地平整、覆土、恢复植被；</w:t>
      </w:r>
    </w:p>
    <w:p w14:paraId="5735C7DB">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3、对工业场地进行拆除、建筑垃圾清理、对场地进行场地平整、覆土、恢复植被；</w:t>
      </w:r>
    </w:p>
    <w:p w14:paraId="4540F2BA">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4、对拟建截洪沟回填、覆土、恢复植被；</w:t>
      </w:r>
    </w:p>
    <w:p w14:paraId="67AC9F10">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5、对拟建矿区道路、矿区道路进行翻耕松土、恢复植被；</w:t>
      </w:r>
    </w:p>
    <w:p w14:paraId="645F0C51">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6、定期对露天采场、排土场、废石场边坡监测点进行观测，加强巡视，为地质灾害监测预警提供技术依据；</w:t>
      </w:r>
    </w:p>
    <w:p w14:paraId="2D6861A9">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7、定期对土壤污染监测点进行观测，并定期采样分析，监测土壤污染状况。</w:t>
      </w:r>
    </w:p>
    <w:p w14:paraId="187748E5">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8、沿地形地貌景观监测路线，定期对监测矿区地形地貌景观变化状况。</w:t>
      </w:r>
    </w:p>
    <w:p w14:paraId="33342B05">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9</w:t>
      </w:r>
      <w:r>
        <w:rPr>
          <w:rFonts w:ascii="Times New Roman" w:hAnsi="Times New Roman" w:cs="Times New Roman"/>
          <w:sz w:val="28"/>
          <w:szCs w:val="28"/>
        </w:rPr>
        <w:t>、对已恢复的植被进行补种及管护。</w:t>
      </w:r>
      <w:bookmarkEnd w:id="159"/>
    </w:p>
    <w:bookmarkEnd w:id="153"/>
    <w:p w14:paraId="736330A3">
      <w:pPr>
        <w:jc w:val="center"/>
        <w:rPr>
          <w:rFonts w:eastAsia="黑体"/>
          <w:sz w:val="24"/>
          <w:szCs w:val="22"/>
        </w:rPr>
      </w:pPr>
      <w:r>
        <w:rPr>
          <w:rFonts w:eastAsia="黑体"/>
          <w:sz w:val="24"/>
          <w:szCs w:val="22"/>
        </w:rPr>
        <w:t>表6-2</w:t>
      </w:r>
      <w:r>
        <w:rPr>
          <w:rFonts w:hint="eastAsia" w:eastAsia="黑体"/>
          <w:sz w:val="24"/>
          <w:szCs w:val="22"/>
        </w:rPr>
        <w:t>6</w:t>
      </w:r>
      <w:r>
        <w:rPr>
          <w:rFonts w:eastAsia="黑体"/>
          <w:sz w:val="24"/>
          <w:szCs w:val="22"/>
        </w:rPr>
        <w:t xml:space="preserve">  生态修复复垦工作部署安排表</w:t>
      </w:r>
    </w:p>
    <w:p w14:paraId="3F4DC48B">
      <w:pPr>
        <w:pStyle w:val="115"/>
        <w:rPr>
          <w:rFonts w:ascii="Times New Roman" w:hAnsi="Times New Roman" w:eastAsia="黑体" w:cs="Times New Roman"/>
          <w:sz w:val="24"/>
          <w:szCs w:val="24"/>
        </w:rPr>
      </w:pPr>
    </w:p>
    <w:p w14:paraId="2579CE8E">
      <w:pPr>
        <w:pStyle w:val="115"/>
        <w:spacing w:line="360" w:lineRule="auto"/>
        <w:ind w:firstLine="562" w:firstLineChars="200"/>
        <w:jc w:val="both"/>
        <w:outlineLvl w:val="2"/>
        <w:rPr>
          <w:rFonts w:ascii="Times New Roman" w:hAnsi="Times New Roman" w:cs="Times New Roman"/>
          <w:b/>
          <w:bCs/>
          <w:sz w:val="28"/>
          <w:szCs w:val="28"/>
        </w:rPr>
      </w:pPr>
      <w:bookmarkStart w:id="160" w:name="_Hlk229761110"/>
      <w:r>
        <w:rPr>
          <w:rFonts w:ascii="Times New Roman" w:hAnsi="Times New Roman" w:cs="Times New Roman"/>
          <w:b/>
          <w:bCs/>
          <w:sz w:val="28"/>
          <w:szCs w:val="28"/>
        </w:rPr>
        <w:t>二、近3年工作任务与经费进度安排</w:t>
      </w:r>
    </w:p>
    <w:p w14:paraId="4CF5F10E">
      <w:pPr>
        <w:pStyle w:val="6"/>
        <w:keepNext w:val="0"/>
        <w:keepLines w:val="0"/>
        <w:adjustRightInd/>
        <w:snapToGrid/>
        <w:ind w:firstLine="562"/>
        <w:rPr>
          <w:rFonts w:ascii="Times New Roman" w:hAnsi="Times New Roman"/>
          <w:bCs/>
          <w:sz w:val="28"/>
          <w:szCs w:val="24"/>
        </w:rPr>
      </w:pPr>
      <w:bookmarkStart w:id="161" w:name="_Hlk240650342"/>
      <w:r>
        <w:rPr>
          <w:rFonts w:ascii="Times New Roman" w:hAnsi="Times New Roman"/>
          <w:bCs/>
          <w:sz w:val="28"/>
          <w:szCs w:val="24"/>
        </w:rPr>
        <w:t>（一）</w:t>
      </w:r>
      <w:r>
        <w:rPr>
          <w:rFonts w:hint="eastAsia" w:ascii="宋体" w:hAnsi="宋体" w:cs="宋体"/>
          <w:spacing w:val="13"/>
          <w:sz w:val="32"/>
          <w:szCs w:val="32"/>
        </w:rPr>
        <w:t>***</w:t>
      </w:r>
      <w:r>
        <w:rPr>
          <w:rFonts w:ascii="Times New Roman" w:hAnsi="Times New Roman"/>
          <w:bCs/>
          <w:sz w:val="28"/>
          <w:szCs w:val="24"/>
        </w:rPr>
        <w:t>年</w:t>
      </w:r>
      <w:r>
        <w:rPr>
          <w:rFonts w:hint="eastAsia" w:ascii="宋体" w:hAnsi="宋体" w:cs="宋体"/>
          <w:spacing w:val="13"/>
          <w:sz w:val="32"/>
          <w:szCs w:val="32"/>
        </w:rPr>
        <w:t>***</w:t>
      </w:r>
      <w:r>
        <w:rPr>
          <w:rFonts w:ascii="Times New Roman" w:hAnsi="Times New Roman"/>
          <w:bCs/>
          <w:sz w:val="28"/>
          <w:szCs w:val="24"/>
        </w:rPr>
        <w:t>月～</w:t>
      </w:r>
      <w:r>
        <w:rPr>
          <w:rFonts w:hint="eastAsia" w:ascii="宋体" w:hAnsi="宋体" w:cs="宋体"/>
          <w:spacing w:val="13"/>
          <w:sz w:val="32"/>
          <w:szCs w:val="32"/>
        </w:rPr>
        <w:t>***</w:t>
      </w:r>
      <w:r>
        <w:rPr>
          <w:rFonts w:ascii="Times New Roman" w:hAnsi="Times New Roman"/>
          <w:bCs/>
          <w:sz w:val="28"/>
          <w:szCs w:val="24"/>
        </w:rPr>
        <w:t>年</w:t>
      </w:r>
      <w:r>
        <w:rPr>
          <w:rFonts w:hint="eastAsia" w:ascii="宋体" w:hAnsi="宋体" w:cs="宋体"/>
          <w:spacing w:val="13"/>
          <w:sz w:val="32"/>
          <w:szCs w:val="32"/>
        </w:rPr>
        <w:t>***</w:t>
      </w:r>
      <w:r>
        <w:rPr>
          <w:rFonts w:ascii="Times New Roman" w:hAnsi="Times New Roman"/>
          <w:bCs/>
          <w:sz w:val="28"/>
          <w:szCs w:val="24"/>
        </w:rPr>
        <w:t>月，</w:t>
      </w:r>
      <w:r>
        <w:rPr>
          <w:rFonts w:hint="eastAsia" w:ascii="宋体" w:hAnsi="宋体" w:cs="宋体"/>
          <w:spacing w:val="13"/>
          <w:sz w:val="32"/>
          <w:szCs w:val="32"/>
        </w:rPr>
        <w:t>***</w:t>
      </w:r>
      <w:r>
        <w:rPr>
          <w:rFonts w:ascii="Times New Roman" w:hAnsi="Times New Roman"/>
          <w:bCs/>
          <w:sz w:val="28"/>
          <w:szCs w:val="24"/>
        </w:rPr>
        <w:t>年</w:t>
      </w:r>
    </w:p>
    <w:p w14:paraId="122D8D44">
      <w:pPr>
        <w:pStyle w:val="115"/>
        <w:spacing w:line="360" w:lineRule="auto"/>
        <w:ind w:firstLine="560" w:firstLineChars="200"/>
        <w:jc w:val="both"/>
        <w:rPr>
          <w:rFonts w:ascii="Times New Roman" w:hAnsi="Times New Roman" w:cs="Times New Roman"/>
          <w:sz w:val="28"/>
          <w:szCs w:val="28"/>
        </w:rPr>
      </w:pPr>
      <w:bookmarkStart w:id="162" w:name="_Hlk223703744"/>
      <w:r>
        <w:rPr>
          <w:rFonts w:hint="eastAsia" w:ascii="Times New Roman" w:hAnsi="Times New Roman" w:cs="Times New Roman"/>
          <w:sz w:val="28"/>
          <w:szCs w:val="28"/>
        </w:rPr>
        <w:t>1、完善前期治理，</w:t>
      </w:r>
      <w:r>
        <w:rPr>
          <w:rFonts w:hint="eastAsia"/>
          <w:sz w:val="28"/>
          <w:szCs w:val="28"/>
        </w:rPr>
        <w:t>对前期治理的民采渣堆1、民采坑3、民采渣堆3、民采渣堆4、废石堆1，进行植被补种。</w:t>
      </w:r>
    </w:p>
    <w:p w14:paraId="789121BF">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2、露天采场（矿区外）实施垫坡整形、覆土整平、恢复植被；</w:t>
      </w:r>
    </w:p>
    <w:p w14:paraId="72C8977E">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3、对废石场2进行边坡放缓、清理、北部立陡边坡垫坡、边坡规整取直、覆土、恢复植被；</w:t>
      </w:r>
    </w:p>
    <w:p w14:paraId="1468A766">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4、对废石场1边坡清理、底部回填、场地整平；对废石场3进行边坡规整取直，之后对场地覆土、恢复植被；</w:t>
      </w:r>
    </w:p>
    <w:p w14:paraId="0DEAB9D1">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5、建立露天采场、排土场、废石场边坡监测点，定期对边坡不稳定地质体进行监测；</w:t>
      </w:r>
    </w:p>
    <w:p w14:paraId="00E73E87">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6、建立土壤污染监测点并定期观测，并定期采样分析，监测土壤污染状况。</w:t>
      </w:r>
    </w:p>
    <w:p w14:paraId="42566BFA">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7</w:t>
      </w:r>
      <w:r>
        <w:rPr>
          <w:rFonts w:ascii="Times New Roman" w:hAnsi="Times New Roman" w:cs="Times New Roman"/>
          <w:sz w:val="28"/>
          <w:szCs w:val="28"/>
        </w:rPr>
        <w:t>、沿地形地貌景观监测路线，定期对监测矿区地形地貌景观变化状况。</w:t>
      </w:r>
    </w:p>
    <w:p w14:paraId="087932BC">
      <w:pPr>
        <w:pStyle w:val="6"/>
        <w:keepNext w:val="0"/>
        <w:keepLines w:val="0"/>
        <w:adjustRightInd/>
        <w:snapToGrid/>
        <w:ind w:firstLine="562"/>
        <w:rPr>
          <w:rFonts w:ascii="Times New Roman" w:hAnsi="Times New Roman"/>
          <w:bCs/>
          <w:sz w:val="28"/>
          <w:szCs w:val="24"/>
        </w:rPr>
      </w:pPr>
      <w:r>
        <w:rPr>
          <w:rFonts w:ascii="Times New Roman" w:hAnsi="Times New Roman"/>
          <w:bCs/>
          <w:sz w:val="28"/>
          <w:szCs w:val="24"/>
        </w:rPr>
        <w:t>（二）</w:t>
      </w:r>
      <w:r>
        <w:rPr>
          <w:rFonts w:hint="eastAsia" w:ascii="宋体" w:hAnsi="宋体" w:cs="宋体"/>
          <w:spacing w:val="13"/>
          <w:sz w:val="32"/>
          <w:szCs w:val="32"/>
        </w:rPr>
        <w:t>***</w:t>
      </w:r>
      <w:r>
        <w:rPr>
          <w:rFonts w:ascii="Times New Roman" w:hAnsi="Times New Roman"/>
          <w:bCs/>
          <w:sz w:val="28"/>
          <w:szCs w:val="24"/>
        </w:rPr>
        <w:t>年</w:t>
      </w:r>
      <w:r>
        <w:rPr>
          <w:rFonts w:hint="eastAsia" w:ascii="宋体" w:hAnsi="宋体" w:cs="宋体"/>
          <w:spacing w:val="13"/>
          <w:sz w:val="32"/>
          <w:szCs w:val="32"/>
        </w:rPr>
        <w:t>***</w:t>
      </w:r>
      <w:r>
        <w:rPr>
          <w:rFonts w:ascii="Times New Roman" w:hAnsi="Times New Roman"/>
          <w:bCs/>
          <w:sz w:val="28"/>
          <w:szCs w:val="24"/>
        </w:rPr>
        <w:t>月～</w:t>
      </w:r>
      <w:r>
        <w:rPr>
          <w:rFonts w:hint="eastAsia" w:ascii="宋体" w:hAnsi="宋体" w:cs="宋体"/>
          <w:spacing w:val="13"/>
          <w:sz w:val="32"/>
          <w:szCs w:val="32"/>
        </w:rPr>
        <w:t>***</w:t>
      </w:r>
      <w:r>
        <w:rPr>
          <w:rFonts w:ascii="Times New Roman" w:hAnsi="Times New Roman"/>
          <w:bCs/>
          <w:sz w:val="28"/>
          <w:szCs w:val="24"/>
        </w:rPr>
        <w:t>年</w:t>
      </w:r>
      <w:r>
        <w:rPr>
          <w:rFonts w:hint="eastAsia" w:ascii="宋体" w:hAnsi="宋体" w:cs="宋体"/>
          <w:spacing w:val="13"/>
          <w:sz w:val="32"/>
          <w:szCs w:val="32"/>
        </w:rPr>
        <w:t>***</w:t>
      </w:r>
      <w:r>
        <w:rPr>
          <w:rFonts w:ascii="Times New Roman" w:hAnsi="Times New Roman"/>
          <w:bCs/>
          <w:sz w:val="28"/>
          <w:szCs w:val="24"/>
        </w:rPr>
        <w:t>月，第</w:t>
      </w:r>
      <w:r>
        <w:rPr>
          <w:rFonts w:hint="eastAsia" w:ascii="宋体" w:hAnsi="宋体" w:cs="宋体"/>
          <w:spacing w:val="13"/>
          <w:sz w:val="32"/>
          <w:szCs w:val="32"/>
        </w:rPr>
        <w:t>***</w:t>
      </w:r>
      <w:r>
        <w:rPr>
          <w:rFonts w:ascii="Times New Roman" w:hAnsi="Times New Roman"/>
          <w:bCs/>
          <w:sz w:val="28"/>
          <w:szCs w:val="24"/>
        </w:rPr>
        <w:t>年</w:t>
      </w:r>
    </w:p>
    <w:p w14:paraId="2C9C1E3B">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1、对钻机平台切坡位置回填垫坡、堆坡位置废石清运，覆土整平、恢复植被；</w:t>
      </w:r>
    </w:p>
    <w:p w14:paraId="7C407F4B">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2、</w:t>
      </w:r>
      <w:r>
        <w:rPr>
          <w:rFonts w:ascii="Times New Roman" w:hAnsi="Times New Roman" w:cs="Times New Roman"/>
          <w:sz w:val="28"/>
          <w:szCs w:val="28"/>
        </w:rPr>
        <w:t>对</w:t>
      </w:r>
      <w:r>
        <w:rPr>
          <w:rFonts w:hint="eastAsia" w:ascii="Times New Roman" w:hAnsi="Times New Roman" w:cs="Times New Roman"/>
          <w:sz w:val="28"/>
          <w:szCs w:val="28"/>
        </w:rPr>
        <w:t>办公区进行拆除、建筑垃圾清理、对场地进行场地平整、覆土、恢复植被；</w:t>
      </w:r>
    </w:p>
    <w:p w14:paraId="5160537C">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3、定期对露天采场、排土场、废石场边坡监测点进行观测，加强巡视，为地质灾害监测预警提供技术依据；</w:t>
      </w:r>
    </w:p>
    <w:p w14:paraId="776FA3F8">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4、定期对土壤污染监测点进行观测，并定期采样分析，监测土壤污染状况。</w:t>
      </w:r>
    </w:p>
    <w:p w14:paraId="10F25ED4">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5、沿地形地貌景观监测路线，定期对监测矿区地形地貌景观变化状况。</w:t>
      </w:r>
    </w:p>
    <w:p w14:paraId="3D2C96B3">
      <w:pPr>
        <w:pStyle w:val="6"/>
        <w:keepNext w:val="0"/>
        <w:keepLines w:val="0"/>
        <w:adjustRightInd/>
        <w:snapToGrid/>
        <w:ind w:firstLine="562"/>
        <w:rPr>
          <w:rFonts w:ascii="Times New Roman" w:hAnsi="Times New Roman"/>
          <w:bCs/>
          <w:sz w:val="28"/>
          <w:szCs w:val="24"/>
        </w:rPr>
      </w:pPr>
      <w:r>
        <w:rPr>
          <w:rFonts w:ascii="Times New Roman" w:hAnsi="Times New Roman"/>
          <w:bCs/>
          <w:sz w:val="28"/>
          <w:szCs w:val="24"/>
        </w:rPr>
        <w:t>（三）</w:t>
      </w:r>
      <w:r>
        <w:rPr>
          <w:rFonts w:hint="eastAsia" w:ascii="宋体" w:hAnsi="宋体" w:cs="宋体"/>
          <w:spacing w:val="13"/>
          <w:sz w:val="32"/>
          <w:szCs w:val="32"/>
        </w:rPr>
        <w:t>***</w:t>
      </w:r>
      <w:r>
        <w:rPr>
          <w:rFonts w:ascii="Times New Roman" w:hAnsi="Times New Roman"/>
          <w:bCs/>
          <w:sz w:val="28"/>
          <w:szCs w:val="24"/>
        </w:rPr>
        <w:t>年</w:t>
      </w:r>
      <w:r>
        <w:rPr>
          <w:rFonts w:hint="eastAsia" w:ascii="宋体" w:hAnsi="宋体" w:cs="宋体"/>
          <w:spacing w:val="13"/>
          <w:sz w:val="32"/>
          <w:szCs w:val="32"/>
        </w:rPr>
        <w:t>***</w:t>
      </w:r>
      <w:r>
        <w:rPr>
          <w:rFonts w:ascii="Times New Roman" w:hAnsi="Times New Roman"/>
          <w:bCs/>
          <w:sz w:val="28"/>
          <w:szCs w:val="24"/>
        </w:rPr>
        <w:t>月～</w:t>
      </w:r>
      <w:r>
        <w:rPr>
          <w:rFonts w:hint="eastAsia" w:ascii="宋体" w:hAnsi="宋体" w:cs="宋体"/>
          <w:spacing w:val="13"/>
          <w:sz w:val="32"/>
          <w:szCs w:val="32"/>
        </w:rPr>
        <w:t>***</w:t>
      </w:r>
      <w:r>
        <w:rPr>
          <w:rFonts w:ascii="Times New Roman" w:hAnsi="Times New Roman"/>
          <w:bCs/>
          <w:sz w:val="28"/>
          <w:szCs w:val="24"/>
        </w:rPr>
        <w:t>年</w:t>
      </w:r>
      <w:r>
        <w:rPr>
          <w:rFonts w:hint="eastAsia" w:ascii="宋体" w:hAnsi="宋体" w:cs="宋体"/>
          <w:spacing w:val="13"/>
          <w:sz w:val="32"/>
          <w:szCs w:val="32"/>
        </w:rPr>
        <w:t>***</w:t>
      </w:r>
      <w:r>
        <w:rPr>
          <w:rFonts w:ascii="Times New Roman" w:hAnsi="Times New Roman"/>
          <w:bCs/>
          <w:sz w:val="28"/>
          <w:szCs w:val="24"/>
        </w:rPr>
        <w:t>月，第三年</w:t>
      </w:r>
    </w:p>
    <w:p w14:paraId="729E26E4">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1、对门卫进行拆除、建筑垃圾清理、切坡位置垫坡、对场地进行场地平整、覆土、恢复植被；</w:t>
      </w:r>
    </w:p>
    <w:p w14:paraId="3846FF2D">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2、对生活区进行拆除、建筑垃圾清理、边坡整形、对场地进行场地平整、覆土、恢复植被；</w:t>
      </w:r>
    </w:p>
    <w:p w14:paraId="16B82F0D">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3、定期对露天采场、排土场、废石场边坡监测点进行观测，加强巡视，为地质灾害监测预警提供技术依据；</w:t>
      </w:r>
    </w:p>
    <w:p w14:paraId="32F1C710">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4、定期对土壤污染监测点进行观测，并定期采样分析，监测土壤污染状况。</w:t>
      </w:r>
    </w:p>
    <w:p w14:paraId="006E7347">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5、沿地形地貌景观监测路线，定期对监测矿区地形地貌景观变化状况。</w:t>
      </w:r>
      <w:bookmarkEnd w:id="161"/>
    </w:p>
    <w:bookmarkEnd w:id="162"/>
    <w:p w14:paraId="284922B1">
      <w:pPr>
        <w:pStyle w:val="115"/>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近三年矿区生态修复工作计划安排情况见表6-2</w:t>
      </w:r>
      <w:r>
        <w:rPr>
          <w:rFonts w:hint="eastAsia" w:ascii="Times New Roman" w:hAnsi="Times New Roman" w:cs="Times New Roman"/>
          <w:sz w:val="28"/>
          <w:szCs w:val="28"/>
        </w:rPr>
        <w:t>7</w:t>
      </w:r>
      <w:r>
        <w:rPr>
          <w:rFonts w:ascii="Times New Roman" w:hAnsi="Times New Roman" w:cs="Times New Roman"/>
          <w:sz w:val="28"/>
          <w:szCs w:val="28"/>
        </w:rPr>
        <w:t>。</w:t>
      </w:r>
      <w:bookmarkEnd w:id="160"/>
    </w:p>
    <w:p w14:paraId="18C4A71D">
      <w:pPr>
        <w:pStyle w:val="115"/>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矿区生态修复工程量与经费安排见表6-2</w:t>
      </w:r>
      <w:r>
        <w:rPr>
          <w:rFonts w:hint="eastAsia" w:ascii="Times New Roman" w:hAnsi="Times New Roman" w:cs="Times New Roman"/>
          <w:sz w:val="28"/>
          <w:szCs w:val="28"/>
        </w:rPr>
        <w:t>8</w:t>
      </w:r>
      <w:r>
        <w:rPr>
          <w:rFonts w:ascii="Times New Roman" w:hAnsi="Times New Roman" w:cs="Times New Roman"/>
          <w:sz w:val="28"/>
          <w:szCs w:val="28"/>
        </w:rPr>
        <w:t>。</w:t>
      </w:r>
    </w:p>
    <w:p w14:paraId="4B4BB51A">
      <w:pPr>
        <w:pStyle w:val="115"/>
        <w:spacing w:line="360" w:lineRule="auto"/>
        <w:ind w:firstLine="560" w:firstLineChars="200"/>
        <w:jc w:val="both"/>
        <w:rPr>
          <w:rFonts w:ascii="Times New Roman" w:hAnsi="Times New Roman" w:cs="Times New Roman"/>
          <w:sz w:val="28"/>
          <w:szCs w:val="28"/>
        </w:rPr>
      </w:pPr>
    </w:p>
    <w:p w14:paraId="326F7310">
      <w:pPr>
        <w:jc w:val="center"/>
        <w:rPr>
          <w:rFonts w:eastAsia="黑体"/>
          <w:sz w:val="24"/>
          <w:szCs w:val="22"/>
        </w:rPr>
      </w:pPr>
      <w:r>
        <w:rPr>
          <w:rFonts w:eastAsia="黑体"/>
          <w:sz w:val="24"/>
          <w:szCs w:val="22"/>
        </w:rPr>
        <w:t>表6-2</w:t>
      </w:r>
      <w:r>
        <w:rPr>
          <w:rFonts w:hint="eastAsia" w:eastAsia="黑体"/>
          <w:sz w:val="24"/>
          <w:szCs w:val="22"/>
        </w:rPr>
        <w:t>7</w:t>
      </w:r>
      <w:r>
        <w:rPr>
          <w:rFonts w:eastAsia="黑体"/>
          <w:sz w:val="24"/>
          <w:szCs w:val="22"/>
        </w:rPr>
        <w:t xml:space="preserve">  前三年度矿区生态修复工作计划表</w:t>
      </w:r>
    </w:p>
    <w:p w14:paraId="789DE90D">
      <w:pPr>
        <w:pStyle w:val="115"/>
        <w:spacing w:line="360" w:lineRule="auto"/>
        <w:ind w:firstLine="560" w:firstLineChars="200"/>
        <w:jc w:val="both"/>
        <w:rPr>
          <w:rFonts w:ascii="Times New Roman" w:hAnsi="Times New Roman" w:cs="Times New Roman"/>
          <w:sz w:val="28"/>
          <w:szCs w:val="28"/>
        </w:rPr>
      </w:pPr>
    </w:p>
    <w:p w14:paraId="5D02996C">
      <w:pPr>
        <w:jc w:val="center"/>
        <w:rPr>
          <w:sz w:val="28"/>
          <w:szCs w:val="28"/>
        </w:rPr>
        <w:sectPr>
          <w:pgSz w:w="11906" w:h="16838"/>
          <w:pgMar w:top="1219" w:right="1797" w:bottom="1440" w:left="1797" w:header="851" w:footer="992" w:gutter="0"/>
          <w:cols w:space="720" w:num="1"/>
          <w:docGrid w:linePitch="312" w:charSpace="0"/>
        </w:sectPr>
      </w:pPr>
      <w:r>
        <w:rPr>
          <w:rFonts w:eastAsia="黑体"/>
          <w:sz w:val="24"/>
          <w:szCs w:val="22"/>
        </w:rPr>
        <w:t>表6-2</w:t>
      </w:r>
      <w:r>
        <w:rPr>
          <w:rFonts w:hint="eastAsia" w:eastAsia="黑体"/>
          <w:sz w:val="24"/>
          <w:szCs w:val="22"/>
        </w:rPr>
        <w:t>8</w:t>
      </w:r>
      <w:r>
        <w:rPr>
          <w:rFonts w:eastAsia="黑体"/>
          <w:sz w:val="24"/>
          <w:szCs w:val="22"/>
        </w:rPr>
        <w:t xml:space="preserve">  矿区生态修复工程量与经费安排表</w:t>
      </w:r>
    </w:p>
    <w:p w14:paraId="47C4AE42">
      <w:pPr>
        <w:tabs>
          <w:tab w:val="left" w:pos="5694"/>
        </w:tabs>
        <w:jc w:val="center"/>
        <w:rPr>
          <w:rFonts w:eastAsia="黑体"/>
          <w:bCs/>
          <w:sz w:val="32"/>
          <w:szCs w:val="32"/>
        </w:rPr>
      </w:pPr>
      <w:bookmarkStart w:id="163" w:name="_Toc31416"/>
      <w:bookmarkStart w:id="164" w:name="_Toc37947591"/>
      <w:bookmarkStart w:id="165" w:name="_Toc523390681"/>
      <w:r>
        <w:rPr>
          <w:rFonts w:eastAsia="黑体"/>
          <w:bCs/>
          <w:sz w:val="32"/>
          <w:szCs w:val="32"/>
        </w:rPr>
        <w:t>第七章  保障措施与公众参与</w:t>
      </w:r>
      <w:bookmarkEnd w:id="163"/>
    </w:p>
    <w:p w14:paraId="5F5DF4A3">
      <w:pPr>
        <w:pStyle w:val="4"/>
        <w:spacing w:before="120" w:beforeLines="50"/>
        <w:rPr>
          <w:rFonts w:ascii="Times New Roman" w:hAnsi="Times New Roman"/>
        </w:rPr>
      </w:pPr>
      <w:bookmarkStart w:id="166" w:name="_Toc7541"/>
      <w:r>
        <w:rPr>
          <w:rFonts w:ascii="Times New Roman" w:hAnsi="Times New Roman"/>
        </w:rPr>
        <w:t>第一节  保障措施</w:t>
      </w:r>
      <w:bookmarkEnd w:id="166"/>
    </w:p>
    <w:p w14:paraId="327F092D">
      <w:pPr>
        <w:adjustRightInd w:val="0"/>
        <w:snapToGrid w:val="0"/>
        <w:spacing w:line="360" w:lineRule="auto"/>
        <w:ind w:firstLine="562" w:firstLineChars="200"/>
        <w:outlineLvl w:val="2"/>
        <w:rPr>
          <w:b/>
          <w:bCs/>
          <w:sz w:val="28"/>
          <w:szCs w:val="28"/>
        </w:rPr>
      </w:pPr>
      <w:r>
        <w:rPr>
          <w:b/>
          <w:bCs/>
          <w:sz w:val="28"/>
          <w:szCs w:val="28"/>
        </w:rPr>
        <w:t>一、组织保障</w:t>
      </w:r>
    </w:p>
    <w:p w14:paraId="4E8FD5C5">
      <w:pPr>
        <w:adjustRightInd w:val="0"/>
        <w:snapToGrid w:val="0"/>
        <w:spacing w:line="360" w:lineRule="auto"/>
        <w:ind w:firstLine="560" w:firstLineChars="200"/>
        <w:rPr>
          <w:sz w:val="28"/>
          <w:szCs w:val="28"/>
        </w:rPr>
      </w:pPr>
      <w:bookmarkStart w:id="167" w:name="_Toc6689"/>
      <w:r>
        <w:rPr>
          <w:sz w:val="28"/>
          <w:szCs w:val="28"/>
        </w:rPr>
        <w:t>1、管理机构</w:t>
      </w:r>
    </w:p>
    <w:p w14:paraId="7F08B8E9">
      <w:pPr>
        <w:adjustRightInd w:val="0"/>
        <w:snapToGrid w:val="0"/>
        <w:spacing w:line="360" w:lineRule="auto"/>
        <w:ind w:firstLine="560" w:firstLineChars="200"/>
        <w:rPr>
          <w:sz w:val="28"/>
          <w:szCs w:val="28"/>
        </w:rPr>
      </w:pPr>
      <w:r>
        <w:rPr>
          <w:sz w:val="28"/>
          <w:szCs w:val="28"/>
        </w:rPr>
        <w:t>健全的组织管理机构是矿区生态修复工作顺利实施的可靠保证。为保障矿区生态修复方案的实施，赤峰国富玄武岩矿将设立矿区生态修复工作领导小组，全面负责矿区生态修复工作，由总经理任组长，副总经理任副组长，由生产部、地测部、环保部、财务部、保卫部等部门主管任组员。</w:t>
      </w:r>
    </w:p>
    <w:p w14:paraId="0CAAB464">
      <w:pPr>
        <w:adjustRightInd w:val="0"/>
        <w:snapToGrid w:val="0"/>
        <w:spacing w:line="360" w:lineRule="auto"/>
        <w:ind w:firstLine="560" w:firstLineChars="200"/>
        <w:rPr>
          <w:sz w:val="28"/>
          <w:szCs w:val="28"/>
        </w:rPr>
      </w:pPr>
      <w:r>
        <w:rPr>
          <w:sz w:val="28"/>
          <w:szCs w:val="28"/>
        </w:rPr>
        <w:t>2、主要职责和分工</w:t>
      </w:r>
    </w:p>
    <w:p w14:paraId="0BD7099E">
      <w:pPr>
        <w:adjustRightInd w:val="0"/>
        <w:snapToGrid w:val="0"/>
        <w:spacing w:line="360" w:lineRule="auto"/>
        <w:ind w:firstLine="560" w:firstLineChars="200"/>
        <w:rPr>
          <w:sz w:val="28"/>
          <w:szCs w:val="28"/>
        </w:rPr>
      </w:pPr>
      <w:r>
        <w:rPr>
          <w:sz w:val="28"/>
          <w:szCs w:val="28"/>
        </w:rPr>
        <w:t>领导小组主要任务是宣传、贯彻、落实生态修复相关法律政策，制定矿区生态修复规划和实施计划。负责选取生态修复工程施工单位，对施工队伍的资质、人员的素质乃至项目经理、工程师的经历、能力进行必要的严格考核，并全程参与生态修复工程实施。负责生态修复资金调配，组织生态修复工程验收。同时，加强规章制度建设和业务学习培训，防止质量事故和安全事故的发生。每年向管理机关汇报当年工作进展、资金使用情况和第二年项目进度安排与资金预算，自觉接受监督管理。</w:t>
      </w:r>
    </w:p>
    <w:p w14:paraId="5398A918">
      <w:pPr>
        <w:adjustRightInd w:val="0"/>
        <w:snapToGrid w:val="0"/>
        <w:spacing w:line="360" w:lineRule="auto"/>
        <w:ind w:firstLine="560" w:firstLineChars="200"/>
        <w:rPr>
          <w:sz w:val="28"/>
          <w:szCs w:val="28"/>
        </w:rPr>
      </w:pPr>
      <w:r>
        <w:rPr>
          <w:sz w:val="28"/>
          <w:szCs w:val="28"/>
        </w:rPr>
        <w:t>组长负责全局统筹工作，副组长负责协调各部门间的分工合作，小组成员根据自己所在部门的职责做好上级领导安排的各项事宜，加强与其他部门的合作，同时定期向组长及副组长汇报计划制定和项目施工进展情况。</w:t>
      </w:r>
    </w:p>
    <w:p w14:paraId="229BEE7D">
      <w:pPr>
        <w:adjustRightInd w:val="0"/>
        <w:snapToGrid w:val="0"/>
        <w:spacing w:line="360" w:lineRule="auto"/>
        <w:ind w:firstLine="560" w:firstLineChars="200"/>
        <w:rPr>
          <w:sz w:val="28"/>
          <w:szCs w:val="28"/>
        </w:rPr>
      </w:pPr>
      <w:r>
        <w:rPr>
          <w:sz w:val="28"/>
          <w:szCs w:val="28"/>
        </w:rPr>
        <w:t>3、管理制度</w:t>
      </w:r>
    </w:p>
    <w:p w14:paraId="5318F30C">
      <w:pPr>
        <w:adjustRightInd w:val="0"/>
        <w:snapToGrid w:val="0"/>
        <w:spacing w:line="360" w:lineRule="auto"/>
        <w:ind w:firstLine="560" w:firstLineChars="200"/>
        <w:rPr>
          <w:sz w:val="28"/>
          <w:szCs w:val="28"/>
        </w:rPr>
      </w:pPr>
      <w:r>
        <w:rPr>
          <w:sz w:val="28"/>
          <w:szCs w:val="28"/>
        </w:rPr>
        <w:t>实行目标责任制及问责制。对主要责任人实施目标管理责任制度，将其作为责任人年度考核的主要内容。矿区生态修复工程实施监管不力、生态修复资金管理和使用不合格，追究主管领导的责任，情节严重的追究法律责任。</w:t>
      </w:r>
    </w:p>
    <w:p w14:paraId="7F30F1B1">
      <w:pPr>
        <w:adjustRightInd w:val="0"/>
        <w:snapToGrid w:val="0"/>
        <w:spacing w:line="360" w:lineRule="auto"/>
        <w:ind w:firstLine="560" w:firstLineChars="200"/>
        <w:rPr>
          <w:sz w:val="28"/>
          <w:szCs w:val="28"/>
        </w:rPr>
      </w:pPr>
      <w:r>
        <w:rPr>
          <w:sz w:val="28"/>
          <w:szCs w:val="28"/>
        </w:rPr>
        <w:t>实行矿区生态修复资金审计制度。委托中介机构对土地复垦资金使用情况进行审计，审计方式及内容详见“资金保障”部分。</w:t>
      </w:r>
    </w:p>
    <w:p w14:paraId="13B50771">
      <w:pPr>
        <w:adjustRightInd w:val="0"/>
        <w:snapToGrid w:val="0"/>
        <w:spacing w:line="360" w:lineRule="auto"/>
        <w:ind w:firstLine="560" w:firstLineChars="200"/>
        <w:rPr>
          <w:sz w:val="28"/>
          <w:szCs w:val="28"/>
        </w:rPr>
      </w:pPr>
      <w:r>
        <w:rPr>
          <w:sz w:val="28"/>
          <w:szCs w:val="28"/>
        </w:rPr>
        <w:t>实行重大事项报告制度。矿区生态修复工程开工以前，领导小组将矿区生态修复规划和实施计划、确定的矿区生态修复工程施工单位，上报自然资源主管部门。开采工艺、实施计划、治理和复垦工程等发生重大变更，及时上报自然资源主管部门。</w:t>
      </w:r>
    </w:p>
    <w:p w14:paraId="22EB4282">
      <w:pPr>
        <w:adjustRightInd w:val="0"/>
        <w:snapToGrid w:val="0"/>
        <w:spacing w:line="360" w:lineRule="auto"/>
        <w:ind w:firstLine="562" w:firstLineChars="200"/>
        <w:outlineLvl w:val="2"/>
        <w:rPr>
          <w:b/>
          <w:bCs/>
          <w:sz w:val="28"/>
          <w:szCs w:val="28"/>
        </w:rPr>
      </w:pPr>
      <w:r>
        <w:rPr>
          <w:b/>
          <w:bCs/>
          <w:sz w:val="28"/>
          <w:szCs w:val="28"/>
        </w:rPr>
        <w:t>二、技术保障</w:t>
      </w:r>
      <w:bookmarkEnd w:id="167"/>
    </w:p>
    <w:p w14:paraId="36634181">
      <w:pPr>
        <w:adjustRightInd w:val="0"/>
        <w:snapToGrid w:val="0"/>
        <w:spacing w:line="360" w:lineRule="auto"/>
        <w:ind w:firstLine="560" w:firstLineChars="200"/>
        <w:rPr>
          <w:sz w:val="28"/>
          <w:szCs w:val="28"/>
        </w:rPr>
      </w:pPr>
      <w:bookmarkStart w:id="168" w:name="_Toc10758"/>
      <w:r>
        <w:rPr>
          <w:sz w:val="28"/>
          <w:szCs w:val="28"/>
        </w:rPr>
        <w:t>根据矿区生态修复工作内容和质量要求，具体可以采用以下技术保障措施：</w:t>
      </w:r>
    </w:p>
    <w:p w14:paraId="18D4C842">
      <w:pPr>
        <w:adjustRightInd w:val="0"/>
        <w:snapToGrid w:val="0"/>
        <w:spacing w:line="360" w:lineRule="auto"/>
        <w:ind w:firstLine="560" w:firstLineChars="200"/>
        <w:rPr>
          <w:sz w:val="28"/>
          <w:szCs w:val="28"/>
        </w:rPr>
      </w:pPr>
      <w:r>
        <w:rPr>
          <w:sz w:val="28"/>
          <w:szCs w:val="28"/>
        </w:rPr>
        <w:t>1、为加强技术指导和管理工作，矿山应成立专业技术人员组成的技术小组，对本矿区生态修复方案进行专门研究、全面了解，根据各项工程的技术要求，提供技术支持和质量把关，以保证项目的顺利实施。</w:t>
      </w:r>
    </w:p>
    <w:p w14:paraId="36135003">
      <w:pPr>
        <w:adjustRightInd w:val="0"/>
        <w:snapToGrid w:val="0"/>
        <w:spacing w:line="360" w:lineRule="auto"/>
        <w:ind w:firstLine="560" w:firstLineChars="200"/>
        <w:rPr>
          <w:sz w:val="28"/>
          <w:szCs w:val="28"/>
        </w:rPr>
      </w:pPr>
      <w:r>
        <w:rPr>
          <w:sz w:val="28"/>
          <w:szCs w:val="28"/>
        </w:rPr>
        <w:t>2、复垦实施中，根据修复方案内容，与相关实力雄厚的技术单位合作，编制年度计划，分阶段进行复垦。及时总结阶段性复垦实施经验，并修订本方案。</w:t>
      </w:r>
    </w:p>
    <w:p w14:paraId="1DF15A3C">
      <w:pPr>
        <w:adjustRightInd w:val="0"/>
        <w:snapToGrid w:val="0"/>
        <w:spacing w:line="360" w:lineRule="auto"/>
        <w:ind w:firstLine="560" w:firstLineChars="200"/>
        <w:rPr>
          <w:sz w:val="28"/>
          <w:szCs w:val="28"/>
        </w:rPr>
      </w:pPr>
      <w:r>
        <w:rPr>
          <w:sz w:val="28"/>
          <w:szCs w:val="28"/>
        </w:rPr>
        <w:t>3、加强与相关技术单位的合作，加强与省内外具有先进矿山复垦技术单位的交流合作，及时吸取相关经验，完善复垦措施。</w:t>
      </w:r>
    </w:p>
    <w:p w14:paraId="4F1F6CCA">
      <w:pPr>
        <w:adjustRightInd w:val="0"/>
        <w:snapToGrid w:val="0"/>
        <w:spacing w:line="360" w:lineRule="auto"/>
        <w:ind w:firstLine="560" w:firstLineChars="200"/>
        <w:rPr>
          <w:sz w:val="28"/>
          <w:szCs w:val="28"/>
        </w:rPr>
      </w:pPr>
      <w:r>
        <w:rPr>
          <w:sz w:val="28"/>
          <w:szCs w:val="28"/>
        </w:rPr>
        <w:t>4、根据矿山环境影响和土地损毁实际情况变化，进一步完善矿区生态修复方案，扩展生态修复方案报告编制的深度、广度和适宜度，让方案更贴合矿山实际情况，更利于方案实施。</w:t>
      </w:r>
    </w:p>
    <w:p w14:paraId="039D55AE">
      <w:pPr>
        <w:adjustRightInd w:val="0"/>
        <w:snapToGrid w:val="0"/>
        <w:spacing w:line="360" w:lineRule="auto"/>
        <w:ind w:firstLine="560" w:firstLineChars="200"/>
        <w:rPr>
          <w:sz w:val="28"/>
          <w:szCs w:val="28"/>
        </w:rPr>
      </w:pPr>
      <w:r>
        <w:rPr>
          <w:sz w:val="28"/>
          <w:szCs w:val="28"/>
        </w:rPr>
        <w:t>5、严格按照建设工程招投标制度选择施工队伍，要求施工队伍具有相应资质等级和技术实力。项目施工过程中，严格遵守国家规定的工程建设程序、制度规范和技术标准。</w:t>
      </w:r>
    </w:p>
    <w:p w14:paraId="45ECB4F3">
      <w:pPr>
        <w:adjustRightInd w:val="0"/>
        <w:snapToGrid w:val="0"/>
        <w:spacing w:line="360" w:lineRule="auto"/>
        <w:ind w:firstLine="560" w:firstLineChars="200"/>
        <w:rPr>
          <w:sz w:val="28"/>
          <w:szCs w:val="28"/>
        </w:rPr>
      </w:pPr>
      <w:r>
        <w:rPr>
          <w:sz w:val="28"/>
          <w:szCs w:val="28"/>
        </w:rPr>
        <w:t>6、项目领导小组应定期组织企业技术人员培训，学习国内外矿区生态修复的先进经验、先进技术、先进管理方法。在管理中遇到技术问题向相关专家咨询，向当地农业、林业、环保等主管部门请教，确保矿区生态修复工程技术可行，达到预期治理效果。</w:t>
      </w:r>
    </w:p>
    <w:p w14:paraId="24E6A5B8">
      <w:pPr>
        <w:adjustRightInd w:val="0"/>
        <w:snapToGrid w:val="0"/>
        <w:spacing w:line="360" w:lineRule="auto"/>
        <w:ind w:firstLine="560" w:firstLineChars="200"/>
        <w:rPr>
          <w:sz w:val="28"/>
          <w:szCs w:val="28"/>
        </w:rPr>
      </w:pPr>
      <w:r>
        <w:rPr>
          <w:sz w:val="28"/>
          <w:szCs w:val="28"/>
        </w:rPr>
        <w:t>7、治理项目完成后，及时提请主管部门组织竣工验收，逐项核实工程量、鉴定工程质量和完成效果，对不合格工程及时返工，并会同参建单位进行经验总结，改进管理工作和技术方法。</w:t>
      </w:r>
    </w:p>
    <w:p w14:paraId="3F705CB6">
      <w:pPr>
        <w:adjustRightInd w:val="0"/>
        <w:snapToGrid w:val="0"/>
        <w:spacing w:line="360" w:lineRule="auto"/>
        <w:ind w:firstLine="560" w:firstLineChars="200"/>
        <w:rPr>
          <w:sz w:val="28"/>
          <w:szCs w:val="28"/>
        </w:rPr>
      </w:pPr>
      <w:r>
        <w:rPr>
          <w:sz w:val="28"/>
          <w:szCs w:val="28"/>
        </w:rPr>
        <w:t>8、做好项目后续维护管理及监测工作，确保项目目标得以实现。赤峰国富玄武岩矿承诺将加强对监测人员的技术培训，确保监测人员能及时发现问题；加强与相关单位的合作，定期邀请相关技术人员对矿区生态修复工程效果进行监测评估。</w:t>
      </w:r>
    </w:p>
    <w:p w14:paraId="54A175ED">
      <w:pPr>
        <w:adjustRightInd w:val="0"/>
        <w:snapToGrid w:val="0"/>
        <w:spacing w:line="360" w:lineRule="auto"/>
        <w:ind w:firstLine="562" w:firstLineChars="200"/>
        <w:outlineLvl w:val="2"/>
        <w:rPr>
          <w:b/>
          <w:bCs/>
          <w:sz w:val="28"/>
          <w:szCs w:val="28"/>
        </w:rPr>
      </w:pPr>
      <w:r>
        <w:rPr>
          <w:b/>
          <w:bCs/>
          <w:sz w:val="28"/>
          <w:szCs w:val="28"/>
        </w:rPr>
        <w:t>三、资金保障</w:t>
      </w:r>
      <w:bookmarkEnd w:id="168"/>
    </w:p>
    <w:p w14:paraId="5135EDB2">
      <w:pPr>
        <w:adjustRightInd w:val="0"/>
        <w:snapToGrid w:val="0"/>
        <w:spacing w:line="360" w:lineRule="auto"/>
        <w:ind w:firstLine="560" w:firstLineChars="200"/>
        <w:rPr>
          <w:sz w:val="28"/>
          <w:szCs w:val="28"/>
        </w:rPr>
      </w:pPr>
      <w:r>
        <w:rPr>
          <w:sz w:val="28"/>
          <w:szCs w:val="28"/>
        </w:rPr>
        <w:t>根据内蒙古自治区财政厅、自然资源厅和生态环境厅制定《内蒙古自治区矿山地质环境治理恢复基金管理办法（试行）》（内国土资规[2019]3号），该文件指明“取消传统保证金，建立“企业计提、专项使用、属地监管”的基金制度”，按年度提取，额度=矿类基数×开采影响系数（地下）×土地复垦难度系数×地区影响系数×年度实际矿石产量，实行动态调整机制；矿山已建立了“矿山地质环境治理恢复与土地复垦基金（以下简称基金）”账户，专门核算基金的提取与使用，实现“资金与生产经营账户物理分离”，专款专用，不得用于非治理类支出。将矿区生态修复费用列入企业生产会计科目之中，保证资金的落实。遵循企业所有、政府监管、专户存储、专款专用的原则，绝不准许挪用矿区生态修复经费。高度重视矿区生态修复工作，按相关方案制定的治理规划，分期分批把治理复垦资金纳入每个年度预算之中，确保各项治理工作能落实到位。</w:t>
      </w:r>
    </w:p>
    <w:p w14:paraId="1CECB562">
      <w:pPr>
        <w:adjustRightInd w:val="0"/>
        <w:snapToGrid w:val="0"/>
        <w:spacing w:line="360" w:lineRule="auto"/>
        <w:ind w:firstLine="560" w:firstLineChars="200"/>
        <w:rPr>
          <w:sz w:val="28"/>
          <w:szCs w:val="28"/>
        </w:rPr>
      </w:pPr>
      <w:r>
        <w:rPr>
          <w:sz w:val="28"/>
          <w:szCs w:val="28"/>
        </w:rPr>
        <w:t>将土地复垦费用存入该矿山生态修复基金专用账户，首次预存额占本次土地复垦费用静态总金额的</w:t>
      </w:r>
      <w:r>
        <w:rPr>
          <w:rFonts w:hint="eastAsia" w:ascii="宋体" w:hAnsi="宋体" w:cs="宋体"/>
          <w:spacing w:val="13"/>
          <w:sz w:val="32"/>
          <w:szCs w:val="32"/>
        </w:rPr>
        <w:t>***</w:t>
      </w:r>
      <w:r>
        <w:rPr>
          <w:sz w:val="28"/>
          <w:szCs w:val="28"/>
        </w:rPr>
        <w:t>.00%以上，并在采矿证到期前1年计提完毕，在确保满足土地复垦工程各年度费用的基础上，根据土地复垦工程动态投资总额度制定年度复垦费用计提计划。</w:t>
      </w:r>
      <w:bookmarkStart w:id="169" w:name="_Toc4679"/>
    </w:p>
    <w:p w14:paraId="3FF743C6">
      <w:pPr>
        <w:adjustRightInd w:val="0"/>
        <w:snapToGrid w:val="0"/>
        <w:spacing w:line="360" w:lineRule="auto"/>
        <w:ind w:firstLine="562" w:firstLineChars="200"/>
        <w:outlineLvl w:val="2"/>
        <w:rPr>
          <w:b/>
          <w:bCs/>
          <w:sz w:val="28"/>
          <w:szCs w:val="28"/>
        </w:rPr>
      </w:pPr>
      <w:r>
        <w:rPr>
          <w:b/>
          <w:bCs/>
          <w:sz w:val="28"/>
          <w:szCs w:val="28"/>
        </w:rPr>
        <w:t>四、监管保障</w:t>
      </w:r>
    </w:p>
    <w:p w14:paraId="0BEFCE3C">
      <w:pPr>
        <w:adjustRightInd w:val="0"/>
        <w:snapToGrid w:val="0"/>
        <w:spacing w:line="360" w:lineRule="auto"/>
        <w:ind w:firstLine="560" w:firstLineChars="200"/>
        <w:rPr>
          <w:sz w:val="28"/>
          <w:szCs w:val="28"/>
        </w:rPr>
      </w:pPr>
      <w:r>
        <w:rPr>
          <w:sz w:val="28"/>
          <w:szCs w:val="28"/>
        </w:rPr>
        <w:t>《矿区生态修复方案》报请赤峰市自然资源局</w:t>
      </w:r>
      <w:r>
        <w:rPr>
          <w:rFonts w:hint="eastAsia"/>
          <w:sz w:val="28"/>
          <w:szCs w:val="28"/>
        </w:rPr>
        <w:t>松山区分局</w:t>
      </w:r>
      <w:r>
        <w:rPr>
          <w:sz w:val="28"/>
          <w:szCs w:val="28"/>
        </w:rPr>
        <w:t>批准后，由本矿区土地复垦义务人：</w:t>
      </w:r>
      <w:r>
        <w:rPr>
          <w:kern w:val="0"/>
          <w:sz w:val="28"/>
          <w:szCs w:val="28"/>
        </w:rPr>
        <w:t>赤峰国富玄武岩矿</w:t>
      </w:r>
      <w:r>
        <w:rPr>
          <w:sz w:val="28"/>
          <w:szCs w:val="28"/>
        </w:rPr>
        <w:t>负责组织实施。监管控制应坚持“预防为主”的方针，从事后检验变为事先管理，在项目管理的全过程中，注重事前、事中控制，采取处罚监管措施，消除不合质量要求的因素，以有效地控制工程质量。建立动态监管调控体系，确保项目建设的社会效益、环境态效益和经济效益的充分发挥，确保土地资源的可持续发展。</w:t>
      </w:r>
    </w:p>
    <w:p w14:paraId="09C79C55">
      <w:pPr>
        <w:adjustRightInd w:val="0"/>
        <w:snapToGrid w:val="0"/>
        <w:spacing w:line="360" w:lineRule="auto"/>
        <w:ind w:firstLine="560" w:firstLineChars="200"/>
        <w:rPr>
          <w:sz w:val="28"/>
          <w:szCs w:val="28"/>
        </w:rPr>
      </w:pPr>
      <w:r>
        <w:rPr>
          <w:sz w:val="28"/>
          <w:szCs w:val="28"/>
        </w:rPr>
        <w:t>土地复垦义务人应当于每年12月31日前向所在地县级自然资源主管部门报告当年土地复垦义务履行情况，包括下列内容：</w:t>
      </w:r>
    </w:p>
    <w:p w14:paraId="49C515C3">
      <w:pPr>
        <w:adjustRightInd w:val="0"/>
        <w:snapToGrid w:val="0"/>
        <w:spacing w:line="360" w:lineRule="auto"/>
        <w:ind w:firstLine="560" w:firstLineChars="200"/>
        <w:rPr>
          <w:sz w:val="28"/>
          <w:szCs w:val="28"/>
        </w:rPr>
      </w:pPr>
      <w:r>
        <w:rPr>
          <w:sz w:val="28"/>
          <w:szCs w:val="28"/>
        </w:rPr>
        <w:t>1、年度土地损毁情况，包括土地损毁方式、地类、位置、权属、面积、程度等；</w:t>
      </w:r>
    </w:p>
    <w:p w14:paraId="28E0AC1D">
      <w:pPr>
        <w:adjustRightInd w:val="0"/>
        <w:snapToGrid w:val="0"/>
        <w:spacing w:line="360" w:lineRule="auto"/>
        <w:ind w:firstLine="560" w:firstLineChars="200"/>
        <w:rPr>
          <w:sz w:val="28"/>
          <w:szCs w:val="28"/>
        </w:rPr>
      </w:pPr>
      <w:r>
        <w:rPr>
          <w:sz w:val="28"/>
          <w:szCs w:val="28"/>
        </w:rPr>
        <w:t>2、年度恢复治理与土地复垦基金费用预存、使用和管理等情况；</w:t>
      </w:r>
    </w:p>
    <w:p w14:paraId="4E3798F2">
      <w:pPr>
        <w:adjustRightInd w:val="0"/>
        <w:snapToGrid w:val="0"/>
        <w:spacing w:line="360" w:lineRule="auto"/>
        <w:ind w:firstLine="560" w:firstLineChars="200"/>
        <w:rPr>
          <w:sz w:val="28"/>
          <w:szCs w:val="28"/>
        </w:rPr>
      </w:pPr>
      <w:r>
        <w:rPr>
          <w:sz w:val="28"/>
          <w:szCs w:val="28"/>
        </w:rPr>
        <w:t>3、年度土地复垦实施情况，包括复垦地类、位置、面积、权属、主要复垦措施、工程量等；</w:t>
      </w:r>
    </w:p>
    <w:p w14:paraId="45F34F89">
      <w:pPr>
        <w:adjustRightInd w:val="0"/>
        <w:snapToGrid w:val="0"/>
        <w:spacing w:line="360" w:lineRule="auto"/>
        <w:ind w:firstLine="560" w:firstLineChars="200"/>
        <w:rPr>
          <w:sz w:val="28"/>
          <w:szCs w:val="28"/>
        </w:rPr>
      </w:pPr>
      <w:r>
        <w:rPr>
          <w:sz w:val="28"/>
          <w:szCs w:val="28"/>
        </w:rPr>
        <w:t>4、自然资源主管部门规定的其他年度报告内容。</w:t>
      </w:r>
    </w:p>
    <w:p w14:paraId="223F0985">
      <w:pPr>
        <w:adjustRightInd w:val="0"/>
        <w:snapToGrid w:val="0"/>
        <w:spacing w:line="360" w:lineRule="auto"/>
        <w:ind w:firstLine="560" w:firstLineChars="200"/>
        <w:rPr>
          <w:sz w:val="28"/>
          <w:szCs w:val="28"/>
        </w:rPr>
      </w:pPr>
      <w:r>
        <w:rPr>
          <w:kern w:val="0"/>
          <w:sz w:val="28"/>
          <w:szCs w:val="28"/>
        </w:rPr>
        <w:t>赤峰国富玄武岩矿</w:t>
      </w:r>
      <w:r>
        <w:rPr>
          <w:sz w:val="28"/>
          <w:szCs w:val="28"/>
        </w:rPr>
        <w:t>应定期向松山区自然资源局报告当年复垦情况，接受区县级以上自然资源主管部门对土地复垦实施情况的监督检查，接受社会对土地复垦实施情况的监督等保障措施。</w:t>
      </w:r>
    </w:p>
    <w:p w14:paraId="675D097B">
      <w:pPr>
        <w:adjustRightInd w:val="0"/>
        <w:snapToGrid w:val="0"/>
        <w:spacing w:line="360" w:lineRule="auto"/>
        <w:ind w:firstLine="560" w:firstLineChars="200"/>
        <w:rPr>
          <w:sz w:val="28"/>
          <w:szCs w:val="28"/>
        </w:rPr>
      </w:pPr>
      <w:r>
        <w:rPr>
          <w:kern w:val="0"/>
          <w:sz w:val="28"/>
          <w:szCs w:val="28"/>
        </w:rPr>
        <w:t>赤峰国富玄武岩矿</w:t>
      </w:r>
      <w:r>
        <w:rPr>
          <w:sz w:val="28"/>
          <w:szCs w:val="28"/>
        </w:rPr>
        <w:t>如不履行复垦义务，按照《土地管理法》、《土地复垦条例》等法律法规和政策文件的规定依法处罚。</w:t>
      </w:r>
    </w:p>
    <w:bookmarkEnd w:id="169"/>
    <w:p w14:paraId="7741AF89">
      <w:pPr>
        <w:pStyle w:val="4"/>
        <w:spacing w:before="120" w:beforeLines="50"/>
        <w:rPr>
          <w:rFonts w:ascii="Times New Roman" w:hAnsi="Times New Roman"/>
        </w:rPr>
      </w:pPr>
      <w:bookmarkStart w:id="170" w:name="_Toc13463"/>
      <w:r>
        <w:rPr>
          <w:rFonts w:ascii="Times New Roman" w:hAnsi="Times New Roman"/>
        </w:rPr>
        <w:t>第二节  公众参与</w:t>
      </w:r>
      <w:bookmarkEnd w:id="170"/>
    </w:p>
    <w:p w14:paraId="2DF824A4">
      <w:pPr>
        <w:adjustRightInd w:val="0"/>
        <w:snapToGrid w:val="0"/>
        <w:spacing w:line="360" w:lineRule="auto"/>
        <w:ind w:firstLine="560" w:firstLineChars="200"/>
        <w:rPr>
          <w:sz w:val="28"/>
          <w:szCs w:val="28"/>
        </w:rPr>
      </w:pPr>
      <w:r>
        <w:rPr>
          <w:sz w:val="28"/>
          <w:szCs w:val="28"/>
        </w:rPr>
        <w:t>公众参与的目的是让本项目更加民主化和公众化，让公众特别是受本矿生产直接影响的人群充分了解矿区生态修复工作的内容，让公众充分发表自己的意见并表明对方案和实施效果的态度，使矿区生态修复工作更为完善，将公众的具体要求反馈到工程设计和项目管理中，为矿区生态修复工作和主管部门决策提供参考意见。</w:t>
      </w:r>
    </w:p>
    <w:p w14:paraId="23A26373">
      <w:pPr>
        <w:adjustRightInd w:val="0"/>
        <w:snapToGrid w:val="0"/>
        <w:spacing w:line="360" w:lineRule="auto"/>
        <w:ind w:firstLine="560" w:firstLineChars="200"/>
        <w:rPr>
          <w:sz w:val="28"/>
          <w:szCs w:val="28"/>
        </w:rPr>
      </w:pPr>
      <w:r>
        <w:rPr>
          <w:sz w:val="28"/>
          <w:szCs w:val="28"/>
        </w:rPr>
        <w:t>因此，本项目公众参与工作应坚持“方案编制前—方案编制中—方案实施”的全过程，以及土地权属人与地方管理部门等政府机构全方位参与的公众参与。</w:t>
      </w:r>
    </w:p>
    <w:p w14:paraId="27CDEB46">
      <w:pPr>
        <w:adjustRightInd w:val="0"/>
        <w:snapToGrid w:val="0"/>
        <w:spacing w:line="360" w:lineRule="auto"/>
        <w:ind w:firstLine="560" w:firstLineChars="200"/>
        <w:rPr>
          <w:sz w:val="28"/>
          <w:szCs w:val="28"/>
        </w:rPr>
      </w:pPr>
      <w:r>
        <w:rPr>
          <w:sz w:val="28"/>
          <w:szCs w:val="28"/>
        </w:rPr>
        <w:t>本方案以问卷调查为主，辅助以走访、座谈会的方式进行公众参与。问卷调查方式是通过随机选择矿区及周边的村民以及村集体干部，通过填写简单的纸质问卷，了解公众意见。走访的方式是随机调查了矿区及周边数位村民，通过口头交谈询问，了解其对矿区生态修复的关注点。</w:t>
      </w:r>
    </w:p>
    <w:p w14:paraId="21C7B49F">
      <w:pPr>
        <w:adjustRightInd w:val="0"/>
        <w:snapToGrid w:val="0"/>
        <w:spacing w:line="360" w:lineRule="auto"/>
        <w:ind w:firstLine="560" w:firstLineChars="200"/>
        <w:rPr>
          <w:sz w:val="28"/>
          <w:szCs w:val="28"/>
        </w:rPr>
      </w:pPr>
      <w:r>
        <w:rPr>
          <w:sz w:val="28"/>
          <w:szCs w:val="28"/>
        </w:rPr>
        <w:t>总体调查内容涵盖了生态修复方向，措施，建议和要求等，在资料收集、报告编制、评审过程中广泛征集各相关权益方意见。</w:t>
      </w:r>
    </w:p>
    <w:p w14:paraId="05690996">
      <w:pPr>
        <w:adjustRightInd w:val="0"/>
        <w:snapToGrid w:val="0"/>
        <w:spacing w:line="360" w:lineRule="auto"/>
        <w:ind w:firstLine="562" w:firstLineChars="200"/>
        <w:outlineLvl w:val="2"/>
        <w:rPr>
          <w:b/>
          <w:bCs/>
          <w:sz w:val="28"/>
          <w:szCs w:val="28"/>
        </w:rPr>
      </w:pPr>
      <w:r>
        <w:rPr>
          <w:b/>
          <w:bCs/>
          <w:sz w:val="28"/>
          <w:szCs w:val="28"/>
        </w:rPr>
        <w:t>一、方案编制前的公众参与</w:t>
      </w:r>
    </w:p>
    <w:p w14:paraId="29A18075">
      <w:pPr>
        <w:adjustRightInd w:val="0"/>
        <w:snapToGrid w:val="0"/>
        <w:spacing w:line="360" w:lineRule="auto"/>
        <w:ind w:firstLine="560" w:firstLineChars="200"/>
        <w:rPr>
          <w:sz w:val="28"/>
          <w:szCs w:val="28"/>
        </w:rPr>
      </w:pPr>
      <w:r>
        <w:rPr>
          <w:sz w:val="28"/>
          <w:szCs w:val="28"/>
        </w:rPr>
        <w:t>1、参与方式与时间</w:t>
      </w:r>
    </w:p>
    <w:p w14:paraId="33C9CE7D">
      <w:pPr>
        <w:adjustRightInd w:val="0"/>
        <w:snapToGrid w:val="0"/>
        <w:spacing w:line="360" w:lineRule="auto"/>
        <w:ind w:firstLine="560" w:firstLineChars="200"/>
        <w:rPr>
          <w:sz w:val="28"/>
          <w:szCs w:val="28"/>
        </w:rPr>
      </w:pPr>
      <w:r>
        <w:rPr>
          <w:sz w:val="28"/>
          <w:szCs w:val="28"/>
        </w:rPr>
        <w:t>方案编制前的公众参与结合第一次现场调研进行，主要为现场调查过程中的走访调查。2026年</w:t>
      </w:r>
      <w:r>
        <w:rPr>
          <w:rFonts w:hint="eastAsia"/>
          <w:sz w:val="28"/>
          <w:szCs w:val="28"/>
        </w:rPr>
        <w:t>8</w:t>
      </w:r>
      <w:r>
        <w:rPr>
          <w:sz w:val="28"/>
          <w:szCs w:val="28"/>
        </w:rPr>
        <w:t>月</w:t>
      </w:r>
      <w:r>
        <w:rPr>
          <w:rFonts w:hint="eastAsia"/>
          <w:sz w:val="28"/>
          <w:szCs w:val="28"/>
        </w:rPr>
        <w:t>12</w:t>
      </w:r>
      <w:r>
        <w:rPr>
          <w:sz w:val="28"/>
          <w:szCs w:val="28"/>
        </w:rPr>
        <w:t>日-</w:t>
      </w:r>
      <w:r>
        <w:rPr>
          <w:rFonts w:hint="eastAsia"/>
          <w:sz w:val="28"/>
          <w:szCs w:val="28"/>
        </w:rPr>
        <w:t>13</w:t>
      </w:r>
      <w:r>
        <w:rPr>
          <w:sz w:val="28"/>
          <w:szCs w:val="28"/>
        </w:rPr>
        <w:t>日，项目编制人员在矿方代表的陪同下，对矿区的各工业场地、已治理区等各场地进行了实地调查及航拍。</w:t>
      </w:r>
    </w:p>
    <w:p w14:paraId="60035DE9">
      <w:pPr>
        <w:adjustRightInd w:val="0"/>
        <w:snapToGrid w:val="0"/>
        <w:spacing w:line="360" w:lineRule="auto"/>
        <w:ind w:firstLine="560" w:firstLineChars="200"/>
        <w:rPr>
          <w:sz w:val="28"/>
          <w:szCs w:val="28"/>
        </w:rPr>
      </w:pPr>
      <w:r>
        <w:rPr>
          <w:sz w:val="28"/>
          <w:szCs w:val="28"/>
        </w:rPr>
        <w:t>2、参与对象、范围及调查内容</w:t>
      </w:r>
    </w:p>
    <w:p w14:paraId="7C369EF0">
      <w:pPr>
        <w:adjustRightInd w:val="0"/>
        <w:snapToGrid w:val="0"/>
        <w:spacing w:line="360" w:lineRule="auto"/>
        <w:ind w:firstLine="560" w:firstLineChars="200"/>
        <w:rPr>
          <w:sz w:val="28"/>
          <w:szCs w:val="28"/>
        </w:rPr>
      </w:pPr>
      <w:r>
        <w:rPr>
          <w:sz w:val="28"/>
          <w:szCs w:val="28"/>
        </w:rPr>
        <w:t>调查范围调查对象以受矿区开发影响的周边村民和相关人员为主，包括业主、项目区村民、村集体和村委会等相关部门，在收集相关资料的同时初步了解公众对复垦项目的要求、意见。</w:t>
      </w:r>
    </w:p>
    <w:p w14:paraId="567C6196">
      <w:pPr>
        <w:adjustRightInd w:val="0"/>
        <w:snapToGrid w:val="0"/>
        <w:spacing w:line="360" w:lineRule="auto"/>
        <w:ind w:firstLine="560" w:firstLineChars="200"/>
        <w:rPr>
          <w:sz w:val="28"/>
          <w:szCs w:val="28"/>
        </w:rPr>
      </w:pPr>
      <w:r>
        <w:rPr>
          <w:sz w:val="28"/>
          <w:szCs w:val="28"/>
        </w:rPr>
        <w:t>3、调查方式</w:t>
      </w:r>
    </w:p>
    <w:p w14:paraId="7CB88FD4">
      <w:pPr>
        <w:adjustRightInd w:val="0"/>
        <w:snapToGrid w:val="0"/>
        <w:spacing w:line="360" w:lineRule="auto"/>
        <w:ind w:firstLine="560" w:firstLineChars="200"/>
        <w:rPr>
          <w:sz w:val="28"/>
          <w:szCs w:val="28"/>
        </w:rPr>
      </w:pPr>
      <w:r>
        <w:rPr>
          <w:sz w:val="28"/>
          <w:szCs w:val="28"/>
        </w:rPr>
        <w:t>公众通过实地调查对项目有一定了解后，在矿业权人有关领导和相关技术人员的支持与配合下，对矿区内的土地所有权权属人进行了走访及向当地村民群众发放《公众参与调查表》，进行公众参与问卷调查。工作人员介绍了项目的性质、类型、规模以及国家相关政策，如实向公众阐明矿山开采可能产生的地表错动；本次工作的主要目的和任务；介绍了生态修复实施后能给当地村民带来的经济效益以及对促进地方经济发展、保护当地生态环境的情况。根据当地的经济、文化水平，确保被调查人员对该项目有一定的了解，矿业权人组织部分村民就方案的具体思想进行了沟通，召开了座谈会，并进行了现场调查。村民群众主要关注修复方向（是否复垦为林地</w:t>
      </w:r>
      <w:r>
        <w:rPr>
          <w:rFonts w:hint="eastAsia"/>
          <w:sz w:val="28"/>
          <w:szCs w:val="28"/>
        </w:rPr>
        <w:t>、草地</w:t>
      </w:r>
      <w:r>
        <w:rPr>
          <w:sz w:val="28"/>
          <w:szCs w:val="28"/>
        </w:rPr>
        <w:t>或转为其他用途）。对于收集到的所有反馈意见，矿业权人及编制单位会同相关技术团队进行了认真梳理、研究和论证。公众参与调查表见附件。</w:t>
      </w:r>
    </w:p>
    <w:p w14:paraId="4F72BE23">
      <w:pPr>
        <w:adjustRightInd w:val="0"/>
        <w:snapToGrid w:val="0"/>
        <w:spacing w:line="360" w:lineRule="auto"/>
        <w:ind w:firstLine="560" w:firstLineChars="200"/>
        <w:rPr>
          <w:sz w:val="28"/>
          <w:szCs w:val="28"/>
        </w:rPr>
      </w:pPr>
      <w:r>
        <w:rPr>
          <w:sz w:val="28"/>
          <w:szCs w:val="28"/>
        </w:rPr>
        <w:t>问卷调查表共发放</w:t>
      </w:r>
      <w:r>
        <w:rPr>
          <w:rFonts w:hint="eastAsia"/>
          <w:sz w:val="28"/>
          <w:szCs w:val="28"/>
        </w:rPr>
        <w:t>5</w:t>
      </w:r>
      <w:r>
        <w:rPr>
          <w:sz w:val="28"/>
          <w:szCs w:val="28"/>
        </w:rPr>
        <w:t>份，收回问卷</w:t>
      </w:r>
      <w:r>
        <w:rPr>
          <w:rFonts w:hint="eastAsia"/>
          <w:sz w:val="28"/>
          <w:szCs w:val="28"/>
        </w:rPr>
        <w:t>5</w:t>
      </w:r>
      <w:r>
        <w:rPr>
          <w:sz w:val="28"/>
          <w:szCs w:val="28"/>
        </w:rPr>
        <w:t>份，涉及行政村包括大庙镇</w:t>
      </w:r>
      <w:r>
        <w:rPr>
          <w:rFonts w:hint="eastAsia"/>
          <w:sz w:val="28"/>
          <w:szCs w:val="28"/>
        </w:rPr>
        <w:t>和平营子村</w:t>
      </w:r>
      <w:r>
        <w:rPr>
          <w:sz w:val="28"/>
          <w:szCs w:val="28"/>
        </w:rPr>
        <w:t>，回收率100%。</w:t>
      </w:r>
    </w:p>
    <w:p w14:paraId="7FF523F2">
      <w:pPr>
        <w:jc w:val="center"/>
        <w:rPr>
          <w:sz w:val="24"/>
          <w:szCs w:val="24"/>
        </w:rPr>
      </w:pPr>
      <w:r>
        <w:rPr>
          <w:b/>
          <w:bCs/>
          <w:spacing w:val="-2"/>
          <w:sz w:val="24"/>
          <w:szCs w:val="24"/>
        </w:rPr>
        <w:t>表</w:t>
      </w:r>
      <w:r>
        <w:rPr>
          <w:rFonts w:eastAsia="Times New Roman"/>
          <w:b/>
          <w:bCs/>
          <w:spacing w:val="-2"/>
          <w:sz w:val="24"/>
          <w:szCs w:val="24"/>
        </w:rPr>
        <w:t>7-</w:t>
      </w:r>
      <w:r>
        <w:rPr>
          <w:rFonts w:hint="eastAsia" w:eastAsiaTheme="minorEastAsia"/>
          <w:b/>
          <w:bCs/>
          <w:spacing w:val="-2"/>
          <w:sz w:val="24"/>
          <w:szCs w:val="24"/>
        </w:rPr>
        <w:t>1</w:t>
      </w:r>
      <w:r>
        <w:rPr>
          <w:rFonts w:eastAsia="Times New Roman"/>
          <w:b/>
          <w:bCs/>
          <w:spacing w:val="-2"/>
          <w:sz w:val="24"/>
          <w:szCs w:val="24"/>
        </w:rPr>
        <w:t xml:space="preserve">    </w:t>
      </w:r>
      <w:r>
        <w:rPr>
          <w:b/>
          <w:bCs/>
          <w:spacing w:val="-2"/>
          <w:sz w:val="24"/>
          <w:szCs w:val="24"/>
        </w:rPr>
        <w:t>被调查群众自然状况统计</w:t>
      </w:r>
    </w:p>
    <w:tbl>
      <w:tblPr>
        <w:tblStyle w:val="314"/>
        <w:tblW w:w="50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74"/>
        <w:gridCol w:w="2092"/>
        <w:gridCol w:w="2079"/>
        <w:gridCol w:w="2085"/>
      </w:tblGrid>
      <w:tr w14:paraId="5949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501" w:type="pct"/>
            <w:gridSpan w:val="2"/>
            <w:vAlign w:val="center"/>
          </w:tcPr>
          <w:p w14:paraId="7A70F5F1">
            <w:pPr>
              <w:jc w:val="center"/>
              <w:rPr>
                <w:rFonts w:ascii="Calibri" w:hAnsi="Calibri"/>
                <w:szCs w:val="21"/>
              </w:rPr>
            </w:pPr>
            <w:r>
              <w:rPr>
                <w:rFonts w:ascii="Calibri" w:hAnsi="Calibri"/>
                <w:b/>
                <w:bCs/>
                <w:spacing w:val="-9"/>
                <w:szCs w:val="21"/>
              </w:rPr>
              <w:t>分类</w:t>
            </w:r>
          </w:p>
        </w:tc>
        <w:tc>
          <w:tcPr>
            <w:tcW w:w="1248" w:type="pct"/>
            <w:vAlign w:val="center"/>
          </w:tcPr>
          <w:p w14:paraId="5A9828A4">
            <w:pPr>
              <w:jc w:val="center"/>
              <w:rPr>
                <w:rFonts w:ascii="Calibri" w:hAnsi="Calibri"/>
                <w:szCs w:val="21"/>
              </w:rPr>
            </w:pPr>
            <w:r>
              <w:rPr>
                <w:rFonts w:ascii="Calibri" w:hAnsi="Calibri"/>
                <w:b/>
                <w:bCs/>
                <w:spacing w:val="-8"/>
                <w:szCs w:val="21"/>
              </w:rPr>
              <w:t>占有样本总数比例</w:t>
            </w:r>
          </w:p>
        </w:tc>
        <w:tc>
          <w:tcPr>
            <w:tcW w:w="1251" w:type="pct"/>
            <w:vAlign w:val="center"/>
          </w:tcPr>
          <w:p w14:paraId="1A5C12CB">
            <w:pPr>
              <w:jc w:val="center"/>
              <w:rPr>
                <w:rFonts w:ascii="Calibri" w:hAnsi="Calibri"/>
                <w:szCs w:val="21"/>
              </w:rPr>
            </w:pPr>
            <w:r>
              <w:rPr>
                <w:rFonts w:ascii="Calibri" w:hAnsi="Calibri"/>
                <w:b/>
                <w:bCs/>
                <w:spacing w:val="-5"/>
                <w:szCs w:val="21"/>
              </w:rPr>
              <w:t>样本数</w:t>
            </w:r>
          </w:p>
        </w:tc>
      </w:tr>
      <w:tr w14:paraId="3292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45" w:type="pct"/>
            <w:vMerge w:val="restart"/>
            <w:vAlign w:val="center"/>
          </w:tcPr>
          <w:p w14:paraId="79DF6206">
            <w:pPr>
              <w:jc w:val="center"/>
              <w:rPr>
                <w:rFonts w:ascii="Calibri" w:hAnsi="Calibri"/>
                <w:szCs w:val="21"/>
              </w:rPr>
            </w:pPr>
            <w:r>
              <w:rPr>
                <w:rFonts w:ascii="Calibri" w:hAnsi="Calibri"/>
                <w:spacing w:val="-6"/>
                <w:szCs w:val="21"/>
              </w:rPr>
              <w:t>年龄</w:t>
            </w:r>
          </w:p>
        </w:tc>
        <w:tc>
          <w:tcPr>
            <w:tcW w:w="1256" w:type="pct"/>
            <w:vAlign w:val="center"/>
          </w:tcPr>
          <w:p w14:paraId="09C06E2E">
            <w:pPr>
              <w:jc w:val="center"/>
              <w:rPr>
                <w:rFonts w:ascii="Calibri" w:hAnsi="Calibri"/>
                <w:szCs w:val="21"/>
              </w:rPr>
            </w:pPr>
            <w:r>
              <w:rPr>
                <w:rFonts w:ascii="Calibri" w:hAnsi="Calibri"/>
                <w:spacing w:val="-2"/>
                <w:szCs w:val="21"/>
              </w:rPr>
              <w:t>36</w:t>
            </w:r>
            <w:r>
              <w:rPr>
                <w:rFonts w:ascii="Calibri" w:hAnsi="Calibri"/>
                <w:spacing w:val="-2"/>
                <w:szCs w:val="21"/>
                <w:lang w:eastAsia="en-US"/>
              </w:rPr>
              <w:t>～</w:t>
            </w:r>
            <w:r>
              <w:rPr>
                <w:rFonts w:ascii="Calibri" w:hAnsi="Calibri"/>
                <w:spacing w:val="-2"/>
                <w:szCs w:val="21"/>
              </w:rPr>
              <w:t>50</w:t>
            </w:r>
          </w:p>
        </w:tc>
        <w:tc>
          <w:tcPr>
            <w:tcW w:w="1248" w:type="pct"/>
            <w:vAlign w:val="center"/>
          </w:tcPr>
          <w:p w14:paraId="364F80B3">
            <w:pPr>
              <w:jc w:val="center"/>
              <w:rPr>
                <w:rFonts w:ascii="Calibri" w:hAnsi="Calibri"/>
                <w:szCs w:val="21"/>
                <w:lang w:eastAsia="en-US"/>
              </w:rPr>
            </w:pPr>
            <w:r>
              <w:rPr>
                <w:rFonts w:hint="eastAsia" w:ascii="Calibri" w:hAnsi="Calibri"/>
                <w:spacing w:val="-10"/>
                <w:szCs w:val="21"/>
              </w:rPr>
              <w:t>60</w:t>
            </w:r>
            <w:r>
              <w:rPr>
                <w:rFonts w:ascii="Calibri" w:hAnsi="Calibri"/>
                <w:spacing w:val="-10"/>
                <w:szCs w:val="21"/>
                <w:lang w:eastAsia="en-US"/>
              </w:rPr>
              <w:t>%</w:t>
            </w:r>
          </w:p>
        </w:tc>
        <w:tc>
          <w:tcPr>
            <w:tcW w:w="1251" w:type="pct"/>
            <w:vAlign w:val="center"/>
          </w:tcPr>
          <w:p w14:paraId="23093064">
            <w:pPr>
              <w:jc w:val="center"/>
              <w:rPr>
                <w:rFonts w:ascii="Calibri" w:hAnsi="Calibri"/>
                <w:szCs w:val="21"/>
              </w:rPr>
            </w:pPr>
            <w:r>
              <w:rPr>
                <w:rFonts w:hint="eastAsia" w:ascii="Calibri" w:hAnsi="Calibri"/>
                <w:szCs w:val="21"/>
              </w:rPr>
              <w:t>3</w:t>
            </w:r>
          </w:p>
        </w:tc>
      </w:tr>
      <w:tr w14:paraId="5C52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45" w:type="pct"/>
            <w:vMerge w:val="continue"/>
            <w:vAlign w:val="center"/>
          </w:tcPr>
          <w:p w14:paraId="2CB81E0B">
            <w:pPr>
              <w:jc w:val="center"/>
              <w:rPr>
                <w:rFonts w:ascii="Calibri" w:hAnsi="Calibri"/>
                <w:spacing w:val="-6"/>
                <w:szCs w:val="21"/>
              </w:rPr>
            </w:pPr>
          </w:p>
        </w:tc>
        <w:tc>
          <w:tcPr>
            <w:tcW w:w="1256" w:type="pct"/>
            <w:vAlign w:val="center"/>
          </w:tcPr>
          <w:p w14:paraId="2E654578">
            <w:pPr>
              <w:jc w:val="center"/>
              <w:rPr>
                <w:rFonts w:ascii="Calibri" w:hAnsi="Calibri"/>
                <w:spacing w:val="-2"/>
                <w:szCs w:val="21"/>
              </w:rPr>
            </w:pPr>
            <w:r>
              <w:rPr>
                <w:rFonts w:hint="eastAsia" w:ascii="Calibri" w:hAnsi="Calibri"/>
                <w:spacing w:val="-2"/>
                <w:szCs w:val="21"/>
              </w:rPr>
              <w:t>50岁以上</w:t>
            </w:r>
          </w:p>
        </w:tc>
        <w:tc>
          <w:tcPr>
            <w:tcW w:w="1248" w:type="pct"/>
            <w:vAlign w:val="center"/>
          </w:tcPr>
          <w:p w14:paraId="7E26CC48">
            <w:pPr>
              <w:jc w:val="center"/>
              <w:rPr>
                <w:rFonts w:ascii="Calibri" w:hAnsi="Calibri"/>
                <w:spacing w:val="-10"/>
                <w:szCs w:val="21"/>
              </w:rPr>
            </w:pPr>
            <w:r>
              <w:rPr>
                <w:rFonts w:hint="eastAsia" w:ascii="Calibri" w:hAnsi="Calibri"/>
                <w:spacing w:val="-2"/>
                <w:szCs w:val="21"/>
              </w:rPr>
              <w:t>40</w:t>
            </w:r>
            <w:r>
              <w:rPr>
                <w:rFonts w:ascii="Calibri" w:hAnsi="Calibri"/>
                <w:spacing w:val="-2"/>
                <w:szCs w:val="21"/>
                <w:lang w:eastAsia="en-US"/>
              </w:rPr>
              <w:t>%</w:t>
            </w:r>
          </w:p>
        </w:tc>
        <w:tc>
          <w:tcPr>
            <w:tcW w:w="1251" w:type="pct"/>
            <w:vAlign w:val="center"/>
          </w:tcPr>
          <w:p w14:paraId="3177CF22">
            <w:pPr>
              <w:jc w:val="center"/>
              <w:rPr>
                <w:rFonts w:ascii="Calibri" w:hAnsi="Calibri"/>
                <w:szCs w:val="21"/>
              </w:rPr>
            </w:pPr>
            <w:r>
              <w:rPr>
                <w:rFonts w:hint="eastAsia" w:ascii="Calibri" w:hAnsi="Calibri"/>
                <w:szCs w:val="21"/>
              </w:rPr>
              <w:t>2</w:t>
            </w:r>
          </w:p>
        </w:tc>
      </w:tr>
      <w:tr w14:paraId="26C4D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45" w:type="pct"/>
            <w:vMerge w:val="restart"/>
            <w:vAlign w:val="center"/>
          </w:tcPr>
          <w:p w14:paraId="536CFCDF">
            <w:pPr>
              <w:jc w:val="center"/>
              <w:rPr>
                <w:rFonts w:ascii="Calibri" w:hAnsi="Calibri"/>
                <w:szCs w:val="21"/>
              </w:rPr>
            </w:pPr>
            <w:r>
              <w:rPr>
                <w:rFonts w:ascii="Calibri" w:hAnsi="Calibri"/>
                <w:spacing w:val="-6"/>
                <w:szCs w:val="21"/>
              </w:rPr>
              <w:t>职业</w:t>
            </w:r>
          </w:p>
        </w:tc>
        <w:tc>
          <w:tcPr>
            <w:tcW w:w="1256" w:type="pct"/>
            <w:vAlign w:val="center"/>
          </w:tcPr>
          <w:p w14:paraId="172DE66F">
            <w:pPr>
              <w:jc w:val="center"/>
              <w:rPr>
                <w:rFonts w:ascii="Calibri" w:hAnsi="Calibri"/>
                <w:szCs w:val="21"/>
              </w:rPr>
            </w:pPr>
            <w:r>
              <w:rPr>
                <w:rFonts w:ascii="Calibri" w:hAnsi="Calibri"/>
                <w:spacing w:val="-5"/>
                <w:szCs w:val="21"/>
              </w:rPr>
              <w:t>干部</w:t>
            </w:r>
          </w:p>
        </w:tc>
        <w:tc>
          <w:tcPr>
            <w:tcW w:w="1248" w:type="pct"/>
            <w:vAlign w:val="center"/>
          </w:tcPr>
          <w:p w14:paraId="56EDE79F">
            <w:pPr>
              <w:jc w:val="center"/>
              <w:rPr>
                <w:rFonts w:ascii="Calibri" w:hAnsi="Calibri"/>
                <w:szCs w:val="21"/>
                <w:lang w:eastAsia="en-US"/>
              </w:rPr>
            </w:pPr>
            <w:r>
              <w:rPr>
                <w:rFonts w:ascii="Calibri" w:hAnsi="Calibri"/>
                <w:spacing w:val="-5"/>
                <w:szCs w:val="21"/>
              </w:rPr>
              <w:t>2</w:t>
            </w:r>
            <w:r>
              <w:rPr>
                <w:rFonts w:ascii="Calibri" w:hAnsi="Calibri"/>
                <w:spacing w:val="-5"/>
                <w:szCs w:val="21"/>
                <w:lang w:eastAsia="en-US"/>
              </w:rPr>
              <w:t>0%</w:t>
            </w:r>
          </w:p>
        </w:tc>
        <w:tc>
          <w:tcPr>
            <w:tcW w:w="1251" w:type="pct"/>
            <w:vAlign w:val="center"/>
          </w:tcPr>
          <w:p w14:paraId="7FDB9A8C">
            <w:pPr>
              <w:jc w:val="center"/>
              <w:rPr>
                <w:rFonts w:ascii="Calibri" w:hAnsi="Calibri"/>
                <w:szCs w:val="21"/>
              </w:rPr>
            </w:pPr>
            <w:r>
              <w:rPr>
                <w:rFonts w:hint="eastAsia" w:ascii="Calibri" w:hAnsi="Calibri"/>
                <w:szCs w:val="21"/>
              </w:rPr>
              <w:t>1</w:t>
            </w:r>
          </w:p>
        </w:tc>
      </w:tr>
      <w:tr w14:paraId="145F9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45" w:type="pct"/>
            <w:vMerge w:val="continue"/>
            <w:vAlign w:val="center"/>
          </w:tcPr>
          <w:p w14:paraId="68F5D0F1">
            <w:pPr>
              <w:jc w:val="center"/>
              <w:rPr>
                <w:rFonts w:ascii="Calibri" w:hAnsi="Calibri"/>
                <w:szCs w:val="21"/>
              </w:rPr>
            </w:pPr>
          </w:p>
        </w:tc>
        <w:tc>
          <w:tcPr>
            <w:tcW w:w="1256" w:type="pct"/>
            <w:vAlign w:val="center"/>
          </w:tcPr>
          <w:p w14:paraId="395DABE1">
            <w:pPr>
              <w:jc w:val="center"/>
              <w:rPr>
                <w:rFonts w:ascii="Calibri" w:hAnsi="Calibri"/>
                <w:szCs w:val="21"/>
              </w:rPr>
            </w:pPr>
            <w:r>
              <w:rPr>
                <w:rFonts w:ascii="Calibri" w:hAnsi="Calibri"/>
                <w:spacing w:val="-5"/>
                <w:szCs w:val="21"/>
              </w:rPr>
              <w:t>农民</w:t>
            </w:r>
          </w:p>
        </w:tc>
        <w:tc>
          <w:tcPr>
            <w:tcW w:w="1248" w:type="pct"/>
            <w:vAlign w:val="center"/>
          </w:tcPr>
          <w:p w14:paraId="5997BA04">
            <w:pPr>
              <w:jc w:val="center"/>
              <w:rPr>
                <w:rFonts w:ascii="Calibri" w:hAnsi="Calibri"/>
                <w:szCs w:val="21"/>
                <w:lang w:eastAsia="en-US"/>
              </w:rPr>
            </w:pPr>
            <w:r>
              <w:rPr>
                <w:rFonts w:hint="eastAsia" w:ascii="Calibri" w:hAnsi="Calibri"/>
                <w:spacing w:val="-4"/>
                <w:szCs w:val="21"/>
              </w:rPr>
              <w:t>60</w:t>
            </w:r>
            <w:r>
              <w:rPr>
                <w:rFonts w:ascii="Calibri" w:hAnsi="Calibri"/>
                <w:spacing w:val="-4"/>
                <w:szCs w:val="21"/>
                <w:lang w:eastAsia="en-US"/>
              </w:rPr>
              <w:t>%</w:t>
            </w:r>
          </w:p>
        </w:tc>
        <w:tc>
          <w:tcPr>
            <w:tcW w:w="1251" w:type="pct"/>
            <w:vAlign w:val="center"/>
          </w:tcPr>
          <w:p w14:paraId="2CC81F25">
            <w:pPr>
              <w:jc w:val="center"/>
              <w:rPr>
                <w:rFonts w:ascii="Calibri" w:hAnsi="Calibri"/>
                <w:szCs w:val="21"/>
              </w:rPr>
            </w:pPr>
            <w:r>
              <w:rPr>
                <w:rFonts w:hint="eastAsia" w:ascii="Calibri" w:hAnsi="Calibri"/>
                <w:szCs w:val="21"/>
              </w:rPr>
              <w:t>3</w:t>
            </w:r>
          </w:p>
        </w:tc>
      </w:tr>
      <w:tr w14:paraId="7296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45" w:type="pct"/>
            <w:vMerge w:val="continue"/>
            <w:vAlign w:val="center"/>
          </w:tcPr>
          <w:p w14:paraId="31A2C80A">
            <w:pPr>
              <w:jc w:val="center"/>
              <w:rPr>
                <w:rFonts w:ascii="Calibri" w:hAnsi="Calibri"/>
                <w:szCs w:val="21"/>
              </w:rPr>
            </w:pPr>
          </w:p>
        </w:tc>
        <w:tc>
          <w:tcPr>
            <w:tcW w:w="1256" w:type="pct"/>
            <w:vAlign w:val="center"/>
          </w:tcPr>
          <w:p w14:paraId="4CE10405">
            <w:pPr>
              <w:jc w:val="center"/>
              <w:rPr>
                <w:rFonts w:ascii="Calibri" w:hAnsi="Calibri"/>
                <w:szCs w:val="21"/>
              </w:rPr>
            </w:pPr>
            <w:r>
              <w:rPr>
                <w:rFonts w:ascii="Calibri" w:hAnsi="Calibri"/>
                <w:spacing w:val="-7"/>
                <w:szCs w:val="21"/>
              </w:rPr>
              <w:t>工人</w:t>
            </w:r>
          </w:p>
        </w:tc>
        <w:tc>
          <w:tcPr>
            <w:tcW w:w="1248" w:type="pct"/>
            <w:vAlign w:val="center"/>
          </w:tcPr>
          <w:p w14:paraId="6F640C3B">
            <w:pPr>
              <w:jc w:val="center"/>
              <w:rPr>
                <w:rFonts w:ascii="Calibri" w:hAnsi="Calibri"/>
                <w:szCs w:val="21"/>
                <w:lang w:eastAsia="en-US"/>
              </w:rPr>
            </w:pPr>
            <w:r>
              <w:rPr>
                <w:rFonts w:hint="eastAsia" w:ascii="Calibri" w:hAnsi="Calibri"/>
                <w:spacing w:val="-2"/>
                <w:szCs w:val="21"/>
              </w:rPr>
              <w:t>20</w:t>
            </w:r>
            <w:r>
              <w:rPr>
                <w:rFonts w:ascii="Calibri" w:hAnsi="Calibri"/>
                <w:spacing w:val="-2"/>
                <w:szCs w:val="21"/>
                <w:lang w:eastAsia="en-US"/>
              </w:rPr>
              <w:t>%</w:t>
            </w:r>
          </w:p>
        </w:tc>
        <w:tc>
          <w:tcPr>
            <w:tcW w:w="1251" w:type="pct"/>
            <w:vAlign w:val="center"/>
          </w:tcPr>
          <w:p w14:paraId="6C361A28">
            <w:pPr>
              <w:jc w:val="center"/>
              <w:rPr>
                <w:rFonts w:ascii="Calibri" w:hAnsi="Calibri"/>
                <w:szCs w:val="21"/>
              </w:rPr>
            </w:pPr>
            <w:r>
              <w:rPr>
                <w:rFonts w:hint="eastAsia" w:ascii="Calibri" w:hAnsi="Calibri"/>
                <w:szCs w:val="21"/>
              </w:rPr>
              <w:t>1</w:t>
            </w:r>
          </w:p>
        </w:tc>
      </w:tr>
      <w:tr w14:paraId="5985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45" w:type="pct"/>
            <w:vMerge w:val="restart"/>
            <w:vAlign w:val="center"/>
          </w:tcPr>
          <w:p w14:paraId="109DABFA">
            <w:pPr>
              <w:jc w:val="center"/>
              <w:rPr>
                <w:rFonts w:ascii="Calibri" w:hAnsi="Calibri"/>
                <w:szCs w:val="21"/>
              </w:rPr>
            </w:pPr>
            <w:r>
              <w:rPr>
                <w:rFonts w:ascii="Calibri" w:hAnsi="Calibri"/>
                <w:spacing w:val="-3"/>
                <w:szCs w:val="21"/>
              </w:rPr>
              <w:t>文化程度</w:t>
            </w:r>
          </w:p>
        </w:tc>
        <w:tc>
          <w:tcPr>
            <w:tcW w:w="1256" w:type="pct"/>
            <w:vAlign w:val="center"/>
          </w:tcPr>
          <w:p w14:paraId="0BDB5AAF">
            <w:pPr>
              <w:jc w:val="center"/>
              <w:rPr>
                <w:rFonts w:ascii="Calibri" w:hAnsi="Calibri"/>
                <w:szCs w:val="21"/>
              </w:rPr>
            </w:pPr>
            <w:r>
              <w:rPr>
                <w:rFonts w:ascii="Calibri" w:hAnsi="Calibri"/>
                <w:spacing w:val="-2"/>
                <w:szCs w:val="21"/>
              </w:rPr>
              <w:t>初中及以下</w:t>
            </w:r>
          </w:p>
        </w:tc>
        <w:tc>
          <w:tcPr>
            <w:tcW w:w="1248" w:type="pct"/>
            <w:vAlign w:val="center"/>
          </w:tcPr>
          <w:p w14:paraId="79329C46">
            <w:pPr>
              <w:jc w:val="center"/>
              <w:rPr>
                <w:rFonts w:ascii="Calibri" w:hAnsi="Calibri"/>
                <w:szCs w:val="21"/>
                <w:lang w:eastAsia="en-US"/>
              </w:rPr>
            </w:pPr>
            <w:r>
              <w:rPr>
                <w:rFonts w:hint="eastAsia" w:ascii="Calibri" w:hAnsi="Calibri"/>
                <w:spacing w:val="-4"/>
                <w:szCs w:val="21"/>
              </w:rPr>
              <w:t>4</w:t>
            </w:r>
            <w:r>
              <w:rPr>
                <w:rFonts w:ascii="Calibri" w:hAnsi="Calibri"/>
                <w:spacing w:val="-4"/>
                <w:szCs w:val="21"/>
              </w:rPr>
              <w:t>0</w:t>
            </w:r>
            <w:r>
              <w:rPr>
                <w:rFonts w:ascii="Calibri" w:hAnsi="Calibri"/>
                <w:spacing w:val="-4"/>
                <w:szCs w:val="21"/>
                <w:lang w:eastAsia="en-US"/>
              </w:rPr>
              <w:t>%</w:t>
            </w:r>
          </w:p>
        </w:tc>
        <w:tc>
          <w:tcPr>
            <w:tcW w:w="1251" w:type="pct"/>
            <w:vAlign w:val="center"/>
          </w:tcPr>
          <w:p w14:paraId="25A22C2E">
            <w:pPr>
              <w:jc w:val="center"/>
              <w:rPr>
                <w:rFonts w:ascii="Calibri" w:hAnsi="Calibri"/>
                <w:szCs w:val="21"/>
              </w:rPr>
            </w:pPr>
            <w:r>
              <w:rPr>
                <w:rFonts w:hint="eastAsia" w:ascii="Calibri" w:hAnsi="Calibri"/>
                <w:szCs w:val="21"/>
              </w:rPr>
              <w:t>2</w:t>
            </w:r>
          </w:p>
        </w:tc>
      </w:tr>
      <w:tr w14:paraId="6314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45" w:type="pct"/>
            <w:vMerge w:val="continue"/>
            <w:vAlign w:val="center"/>
          </w:tcPr>
          <w:p w14:paraId="7A1EC738">
            <w:pPr>
              <w:jc w:val="center"/>
              <w:rPr>
                <w:rFonts w:ascii="Calibri" w:hAnsi="Calibri"/>
                <w:szCs w:val="21"/>
              </w:rPr>
            </w:pPr>
          </w:p>
        </w:tc>
        <w:tc>
          <w:tcPr>
            <w:tcW w:w="1256" w:type="pct"/>
            <w:vAlign w:val="center"/>
          </w:tcPr>
          <w:p w14:paraId="09CDAC8D">
            <w:pPr>
              <w:jc w:val="center"/>
              <w:rPr>
                <w:rFonts w:ascii="Calibri" w:hAnsi="Calibri"/>
                <w:szCs w:val="21"/>
              </w:rPr>
            </w:pPr>
            <w:r>
              <w:rPr>
                <w:rFonts w:ascii="Calibri" w:hAnsi="Calibri"/>
                <w:spacing w:val="-8"/>
                <w:szCs w:val="21"/>
              </w:rPr>
              <w:t>高中</w:t>
            </w:r>
          </w:p>
        </w:tc>
        <w:tc>
          <w:tcPr>
            <w:tcW w:w="1248" w:type="pct"/>
            <w:vAlign w:val="center"/>
          </w:tcPr>
          <w:p w14:paraId="326164C8">
            <w:pPr>
              <w:jc w:val="center"/>
              <w:rPr>
                <w:rFonts w:ascii="Calibri" w:hAnsi="Calibri"/>
                <w:szCs w:val="21"/>
                <w:lang w:eastAsia="en-US"/>
              </w:rPr>
            </w:pPr>
            <w:r>
              <w:rPr>
                <w:rFonts w:hint="eastAsia" w:ascii="Calibri" w:hAnsi="Calibri"/>
                <w:spacing w:val="-2"/>
                <w:szCs w:val="21"/>
              </w:rPr>
              <w:t>60</w:t>
            </w:r>
            <w:r>
              <w:rPr>
                <w:rFonts w:ascii="Calibri" w:hAnsi="Calibri"/>
                <w:spacing w:val="-2"/>
                <w:szCs w:val="21"/>
                <w:lang w:eastAsia="en-US"/>
              </w:rPr>
              <w:t>%</w:t>
            </w:r>
          </w:p>
        </w:tc>
        <w:tc>
          <w:tcPr>
            <w:tcW w:w="1251" w:type="pct"/>
            <w:vAlign w:val="center"/>
          </w:tcPr>
          <w:p w14:paraId="5D64120A">
            <w:pPr>
              <w:jc w:val="center"/>
              <w:rPr>
                <w:rFonts w:ascii="Calibri" w:hAnsi="Calibri"/>
                <w:szCs w:val="21"/>
              </w:rPr>
            </w:pPr>
            <w:r>
              <w:rPr>
                <w:rFonts w:hint="eastAsia" w:ascii="Calibri" w:hAnsi="Calibri"/>
                <w:szCs w:val="21"/>
              </w:rPr>
              <w:t>3</w:t>
            </w:r>
          </w:p>
        </w:tc>
      </w:tr>
    </w:tbl>
    <w:p w14:paraId="348C9D70">
      <w:pPr>
        <w:adjustRightInd w:val="0"/>
        <w:snapToGrid w:val="0"/>
        <w:spacing w:before="240" w:beforeLines="100" w:line="360" w:lineRule="auto"/>
        <w:ind w:firstLine="560" w:firstLineChars="200"/>
        <w:rPr>
          <w:sz w:val="28"/>
          <w:szCs w:val="28"/>
        </w:rPr>
      </w:pPr>
      <w:r>
        <w:rPr>
          <w:sz w:val="28"/>
          <w:szCs w:val="28"/>
        </w:rPr>
        <w:t>通过对回收的有效调查表进行统计分析，获得公众意见，见下表：</w:t>
      </w:r>
    </w:p>
    <w:p w14:paraId="1180ACBB">
      <w:pPr>
        <w:jc w:val="center"/>
        <w:rPr>
          <w:b/>
          <w:bCs/>
          <w:spacing w:val="-2"/>
          <w:sz w:val="24"/>
          <w:szCs w:val="24"/>
          <w:lang w:eastAsia="en-US"/>
        </w:rPr>
      </w:pPr>
      <w:r>
        <w:rPr>
          <w:b/>
          <w:bCs/>
          <w:spacing w:val="-2"/>
          <w:sz w:val="24"/>
          <w:szCs w:val="24"/>
          <w:lang w:eastAsia="en-US"/>
        </w:rPr>
        <w:t>表7-</w:t>
      </w:r>
      <w:r>
        <w:rPr>
          <w:rFonts w:hint="eastAsia"/>
          <w:b/>
          <w:bCs/>
          <w:spacing w:val="-2"/>
          <w:sz w:val="24"/>
          <w:szCs w:val="24"/>
        </w:rPr>
        <w:t>2</w:t>
      </w:r>
      <w:r>
        <w:rPr>
          <w:b/>
          <w:bCs/>
          <w:spacing w:val="-2"/>
          <w:sz w:val="24"/>
          <w:szCs w:val="24"/>
          <w:lang w:eastAsia="en-US"/>
        </w:rPr>
        <w:t xml:space="preserve">  调查结果统计表</w:t>
      </w:r>
    </w:p>
    <w:tbl>
      <w:tblPr>
        <w:tblStyle w:val="315"/>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68"/>
        <w:gridCol w:w="4196"/>
        <w:gridCol w:w="748"/>
        <w:gridCol w:w="651"/>
        <w:gridCol w:w="721"/>
        <w:gridCol w:w="674"/>
        <w:gridCol w:w="848"/>
      </w:tblGrid>
      <w:tr w14:paraId="75D11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blHeader/>
          <w:jc w:val="center"/>
        </w:trPr>
        <w:tc>
          <w:tcPr>
            <w:tcW w:w="282" w:type="pct"/>
            <w:vMerge w:val="restart"/>
            <w:tcBorders>
              <w:bottom w:val="nil"/>
            </w:tcBorders>
            <w:vAlign w:val="center"/>
          </w:tcPr>
          <w:p w14:paraId="106F29A6">
            <w:pPr>
              <w:rPr>
                <w:rFonts w:ascii="Calibri" w:hAnsi="Calibri"/>
                <w:szCs w:val="21"/>
              </w:rPr>
            </w:pPr>
            <w:r>
              <w:rPr>
                <w:rFonts w:ascii="Calibri" w:hAnsi="Calibri"/>
                <w:szCs w:val="21"/>
              </w:rPr>
              <w:t>序号</w:t>
            </w:r>
          </w:p>
        </w:tc>
        <w:tc>
          <w:tcPr>
            <w:tcW w:w="2526" w:type="pct"/>
            <w:vMerge w:val="restart"/>
            <w:tcBorders>
              <w:bottom w:val="nil"/>
            </w:tcBorders>
            <w:vAlign w:val="center"/>
          </w:tcPr>
          <w:p w14:paraId="139D8320">
            <w:pPr>
              <w:jc w:val="center"/>
              <w:rPr>
                <w:rFonts w:ascii="Calibri" w:hAnsi="Calibri"/>
                <w:szCs w:val="21"/>
              </w:rPr>
            </w:pPr>
            <w:r>
              <w:rPr>
                <w:rFonts w:ascii="Calibri" w:hAnsi="Calibri"/>
                <w:szCs w:val="21"/>
              </w:rPr>
              <w:t>问题</w:t>
            </w:r>
          </w:p>
        </w:tc>
        <w:tc>
          <w:tcPr>
            <w:tcW w:w="2192" w:type="pct"/>
            <w:gridSpan w:val="5"/>
            <w:vAlign w:val="center"/>
          </w:tcPr>
          <w:p w14:paraId="1CBC107C">
            <w:pPr>
              <w:jc w:val="center"/>
              <w:rPr>
                <w:rFonts w:ascii="Calibri" w:hAnsi="Calibri"/>
                <w:szCs w:val="21"/>
              </w:rPr>
            </w:pPr>
            <w:r>
              <w:rPr>
                <w:rFonts w:ascii="Calibri" w:hAnsi="Calibri"/>
                <w:szCs w:val="21"/>
              </w:rPr>
              <w:t>统计结果</w:t>
            </w:r>
          </w:p>
        </w:tc>
      </w:tr>
      <w:tr w14:paraId="70DD6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blHeader/>
          <w:jc w:val="center"/>
        </w:trPr>
        <w:tc>
          <w:tcPr>
            <w:tcW w:w="282" w:type="pct"/>
            <w:vMerge w:val="continue"/>
            <w:tcBorders>
              <w:top w:val="nil"/>
            </w:tcBorders>
            <w:textDirection w:val="tbRlV"/>
            <w:vAlign w:val="center"/>
          </w:tcPr>
          <w:p w14:paraId="7298137C">
            <w:pPr>
              <w:jc w:val="center"/>
              <w:rPr>
                <w:rFonts w:ascii="Calibri" w:hAnsi="Calibri"/>
                <w:szCs w:val="21"/>
              </w:rPr>
            </w:pPr>
          </w:p>
        </w:tc>
        <w:tc>
          <w:tcPr>
            <w:tcW w:w="2526" w:type="pct"/>
            <w:vMerge w:val="continue"/>
            <w:tcBorders>
              <w:top w:val="nil"/>
            </w:tcBorders>
            <w:vAlign w:val="center"/>
          </w:tcPr>
          <w:p w14:paraId="4F307B0D">
            <w:pPr>
              <w:jc w:val="center"/>
              <w:rPr>
                <w:rFonts w:ascii="Calibri" w:hAnsi="Calibri"/>
                <w:szCs w:val="21"/>
              </w:rPr>
            </w:pPr>
          </w:p>
        </w:tc>
        <w:tc>
          <w:tcPr>
            <w:tcW w:w="450" w:type="pct"/>
            <w:vAlign w:val="center"/>
          </w:tcPr>
          <w:p w14:paraId="11ED7712">
            <w:pPr>
              <w:jc w:val="center"/>
              <w:rPr>
                <w:rFonts w:ascii="Calibri" w:hAnsi="Calibri"/>
                <w:szCs w:val="21"/>
              </w:rPr>
            </w:pPr>
            <w:r>
              <w:rPr>
                <w:rFonts w:ascii="Calibri" w:hAnsi="Calibri"/>
                <w:szCs w:val="21"/>
              </w:rPr>
              <w:t>A</w:t>
            </w:r>
          </w:p>
        </w:tc>
        <w:tc>
          <w:tcPr>
            <w:tcW w:w="392" w:type="pct"/>
            <w:vAlign w:val="center"/>
          </w:tcPr>
          <w:p w14:paraId="5DFD9CBE">
            <w:pPr>
              <w:jc w:val="center"/>
              <w:rPr>
                <w:rFonts w:ascii="Calibri" w:hAnsi="Calibri"/>
                <w:szCs w:val="21"/>
              </w:rPr>
            </w:pPr>
            <w:r>
              <w:rPr>
                <w:rFonts w:ascii="Calibri" w:hAnsi="Calibri"/>
                <w:szCs w:val="21"/>
              </w:rPr>
              <w:t>B</w:t>
            </w:r>
          </w:p>
        </w:tc>
        <w:tc>
          <w:tcPr>
            <w:tcW w:w="434" w:type="pct"/>
            <w:vAlign w:val="center"/>
          </w:tcPr>
          <w:p w14:paraId="65730F7F">
            <w:pPr>
              <w:jc w:val="center"/>
              <w:rPr>
                <w:rFonts w:ascii="Calibri" w:hAnsi="Calibri"/>
                <w:szCs w:val="21"/>
              </w:rPr>
            </w:pPr>
            <w:r>
              <w:rPr>
                <w:rFonts w:ascii="Calibri" w:hAnsi="Calibri"/>
                <w:szCs w:val="21"/>
              </w:rPr>
              <w:t>C</w:t>
            </w:r>
          </w:p>
        </w:tc>
        <w:tc>
          <w:tcPr>
            <w:tcW w:w="406" w:type="pct"/>
            <w:vAlign w:val="center"/>
          </w:tcPr>
          <w:p w14:paraId="0A265940">
            <w:pPr>
              <w:jc w:val="center"/>
              <w:rPr>
                <w:rFonts w:ascii="Calibri" w:hAnsi="Calibri"/>
                <w:szCs w:val="21"/>
              </w:rPr>
            </w:pPr>
            <w:r>
              <w:rPr>
                <w:rFonts w:ascii="Calibri" w:hAnsi="Calibri"/>
                <w:szCs w:val="21"/>
              </w:rPr>
              <w:t>D</w:t>
            </w:r>
          </w:p>
        </w:tc>
        <w:tc>
          <w:tcPr>
            <w:tcW w:w="510" w:type="pct"/>
            <w:vAlign w:val="center"/>
          </w:tcPr>
          <w:p w14:paraId="7C3AA51E">
            <w:pPr>
              <w:jc w:val="center"/>
              <w:rPr>
                <w:rFonts w:ascii="Calibri" w:hAnsi="Calibri"/>
                <w:szCs w:val="21"/>
              </w:rPr>
            </w:pPr>
            <w:r>
              <w:rPr>
                <w:rFonts w:ascii="Calibri" w:hAnsi="Calibri"/>
                <w:szCs w:val="21"/>
              </w:rPr>
              <w:t>E</w:t>
            </w:r>
          </w:p>
        </w:tc>
      </w:tr>
      <w:tr w14:paraId="400BA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jc w:val="center"/>
        </w:trPr>
        <w:tc>
          <w:tcPr>
            <w:tcW w:w="282" w:type="pct"/>
            <w:vAlign w:val="center"/>
          </w:tcPr>
          <w:p w14:paraId="795C1030">
            <w:pPr>
              <w:jc w:val="center"/>
              <w:rPr>
                <w:rFonts w:ascii="Calibri" w:hAnsi="Calibri"/>
                <w:szCs w:val="21"/>
              </w:rPr>
            </w:pPr>
            <w:r>
              <w:rPr>
                <w:rFonts w:ascii="Calibri" w:hAnsi="Calibri"/>
                <w:szCs w:val="21"/>
              </w:rPr>
              <w:t>1</w:t>
            </w:r>
          </w:p>
        </w:tc>
        <w:tc>
          <w:tcPr>
            <w:tcW w:w="2526" w:type="pct"/>
            <w:vAlign w:val="center"/>
          </w:tcPr>
          <w:p w14:paraId="5BE5F8A6">
            <w:pPr>
              <w:spacing w:line="276" w:lineRule="auto"/>
              <w:jc w:val="center"/>
              <w:rPr>
                <w:rFonts w:ascii="Calibri" w:hAnsi="Calibri"/>
                <w:szCs w:val="21"/>
              </w:rPr>
            </w:pPr>
            <w:r>
              <w:rPr>
                <w:rFonts w:ascii="Calibri" w:hAnsi="Calibri"/>
                <w:szCs w:val="21"/>
              </w:rPr>
              <w:t>您对该项目所持态度？</w:t>
            </w:r>
          </w:p>
          <w:p w14:paraId="2080D1D9">
            <w:pPr>
              <w:spacing w:line="276" w:lineRule="auto"/>
              <w:jc w:val="center"/>
              <w:rPr>
                <w:rFonts w:ascii="Calibri" w:hAnsi="Calibri"/>
                <w:szCs w:val="21"/>
              </w:rPr>
            </w:pPr>
            <w:r>
              <w:rPr>
                <w:rFonts w:ascii="Calibri" w:hAnsi="Calibri"/>
                <w:szCs w:val="21"/>
              </w:rPr>
              <w:t>A.赞成  B.反对  C.不关心</w:t>
            </w:r>
          </w:p>
        </w:tc>
        <w:tc>
          <w:tcPr>
            <w:tcW w:w="450" w:type="pct"/>
            <w:vAlign w:val="center"/>
          </w:tcPr>
          <w:p w14:paraId="08FF27A2">
            <w:pPr>
              <w:jc w:val="center"/>
              <w:rPr>
                <w:rFonts w:ascii="Calibri" w:hAnsi="Calibri"/>
                <w:szCs w:val="21"/>
              </w:rPr>
            </w:pPr>
            <w:r>
              <w:rPr>
                <w:rFonts w:ascii="Calibri" w:hAnsi="Calibri"/>
                <w:szCs w:val="21"/>
              </w:rPr>
              <w:t>100%</w:t>
            </w:r>
          </w:p>
        </w:tc>
        <w:tc>
          <w:tcPr>
            <w:tcW w:w="392" w:type="pct"/>
            <w:vAlign w:val="center"/>
          </w:tcPr>
          <w:p w14:paraId="3FA0355D">
            <w:pPr>
              <w:jc w:val="center"/>
              <w:rPr>
                <w:rFonts w:ascii="Calibri" w:hAnsi="Calibri"/>
                <w:szCs w:val="21"/>
              </w:rPr>
            </w:pPr>
            <w:r>
              <w:rPr>
                <w:rFonts w:ascii="Calibri" w:hAnsi="Calibri"/>
                <w:szCs w:val="21"/>
              </w:rPr>
              <w:t>0%</w:t>
            </w:r>
          </w:p>
        </w:tc>
        <w:tc>
          <w:tcPr>
            <w:tcW w:w="434" w:type="pct"/>
            <w:vAlign w:val="center"/>
          </w:tcPr>
          <w:p w14:paraId="002BFD84">
            <w:pPr>
              <w:jc w:val="center"/>
              <w:rPr>
                <w:rFonts w:ascii="Calibri" w:hAnsi="Calibri"/>
                <w:szCs w:val="21"/>
              </w:rPr>
            </w:pPr>
            <w:r>
              <w:rPr>
                <w:rFonts w:ascii="Calibri" w:hAnsi="Calibri"/>
                <w:szCs w:val="21"/>
              </w:rPr>
              <w:t>0%</w:t>
            </w:r>
          </w:p>
        </w:tc>
        <w:tc>
          <w:tcPr>
            <w:tcW w:w="406" w:type="pct"/>
            <w:vAlign w:val="center"/>
          </w:tcPr>
          <w:p w14:paraId="32A9646E">
            <w:pPr>
              <w:jc w:val="center"/>
              <w:rPr>
                <w:rFonts w:ascii="Calibri" w:hAnsi="Calibri"/>
                <w:szCs w:val="21"/>
              </w:rPr>
            </w:pPr>
            <w:r>
              <w:rPr>
                <w:rFonts w:ascii="Calibri" w:hAnsi="Calibri"/>
                <w:szCs w:val="21"/>
              </w:rPr>
              <w:t>0%</w:t>
            </w:r>
          </w:p>
        </w:tc>
        <w:tc>
          <w:tcPr>
            <w:tcW w:w="510" w:type="pct"/>
            <w:vAlign w:val="center"/>
          </w:tcPr>
          <w:p w14:paraId="277EA1A3">
            <w:pPr>
              <w:jc w:val="center"/>
              <w:rPr>
                <w:rFonts w:ascii="Calibri" w:hAnsi="Calibri"/>
                <w:szCs w:val="21"/>
              </w:rPr>
            </w:pPr>
            <w:r>
              <w:rPr>
                <w:rFonts w:ascii="Calibri" w:hAnsi="Calibri"/>
                <w:szCs w:val="21"/>
              </w:rPr>
              <w:t>0%</w:t>
            </w:r>
          </w:p>
        </w:tc>
      </w:tr>
      <w:tr w14:paraId="6C458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jc w:val="center"/>
        </w:trPr>
        <w:tc>
          <w:tcPr>
            <w:tcW w:w="282" w:type="pct"/>
            <w:vAlign w:val="center"/>
          </w:tcPr>
          <w:p w14:paraId="1AC408EC">
            <w:pPr>
              <w:jc w:val="center"/>
              <w:rPr>
                <w:rFonts w:ascii="Calibri" w:hAnsi="Calibri"/>
                <w:szCs w:val="21"/>
              </w:rPr>
            </w:pPr>
            <w:r>
              <w:rPr>
                <w:rFonts w:ascii="Calibri" w:hAnsi="Calibri"/>
                <w:szCs w:val="21"/>
              </w:rPr>
              <w:t>2</w:t>
            </w:r>
          </w:p>
        </w:tc>
        <w:tc>
          <w:tcPr>
            <w:tcW w:w="2526" w:type="pct"/>
            <w:vAlign w:val="center"/>
          </w:tcPr>
          <w:p w14:paraId="6D96F982">
            <w:pPr>
              <w:widowControl/>
              <w:kinsoku w:val="0"/>
              <w:autoSpaceDE w:val="0"/>
              <w:autoSpaceDN w:val="0"/>
              <w:adjustRightInd w:val="0"/>
              <w:snapToGrid w:val="0"/>
              <w:spacing w:line="276" w:lineRule="auto"/>
              <w:ind w:firstLine="420" w:firstLineChars="200"/>
              <w:jc w:val="center"/>
              <w:textAlignment w:val="baseline"/>
              <w:rPr>
                <w:rFonts w:ascii="Calibri" w:hAnsi="Calibri"/>
                <w:szCs w:val="21"/>
              </w:rPr>
            </w:pPr>
            <w:r>
              <w:rPr>
                <w:rFonts w:ascii="Calibri" w:hAnsi="Calibri"/>
                <w:szCs w:val="21"/>
              </w:rPr>
              <w:t>您对复垦区复垦利用方向的意愿：</w:t>
            </w:r>
          </w:p>
          <w:p w14:paraId="53EEDDC5">
            <w:pPr>
              <w:widowControl/>
              <w:kinsoku w:val="0"/>
              <w:autoSpaceDE w:val="0"/>
              <w:autoSpaceDN w:val="0"/>
              <w:adjustRightInd w:val="0"/>
              <w:snapToGrid w:val="0"/>
              <w:spacing w:line="276" w:lineRule="auto"/>
              <w:ind w:firstLine="420" w:firstLineChars="200"/>
              <w:jc w:val="center"/>
              <w:textAlignment w:val="baseline"/>
              <w:rPr>
                <w:rFonts w:ascii="Calibri" w:hAnsi="Calibri"/>
                <w:szCs w:val="21"/>
              </w:rPr>
            </w:pPr>
            <w:r>
              <w:rPr>
                <w:rFonts w:ascii="Calibri" w:hAnsi="Calibri"/>
                <w:szCs w:val="21"/>
              </w:rPr>
              <w:t>A耕地   B 林地  C 草地  D 建设用地      E 其他</w:t>
            </w:r>
          </w:p>
        </w:tc>
        <w:tc>
          <w:tcPr>
            <w:tcW w:w="450" w:type="pct"/>
            <w:vAlign w:val="center"/>
          </w:tcPr>
          <w:p w14:paraId="0DBEBDFD">
            <w:pPr>
              <w:jc w:val="center"/>
              <w:rPr>
                <w:rFonts w:ascii="Calibri" w:hAnsi="Calibri"/>
                <w:szCs w:val="21"/>
              </w:rPr>
            </w:pPr>
            <w:r>
              <w:rPr>
                <w:rFonts w:hint="eastAsia" w:ascii="Calibri" w:hAnsi="Calibri"/>
                <w:szCs w:val="21"/>
              </w:rPr>
              <w:t>2</w:t>
            </w:r>
            <w:r>
              <w:rPr>
                <w:rFonts w:ascii="Calibri" w:hAnsi="Calibri"/>
                <w:szCs w:val="21"/>
              </w:rPr>
              <w:t>0%</w:t>
            </w:r>
          </w:p>
        </w:tc>
        <w:tc>
          <w:tcPr>
            <w:tcW w:w="392" w:type="pct"/>
            <w:vAlign w:val="center"/>
          </w:tcPr>
          <w:p w14:paraId="698B4A34">
            <w:pPr>
              <w:jc w:val="center"/>
              <w:rPr>
                <w:rFonts w:ascii="Calibri" w:hAnsi="Calibri"/>
                <w:szCs w:val="21"/>
              </w:rPr>
            </w:pPr>
            <w:r>
              <w:rPr>
                <w:rFonts w:hint="eastAsia" w:ascii="Calibri" w:hAnsi="Calibri"/>
                <w:szCs w:val="21"/>
              </w:rPr>
              <w:t>2</w:t>
            </w:r>
            <w:r>
              <w:rPr>
                <w:rFonts w:ascii="Calibri" w:hAnsi="Calibri"/>
                <w:szCs w:val="21"/>
              </w:rPr>
              <w:t>0%</w:t>
            </w:r>
          </w:p>
        </w:tc>
        <w:tc>
          <w:tcPr>
            <w:tcW w:w="434" w:type="pct"/>
            <w:vAlign w:val="center"/>
          </w:tcPr>
          <w:p w14:paraId="1FAAAF0B">
            <w:pPr>
              <w:jc w:val="center"/>
              <w:rPr>
                <w:rFonts w:ascii="Calibri" w:hAnsi="Calibri"/>
                <w:szCs w:val="21"/>
              </w:rPr>
            </w:pPr>
            <w:r>
              <w:rPr>
                <w:rFonts w:hint="eastAsia" w:ascii="Calibri" w:hAnsi="Calibri"/>
                <w:szCs w:val="21"/>
              </w:rPr>
              <w:t>6</w:t>
            </w:r>
            <w:r>
              <w:rPr>
                <w:rFonts w:ascii="Calibri" w:hAnsi="Calibri"/>
                <w:szCs w:val="21"/>
              </w:rPr>
              <w:t>0%</w:t>
            </w:r>
          </w:p>
        </w:tc>
        <w:tc>
          <w:tcPr>
            <w:tcW w:w="406" w:type="pct"/>
            <w:vAlign w:val="center"/>
          </w:tcPr>
          <w:p w14:paraId="720A0006">
            <w:pPr>
              <w:jc w:val="center"/>
              <w:rPr>
                <w:rFonts w:ascii="Calibri" w:hAnsi="Calibri"/>
                <w:szCs w:val="21"/>
              </w:rPr>
            </w:pPr>
          </w:p>
        </w:tc>
        <w:tc>
          <w:tcPr>
            <w:tcW w:w="510" w:type="pct"/>
            <w:vAlign w:val="center"/>
          </w:tcPr>
          <w:p w14:paraId="04AFEDE1">
            <w:pPr>
              <w:jc w:val="center"/>
              <w:rPr>
                <w:rFonts w:ascii="Calibri" w:hAnsi="Calibri"/>
                <w:szCs w:val="21"/>
              </w:rPr>
            </w:pPr>
          </w:p>
        </w:tc>
      </w:tr>
      <w:tr w14:paraId="17350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82" w:type="pct"/>
            <w:vAlign w:val="center"/>
          </w:tcPr>
          <w:p w14:paraId="41A906C2">
            <w:pPr>
              <w:jc w:val="center"/>
              <w:rPr>
                <w:rFonts w:ascii="Calibri" w:hAnsi="Calibri"/>
                <w:szCs w:val="21"/>
              </w:rPr>
            </w:pPr>
            <w:r>
              <w:rPr>
                <w:rFonts w:ascii="Calibri" w:hAnsi="Calibri"/>
                <w:szCs w:val="21"/>
              </w:rPr>
              <w:t>3</w:t>
            </w:r>
          </w:p>
        </w:tc>
        <w:tc>
          <w:tcPr>
            <w:tcW w:w="2526" w:type="pct"/>
            <w:vAlign w:val="center"/>
          </w:tcPr>
          <w:p w14:paraId="0C7509D6">
            <w:pPr>
              <w:spacing w:line="276" w:lineRule="auto"/>
              <w:jc w:val="center"/>
              <w:rPr>
                <w:rFonts w:ascii="Calibri" w:hAnsi="Calibri"/>
                <w:szCs w:val="21"/>
              </w:rPr>
            </w:pPr>
            <w:r>
              <w:rPr>
                <w:rFonts w:ascii="Calibri" w:hAnsi="Calibri"/>
                <w:szCs w:val="21"/>
              </w:rPr>
              <w:t>希望土地复垦后所要达到的目标：</w:t>
            </w:r>
          </w:p>
          <w:p w14:paraId="0107038E">
            <w:pPr>
              <w:spacing w:line="276" w:lineRule="auto"/>
              <w:jc w:val="center"/>
              <w:rPr>
                <w:rFonts w:ascii="Calibri" w:hAnsi="Calibri"/>
                <w:szCs w:val="21"/>
              </w:rPr>
            </w:pPr>
            <w:r>
              <w:rPr>
                <w:rFonts w:ascii="Calibri" w:hAnsi="Calibri"/>
                <w:szCs w:val="21"/>
              </w:rPr>
              <w:t>A 恢复原貌 B 比原生态环境有所改善  C 保持现状不发展   D 能够有经济效益</w:t>
            </w:r>
          </w:p>
        </w:tc>
        <w:tc>
          <w:tcPr>
            <w:tcW w:w="450" w:type="pct"/>
            <w:vAlign w:val="center"/>
          </w:tcPr>
          <w:p w14:paraId="05200388">
            <w:pPr>
              <w:jc w:val="center"/>
              <w:rPr>
                <w:rFonts w:ascii="Calibri" w:hAnsi="Calibri"/>
                <w:szCs w:val="21"/>
              </w:rPr>
            </w:pPr>
            <w:r>
              <w:rPr>
                <w:rFonts w:hint="eastAsia" w:ascii="Calibri" w:hAnsi="Calibri"/>
                <w:szCs w:val="21"/>
              </w:rPr>
              <w:t>100</w:t>
            </w:r>
            <w:r>
              <w:rPr>
                <w:rFonts w:ascii="Calibri" w:hAnsi="Calibri"/>
                <w:szCs w:val="21"/>
              </w:rPr>
              <w:t>%</w:t>
            </w:r>
          </w:p>
        </w:tc>
        <w:tc>
          <w:tcPr>
            <w:tcW w:w="392" w:type="pct"/>
            <w:vAlign w:val="center"/>
          </w:tcPr>
          <w:p w14:paraId="38341A93">
            <w:pPr>
              <w:jc w:val="center"/>
              <w:rPr>
                <w:rFonts w:ascii="Calibri" w:hAnsi="Calibri"/>
                <w:szCs w:val="21"/>
              </w:rPr>
            </w:pPr>
          </w:p>
        </w:tc>
        <w:tc>
          <w:tcPr>
            <w:tcW w:w="434" w:type="pct"/>
            <w:vAlign w:val="center"/>
          </w:tcPr>
          <w:p w14:paraId="41EC5825">
            <w:pPr>
              <w:jc w:val="center"/>
              <w:rPr>
                <w:rFonts w:ascii="Calibri" w:hAnsi="Calibri"/>
                <w:szCs w:val="21"/>
              </w:rPr>
            </w:pPr>
          </w:p>
        </w:tc>
        <w:tc>
          <w:tcPr>
            <w:tcW w:w="406" w:type="pct"/>
            <w:vAlign w:val="center"/>
          </w:tcPr>
          <w:p w14:paraId="22FE5CC2">
            <w:pPr>
              <w:jc w:val="center"/>
              <w:rPr>
                <w:rFonts w:ascii="Calibri" w:hAnsi="Calibri"/>
                <w:szCs w:val="21"/>
              </w:rPr>
            </w:pPr>
          </w:p>
        </w:tc>
        <w:tc>
          <w:tcPr>
            <w:tcW w:w="510" w:type="pct"/>
            <w:vAlign w:val="center"/>
          </w:tcPr>
          <w:p w14:paraId="133945BD">
            <w:pPr>
              <w:jc w:val="center"/>
              <w:rPr>
                <w:rFonts w:ascii="Calibri" w:hAnsi="Calibri"/>
                <w:szCs w:val="21"/>
              </w:rPr>
            </w:pPr>
          </w:p>
        </w:tc>
      </w:tr>
      <w:tr w14:paraId="0B572D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82" w:type="pct"/>
            <w:vAlign w:val="center"/>
          </w:tcPr>
          <w:p w14:paraId="69471C96">
            <w:pPr>
              <w:jc w:val="center"/>
              <w:rPr>
                <w:rFonts w:ascii="Calibri" w:hAnsi="Calibri"/>
                <w:szCs w:val="21"/>
              </w:rPr>
            </w:pPr>
            <w:r>
              <w:rPr>
                <w:rFonts w:ascii="Calibri" w:hAnsi="Calibri"/>
                <w:szCs w:val="21"/>
              </w:rPr>
              <w:t>4</w:t>
            </w:r>
          </w:p>
        </w:tc>
        <w:tc>
          <w:tcPr>
            <w:tcW w:w="2526" w:type="pct"/>
            <w:vAlign w:val="center"/>
          </w:tcPr>
          <w:p w14:paraId="68208AE5">
            <w:pPr>
              <w:spacing w:line="276" w:lineRule="auto"/>
              <w:jc w:val="center"/>
              <w:rPr>
                <w:rFonts w:ascii="Calibri" w:hAnsi="Calibri"/>
                <w:szCs w:val="21"/>
              </w:rPr>
            </w:pPr>
            <w:r>
              <w:rPr>
                <w:rFonts w:ascii="Calibri" w:hAnsi="Calibri"/>
                <w:szCs w:val="21"/>
              </w:rPr>
              <w:t>您对本复垦项目持何种态度：</w:t>
            </w:r>
          </w:p>
          <w:p w14:paraId="437D5C51">
            <w:pPr>
              <w:spacing w:line="276" w:lineRule="auto"/>
              <w:jc w:val="center"/>
              <w:rPr>
                <w:rFonts w:ascii="Calibri" w:hAnsi="Calibri"/>
                <w:szCs w:val="21"/>
              </w:rPr>
            </w:pPr>
            <w:r>
              <w:rPr>
                <w:rFonts w:ascii="Calibri" w:hAnsi="Calibri"/>
                <w:szCs w:val="21"/>
              </w:rPr>
              <w:t>A  支持   B 反对    C 与我无关</w:t>
            </w:r>
          </w:p>
        </w:tc>
        <w:tc>
          <w:tcPr>
            <w:tcW w:w="450" w:type="pct"/>
            <w:vAlign w:val="center"/>
          </w:tcPr>
          <w:p w14:paraId="3B4B6332">
            <w:pPr>
              <w:jc w:val="center"/>
              <w:rPr>
                <w:rFonts w:ascii="Calibri" w:hAnsi="Calibri"/>
                <w:szCs w:val="21"/>
              </w:rPr>
            </w:pPr>
            <w:r>
              <w:rPr>
                <w:rFonts w:ascii="Calibri" w:hAnsi="Calibri"/>
                <w:szCs w:val="21"/>
              </w:rPr>
              <w:t>100%</w:t>
            </w:r>
          </w:p>
        </w:tc>
        <w:tc>
          <w:tcPr>
            <w:tcW w:w="392" w:type="pct"/>
            <w:vAlign w:val="center"/>
          </w:tcPr>
          <w:p w14:paraId="562951D9">
            <w:pPr>
              <w:jc w:val="center"/>
              <w:rPr>
                <w:rFonts w:ascii="Calibri" w:hAnsi="Calibri"/>
                <w:szCs w:val="21"/>
              </w:rPr>
            </w:pPr>
            <w:r>
              <w:rPr>
                <w:rFonts w:ascii="Calibri" w:hAnsi="Calibri"/>
                <w:szCs w:val="21"/>
              </w:rPr>
              <w:t>0%</w:t>
            </w:r>
          </w:p>
        </w:tc>
        <w:tc>
          <w:tcPr>
            <w:tcW w:w="434" w:type="pct"/>
            <w:vAlign w:val="center"/>
          </w:tcPr>
          <w:p w14:paraId="0A35E620">
            <w:pPr>
              <w:jc w:val="center"/>
              <w:rPr>
                <w:rFonts w:ascii="Calibri" w:hAnsi="Calibri"/>
                <w:szCs w:val="21"/>
              </w:rPr>
            </w:pPr>
            <w:r>
              <w:rPr>
                <w:rFonts w:ascii="Calibri" w:hAnsi="Calibri"/>
                <w:szCs w:val="21"/>
              </w:rPr>
              <w:t>0%</w:t>
            </w:r>
          </w:p>
        </w:tc>
        <w:tc>
          <w:tcPr>
            <w:tcW w:w="406" w:type="pct"/>
            <w:vAlign w:val="center"/>
          </w:tcPr>
          <w:p w14:paraId="50CA0981">
            <w:pPr>
              <w:jc w:val="center"/>
              <w:rPr>
                <w:rFonts w:ascii="Calibri" w:hAnsi="Calibri"/>
                <w:szCs w:val="21"/>
              </w:rPr>
            </w:pPr>
          </w:p>
        </w:tc>
        <w:tc>
          <w:tcPr>
            <w:tcW w:w="510" w:type="pct"/>
            <w:vAlign w:val="center"/>
          </w:tcPr>
          <w:p w14:paraId="71DB7652">
            <w:pPr>
              <w:jc w:val="center"/>
              <w:rPr>
                <w:rFonts w:ascii="Calibri" w:hAnsi="Calibri"/>
                <w:szCs w:val="21"/>
              </w:rPr>
            </w:pPr>
          </w:p>
        </w:tc>
      </w:tr>
      <w:tr w14:paraId="31BBA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82" w:type="pct"/>
            <w:vAlign w:val="center"/>
          </w:tcPr>
          <w:p w14:paraId="2A7AC374">
            <w:pPr>
              <w:jc w:val="center"/>
              <w:rPr>
                <w:rFonts w:ascii="Calibri" w:hAnsi="Calibri"/>
                <w:szCs w:val="21"/>
              </w:rPr>
            </w:pPr>
            <w:r>
              <w:rPr>
                <w:rFonts w:ascii="Calibri" w:hAnsi="Calibri"/>
                <w:szCs w:val="21"/>
              </w:rPr>
              <w:t>5</w:t>
            </w:r>
          </w:p>
        </w:tc>
        <w:tc>
          <w:tcPr>
            <w:tcW w:w="2526" w:type="pct"/>
            <w:vAlign w:val="center"/>
          </w:tcPr>
          <w:p w14:paraId="42A8F515">
            <w:pPr>
              <w:spacing w:line="276" w:lineRule="auto"/>
              <w:jc w:val="center"/>
              <w:rPr>
                <w:rFonts w:ascii="Calibri" w:hAnsi="Calibri"/>
                <w:szCs w:val="21"/>
              </w:rPr>
            </w:pPr>
            <w:r>
              <w:rPr>
                <w:rFonts w:ascii="Calibri" w:hAnsi="Calibri"/>
                <w:szCs w:val="21"/>
              </w:rPr>
              <w:t>该项目在征用贵行政村土地方面是否存在争议?</w:t>
            </w:r>
          </w:p>
          <w:p w14:paraId="66CF0C74">
            <w:pPr>
              <w:spacing w:line="276" w:lineRule="auto"/>
              <w:jc w:val="center"/>
              <w:rPr>
                <w:rFonts w:ascii="Calibri" w:hAnsi="Calibri"/>
                <w:szCs w:val="21"/>
              </w:rPr>
            </w:pPr>
            <w:r>
              <w:rPr>
                <w:rFonts w:ascii="Calibri" w:hAnsi="Calibri"/>
                <w:szCs w:val="21"/>
              </w:rPr>
              <w:t>A 存在     B  不存在</w:t>
            </w:r>
          </w:p>
        </w:tc>
        <w:tc>
          <w:tcPr>
            <w:tcW w:w="450" w:type="pct"/>
            <w:vAlign w:val="center"/>
          </w:tcPr>
          <w:p w14:paraId="301DB893">
            <w:pPr>
              <w:jc w:val="center"/>
              <w:rPr>
                <w:rFonts w:ascii="Calibri" w:hAnsi="Calibri"/>
                <w:szCs w:val="21"/>
              </w:rPr>
            </w:pPr>
            <w:r>
              <w:rPr>
                <w:rFonts w:ascii="Calibri" w:hAnsi="Calibri"/>
                <w:szCs w:val="21"/>
              </w:rPr>
              <w:t>0%</w:t>
            </w:r>
          </w:p>
        </w:tc>
        <w:tc>
          <w:tcPr>
            <w:tcW w:w="392" w:type="pct"/>
            <w:vAlign w:val="center"/>
          </w:tcPr>
          <w:p w14:paraId="7F3EB198">
            <w:pPr>
              <w:jc w:val="center"/>
              <w:rPr>
                <w:rFonts w:ascii="Calibri" w:hAnsi="Calibri"/>
                <w:szCs w:val="21"/>
              </w:rPr>
            </w:pPr>
            <w:r>
              <w:rPr>
                <w:rFonts w:ascii="Calibri" w:hAnsi="Calibri"/>
                <w:szCs w:val="21"/>
              </w:rPr>
              <w:t>100%</w:t>
            </w:r>
          </w:p>
        </w:tc>
        <w:tc>
          <w:tcPr>
            <w:tcW w:w="434" w:type="pct"/>
            <w:vAlign w:val="center"/>
          </w:tcPr>
          <w:p w14:paraId="23301E63">
            <w:pPr>
              <w:jc w:val="center"/>
              <w:rPr>
                <w:rFonts w:ascii="Calibri" w:hAnsi="Calibri"/>
                <w:szCs w:val="21"/>
              </w:rPr>
            </w:pPr>
          </w:p>
        </w:tc>
        <w:tc>
          <w:tcPr>
            <w:tcW w:w="406" w:type="pct"/>
            <w:vAlign w:val="center"/>
          </w:tcPr>
          <w:p w14:paraId="080A93B6">
            <w:pPr>
              <w:jc w:val="center"/>
              <w:rPr>
                <w:rFonts w:ascii="Calibri" w:hAnsi="Calibri"/>
                <w:szCs w:val="21"/>
              </w:rPr>
            </w:pPr>
          </w:p>
        </w:tc>
        <w:tc>
          <w:tcPr>
            <w:tcW w:w="510" w:type="pct"/>
            <w:vAlign w:val="center"/>
          </w:tcPr>
          <w:p w14:paraId="18D15522">
            <w:pPr>
              <w:jc w:val="center"/>
              <w:rPr>
                <w:rFonts w:ascii="Calibri" w:hAnsi="Calibri"/>
                <w:szCs w:val="21"/>
              </w:rPr>
            </w:pPr>
          </w:p>
        </w:tc>
      </w:tr>
      <w:tr w14:paraId="1FE26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82" w:type="pct"/>
            <w:vAlign w:val="center"/>
          </w:tcPr>
          <w:p w14:paraId="07DC52F3">
            <w:pPr>
              <w:jc w:val="center"/>
              <w:rPr>
                <w:rFonts w:ascii="Calibri" w:hAnsi="Calibri"/>
                <w:szCs w:val="21"/>
              </w:rPr>
            </w:pPr>
            <w:r>
              <w:rPr>
                <w:rFonts w:ascii="Calibri" w:hAnsi="Calibri"/>
                <w:szCs w:val="21"/>
              </w:rPr>
              <w:t>6</w:t>
            </w:r>
          </w:p>
        </w:tc>
        <w:tc>
          <w:tcPr>
            <w:tcW w:w="2526" w:type="pct"/>
            <w:vAlign w:val="center"/>
          </w:tcPr>
          <w:p w14:paraId="2A66EF8C">
            <w:pPr>
              <w:spacing w:line="276" w:lineRule="auto"/>
              <w:jc w:val="center"/>
              <w:rPr>
                <w:rFonts w:ascii="Calibri" w:hAnsi="Calibri"/>
                <w:szCs w:val="21"/>
              </w:rPr>
            </w:pPr>
            <w:r>
              <w:rPr>
                <w:rFonts w:ascii="Calibri" w:hAnsi="Calibri"/>
                <w:szCs w:val="21"/>
              </w:rPr>
              <w:t xml:space="preserve">您希望项目单位在进行复垦工作时从哪些方面有待改进?A植被管护措施B 土地平整C 塌陷治理 D 水土流失防治E 农用地复垦  F 草地恢复 G 水源地解决  </w:t>
            </w:r>
          </w:p>
        </w:tc>
        <w:tc>
          <w:tcPr>
            <w:tcW w:w="450" w:type="pct"/>
            <w:vAlign w:val="center"/>
          </w:tcPr>
          <w:p w14:paraId="4A009B56">
            <w:pPr>
              <w:jc w:val="center"/>
              <w:rPr>
                <w:rFonts w:ascii="Calibri" w:hAnsi="Calibri"/>
                <w:szCs w:val="21"/>
              </w:rPr>
            </w:pPr>
            <w:r>
              <w:rPr>
                <w:rFonts w:ascii="Calibri" w:hAnsi="Calibri"/>
                <w:szCs w:val="21"/>
              </w:rPr>
              <w:t>100%</w:t>
            </w:r>
          </w:p>
        </w:tc>
        <w:tc>
          <w:tcPr>
            <w:tcW w:w="392" w:type="pct"/>
            <w:vAlign w:val="center"/>
          </w:tcPr>
          <w:p w14:paraId="1454050A">
            <w:pPr>
              <w:jc w:val="center"/>
              <w:rPr>
                <w:rFonts w:ascii="Calibri" w:hAnsi="Calibri"/>
                <w:szCs w:val="21"/>
              </w:rPr>
            </w:pPr>
            <w:r>
              <w:rPr>
                <w:rFonts w:hint="eastAsia" w:ascii="Calibri" w:hAnsi="Calibri"/>
                <w:szCs w:val="21"/>
              </w:rPr>
              <w:t>4</w:t>
            </w:r>
            <w:r>
              <w:rPr>
                <w:rFonts w:ascii="Calibri" w:hAnsi="Calibri"/>
                <w:szCs w:val="21"/>
              </w:rPr>
              <w:t>0%</w:t>
            </w:r>
          </w:p>
        </w:tc>
        <w:tc>
          <w:tcPr>
            <w:tcW w:w="434" w:type="pct"/>
            <w:vAlign w:val="center"/>
          </w:tcPr>
          <w:p w14:paraId="76521F74">
            <w:pPr>
              <w:jc w:val="center"/>
              <w:rPr>
                <w:rFonts w:ascii="Calibri" w:hAnsi="Calibri"/>
                <w:szCs w:val="21"/>
              </w:rPr>
            </w:pPr>
          </w:p>
        </w:tc>
        <w:tc>
          <w:tcPr>
            <w:tcW w:w="406" w:type="pct"/>
            <w:vAlign w:val="center"/>
          </w:tcPr>
          <w:p w14:paraId="478DA8A4">
            <w:pPr>
              <w:jc w:val="center"/>
              <w:rPr>
                <w:rFonts w:ascii="Calibri" w:hAnsi="Calibri"/>
                <w:szCs w:val="21"/>
              </w:rPr>
            </w:pPr>
          </w:p>
        </w:tc>
        <w:tc>
          <w:tcPr>
            <w:tcW w:w="510" w:type="pct"/>
            <w:vAlign w:val="center"/>
          </w:tcPr>
          <w:p w14:paraId="208B6D07">
            <w:pPr>
              <w:jc w:val="center"/>
              <w:rPr>
                <w:rFonts w:ascii="Calibri" w:hAnsi="Calibri"/>
                <w:szCs w:val="21"/>
              </w:rPr>
            </w:pPr>
          </w:p>
        </w:tc>
      </w:tr>
      <w:tr w14:paraId="245C1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82" w:type="pct"/>
            <w:vAlign w:val="center"/>
          </w:tcPr>
          <w:p w14:paraId="4C0A6922">
            <w:pPr>
              <w:jc w:val="center"/>
              <w:rPr>
                <w:rFonts w:ascii="Calibri" w:hAnsi="Calibri"/>
                <w:szCs w:val="21"/>
              </w:rPr>
            </w:pPr>
            <w:r>
              <w:rPr>
                <w:rFonts w:ascii="Calibri" w:hAnsi="Calibri"/>
                <w:szCs w:val="21"/>
              </w:rPr>
              <w:t>7</w:t>
            </w:r>
          </w:p>
        </w:tc>
        <w:tc>
          <w:tcPr>
            <w:tcW w:w="2526" w:type="pct"/>
            <w:vAlign w:val="center"/>
          </w:tcPr>
          <w:p w14:paraId="467007FB">
            <w:pPr>
              <w:spacing w:line="276" w:lineRule="auto"/>
              <w:jc w:val="center"/>
              <w:rPr>
                <w:rFonts w:ascii="Calibri" w:hAnsi="Calibri"/>
                <w:szCs w:val="21"/>
              </w:rPr>
            </w:pPr>
            <w:r>
              <w:rPr>
                <w:rFonts w:ascii="Calibri" w:hAnsi="Calibri"/>
                <w:szCs w:val="21"/>
              </w:rPr>
              <w:t>您对国家关于生态复垦方面的政策和要求了解程度(单选):</w:t>
            </w:r>
          </w:p>
          <w:p w14:paraId="52EEFEBA">
            <w:pPr>
              <w:spacing w:line="276" w:lineRule="auto"/>
              <w:jc w:val="center"/>
              <w:rPr>
                <w:rFonts w:ascii="Calibri" w:hAnsi="Calibri"/>
                <w:szCs w:val="21"/>
              </w:rPr>
            </w:pPr>
            <w:r>
              <w:rPr>
                <w:rFonts w:ascii="Calibri" w:hAnsi="Calibri"/>
                <w:szCs w:val="21"/>
              </w:rPr>
              <w:t>A 详细了解    B  知 道   C 不知道</w:t>
            </w:r>
          </w:p>
        </w:tc>
        <w:tc>
          <w:tcPr>
            <w:tcW w:w="450" w:type="pct"/>
            <w:vAlign w:val="center"/>
          </w:tcPr>
          <w:p w14:paraId="35AEF78B">
            <w:pPr>
              <w:jc w:val="center"/>
              <w:rPr>
                <w:rFonts w:ascii="Calibri" w:hAnsi="Calibri"/>
                <w:szCs w:val="21"/>
              </w:rPr>
            </w:pPr>
          </w:p>
        </w:tc>
        <w:tc>
          <w:tcPr>
            <w:tcW w:w="392" w:type="pct"/>
            <w:vAlign w:val="center"/>
          </w:tcPr>
          <w:p w14:paraId="145B5E66">
            <w:pPr>
              <w:jc w:val="center"/>
              <w:rPr>
                <w:rFonts w:ascii="Calibri" w:hAnsi="Calibri"/>
                <w:szCs w:val="21"/>
              </w:rPr>
            </w:pPr>
            <w:r>
              <w:rPr>
                <w:rFonts w:ascii="Calibri" w:hAnsi="Calibri"/>
                <w:szCs w:val="21"/>
              </w:rPr>
              <w:t>100%</w:t>
            </w:r>
          </w:p>
        </w:tc>
        <w:tc>
          <w:tcPr>
            <w:tcW w:w="434" w:type="pct"/>
            <w:vAlign w:val="center"/>
          </w:tcPr>
          <w:p w14:paraId="10412CCD">
            <w:pPr>
              <w:jc w:val="center"/>
              <w:rPr>
                <w:rFonts w:ascii="Calibri" w:hAnsi="Calibri"/>
                <w:szCs w:val="21"/>
              </w:rPr>
            </w:pPr>
          </w:p>
        </w:tc>
        <w:tc>
          <w:tcPr>
            <w:tcW w:w="406" w:type="pct"/>
            <w:vAlign w:val="center"/>
          </w:tcPr>
          <w:p w14:paraId="2F605B5D">
            <w:pPr>
              <w:jc w:val="center"/>
              <w:rPr>
                <w:rFonts w:ascii="Calibri" w:hAnsi="Calibri"/>
                <w:szCs w:val="21"/>
              </w:rPr>
            </w:pPr>
          </w:p>
        </w:tc>
        <w:tc>
          <w:tcPr>
            <w:tcW w:w="510" w:type="pct"/>
            <w:vAlign w:val="center"/>
          </w:tcPr>
          <w:p w14:paraId="1E9DBCAE">
            <w:pPr>
              <w:jc w:val="center"/>
              <w:rPr>
                <w:rFonts w:ascii="Calibri" w:hAnsi="Calibri"/>
                <w:szCs w:val="21"/>
              </w:rPr>
            </w:pPr>
          </w:p>
        </w:tc>
      </w:tr>
      <w:tr w14:paraId="7DE928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82" w:type="pct"/>
            <w:vAlign w:val="center"/>
          </w:tcPr>
          <w:p w14:paraId="7B797947">
            <w:pPr>
              <w:jc w:val="center"/>
              <w:rPr>
                <w:rFonts w:ascii="Calibri" w:hAnsi="Calibri"/>
                <w:szCs w:val="21"/>
              </w:rPr>
            </w:pPr>
            <w:r>
              <w:rPr>
                <w:rFonts w:ascii="Calibri" w:hAnsi="Calibri"/>
                <w:szCs w:val="21"/>
              </w:rPr>
              <w:t>8</w:t>
            </w:r>
          </w:p>
        </w:tc>
        <w:tc>
          <w:tcPr>
            <w:tcW w:w="2526" w:type="pct"/>
            <w:vAlign w:val="center"/>
          </w:tcPr>
          <w:p w14:paraId="7E2E9B17">
            <w:pPr>
              <w:widowControl/>
              <w:kinsoku w:val="0"/>
              <w:autoSpaceDE w:val="0"/>
              <w:autoSpaceDN w:val="0"/>
              <w:adjustRightInd w:val="0"/>
              <w:snapToGrid w:val="0"/>
              <w:spacing w:line="276" w:lineRule="auto"/>
              <w:ind w:firstLine="420" w:firstLineChars="200"/>
              <w:textAlignment w:val="baseline"/>
              <w:rPr>
                <w:rFonts w:ascii="Calibri" w:hAnsi="Calibri"/>
                <w:szCs w:val="21"/>
              </w:rPr>
            </w:pPr>
            <w:r>
              <w:rPr>
                <w:rFonts w:ascii="Calibri" w:hAnsi="Calibri"/>
                <w:szCs w:val="21"/>
              </w:rPr>
              <w:t>您认为采用以下哪几种土地复垦措施适合当地的实际情况(多选):</w:t>
            </w:r>
          </w:p>
          <w:p w14:paraId="5D00BCC3">
            <w:pPr>
              <w:widowControl/>
              <w:kinsoku w:val="0"/>
              <w:autoSpaceDE w:val="0"/>
              <w:autoSpaceDN w:val="0"/>
              <w:adjustRightInd w:val="0"/>
              <w:snapToGrid w:val="0"/>
              <w:spacing w:line="276" w:lineRule="auto"/>
              <w:ind w:firstLine="420" w:firstLineChars="200"/>
              <w:textAlignment w:val="baseline"/>
              <w:rPr>
                <w:rFonts w:ascii="Calibri" w:hAnsi="Calibri"/>
                <w:szCs w:val="21"/>
              </w:rPr>
            </w:pPr>
            <w:r>
              <w:rPr>
                <w:rFonts w:ascii="Calibri" w:hAnsi="Calibri"/>
                <w:szCs w:val="21"/>
              </w:rPr>
              <w:t xml:space="preserve">A 裂缝充填  B 土地平整  C 削坡工程  D 植被恢复  E 耕地恢复  F 其他  </w:t>
            </w:r>
          </w:p>
        </w:tc>
        <w:tc>
          <w:tcPr>
            <w:tcW w:w="450" w:type="pct"/>
            <w:vAlign w:val="center"/>
          </w:tcPr>
          <w:p w14:paraId="005664FA">
            <w:pPr>
              <w:jc w:val="center"/>
              <w:rPr>
                <w:rFonts w:ascii="Calibri" w:hAnsi="Calibri"/>
                <w:szCs w:val="21"/>
              </w:rPr>
            </w:pPr>
          </w:p>
        </w:tc>
        <w:tc>
          <w:tcPr>
            <w:tcW w:w="392" w:type="pct"/>
            <w:vAlign w:val="center"/>
          </w:tcPr>
          <w:p w14:paraId="0D6C8006">
            <w:pPr>
              <w:jc w:val="center"/>
              <w:rPr>
                <w:rFonts w:ascii="Calibri" w:hAnsi="Calibri"/>
                <w:szCs w:val="21"/>
              </w:rPr>
            </w:pPr>
            <w:r>
              <w:rPr>
                <w:rFonts w:hint="eastAsia" w:ascii="Calibri" w:hAnsi="Calibri"/>
                <w:szCs w:val="21"/>
              </w:rPr>
              <w:t>8</w:t>
            </w:r>
            <w:r>
              <w:rPr>
                <w:rFonts w:ascii="Calibri" w:hAnsi="Calibri"/>
                <w:szCs w:val="21"/>
              </w:rPr>
              <w:t>0%</w:t>
            </w:r>
          </w:p>
        </w:tc>
        <w:tc>
          <w:tcPr>
            <w:tcW w:w="434" w:type="pct"/>
            <w:vAlign w:val="center"/>
          </w:tcPr>
          <w:p w14:paraId="16781850">
            <w:pPr>
              <w:jc w:val="center"/>
              <w:rPr>
                <w:rFonts w:ascii="Calibri" w:hAnsi="Calibri"/>
                <w:szCs w:val="21"/>
              </w:rPr>
            </w:pPr>
            <w:r>
              <w:rPr>
                <w:rFonts w:hint="eastAsia" w:ascii="Calibri" w:hAnsi="Calibri"/>
                <w:szCs w:val="21"/>
              </w:rPr>
              <w:t>2</w:t>
            </w:r>
            <w:r>
              <w:rPr>
                <w:rFonts w:ascii="Calibri" w:hAnsi="Calibri"/>
                <w:szCs w:val="21"/>
              </w:rPr>
              <w:t>0%</w:t>
            </w:r>
          </w:p>
        </w:tc>
        <w:tc>
          <w:tcPr>
            <w:tcW w:w="406" w:type="pct"/>
            <w:vAlign w:val="center"/>
          </w:tcPr>
          <w:p w14:paraId="18496467">
            <w:pPr>
              <w:jc w:val="center"/>
              <w:rPr>
                <w:rFonts w:ascii="Calibri" w:hAnsi="Calibri"/>
                <w:szCs w:val="21"/>
              </w:rPr>
            </w:pPr>
            <w:r>
              <w:rPr>
                <w:rFonts w:ascii="Calibri" w:hAnsi="Calibri"/>
                <w:szCs w:val="21"/>
              </w:rPr>
              <w:t>100%</w:t>
            </w:r>
          </w:p>
        </w:tc>
        <w:tc>
          <w:tcPr>
            <w:tcW w:w="510" w:type="pct"/>
            <w:vAlign w:val="center"/>
          </w:tcPr>
          <w:p w14:paraId="529D76F3">
            <w:pPr>
              <w:jc w:val="center"/>
              <w:rPr>
                <w:rFonts w:ascii="Calibri" w:hAnsi="Calibri"/>
                <w:szCs w:val="21"/>
              </w:rPr>
            </w:pPr>
          </w:p>
        </w:tc>
      </w:tr>
    </w:tbl>
    <w:p w14:paraId="74CDC71C">
      <w:pPr>
        <w:adjustRightInd w:val="0"/>
        <w:snapToGrid w:val="0"/>
        <w:spacing w:before="120" w:beforeLines="50" w:line="360" w:lineRule="auto"/>
        <w:ind w:firstLine="560" w:firstLineChars="200"/>
        <w:rPr>
          <w:sz w:val="28"/>
          <w:szCs w:val="28"/>
        </w:rPr>
      </w:pPr>
      <w:r>
        <w:rPr>
          <w:sz w:val="28"/>
          <w:szCs w:val="28"/>
        </w:rPr>
        <w:t>4、问卷调查公众意见采纳情况</w:t>
      </w:r>
    </w:p>
    <w:p w14:paraId="155C6A32">
      <w:pPr>
        <w:adjustRightInd w:val="0"/>
        <w:snapToGrid w:val="0"/>
        <w:spacing w:line="360" w:lineRule="auto"/>
        <w:ind w:firstLine="560" w:firstLineChars="200"/>
        <w:rPr>
          <w:sz w:val="28"/>
          <w:szCs w:val="28"/>
        </w:rPr>
      </w:pPr>
      <w:r>
        <w:rPr>
          <w:sz w:val="28"/>
          <w:szCs w:val="28"/>
        </w:rPr>
        <w:t>本次针对公众参与调查问卷表的当地群众重点关注的问题进行了采纳，具体采纳的意见为：</w:t>
      </w:r>
    </w:p>
    <w:p w14:paraId="1562BEBB">
      <w:pPr>
        <w:adjustRightInd w:val="0"/>
        <w:snapToGrid w:val="0"/>
        <w:spacing w:line="360" w:lineRule="auto"/>
        <w:ind w:firstLine="560" w:firstLineChars="200"/>
        <w:rPr>
          <w:sz w:val="28"/>
          <w:szCs w:val="28"/>
        </w:rPr>
      </w:pPr>
      <w:r>
        <w:rPr>
          <w:sz w:val="28"/>
          <w:szCs w:val="28"/>
        </w:rPr>
        <w:t>（1）闭坑后的地面工业场地尽可能复垦为</w:t>
      </w:r>
      <w:r>
        <w:rPr>
          <w:rFonts w:hint="eastAsia"/>
          <w:sz w:val="28"/>
          <w:szCs w:val="28"/>
        </w:rPr>
        <w:t>草地、林地</w:t>
      </w:r>
      <w:r>
        <w:rPr>
          <w:sz w:val="28"/>
          <w:szCs w:val="28"/>
        </w:rPr>
        <w:t>并与周边</w:t>
      </w:r>
      <w:r>
        <w:rPr>
          <w:rFonts w:hint="eastAsia"/>
          <w:sz w:val="28"/>
          <w:szCs w:val="28"/>
        </w:rPr>
        <w:t>土地类型</w:t>
      </w:r>
      <w:r>
        <w:rPr>
          <w:sz w:val="28"/>
          <w:szCs w:val="28"/>
        </w:rPr>
        <w:t>衔接</w:t>
      </w:r>
      <w:r>
        <w:rPr>
          <w:rFonts w:hint="eastAsia"/>
          <w:sz w:val="28"/>
          <w:szCs w:val="28"/>
        </w:rPr>
        <w:t>。</w:t>
      </w:r>
    </w:p>
    <w:p w14:paraId="083BD91D">
      <w:pPr>
        <w:adjustRightInd w:val="0"/>
        <w:snapToGrid w:val="0"/>
        <w:spacing w:line="360" w:lineRule="auto"/>
        <w:ind w:firstLine="560" w:firstLineChars="200"/>
        <w:rPr>
          <w:sz w:val="28"/>
          <w:szCs w:val="28"/>
        </w:rPr>
      </w:pPr>
      <w:r>
        <w:rPr>
          <w:sz w:val="28"/>
          <w:szCs w:val="28"/>
        </w:rPr>
        <w:t>意见内容：被调查群众希望闭坑后工业场地尽量复垦为</w:t>
      </w:r>
      <w:r>
        <w:rPr>
          <w:rFonts w:hint="eastAsia"/>
          <w:sz w:val="28"/>
          <w:szCs w:val="28"/>
        </w:rPr>
        <w:t>林地、草地</w:t>
      </w:r>
      <w:r>
        <w:rPr>
          <w:sz w:val="28"/>
          <w:szCs w:val="28"/>
        </w:rPr>
        <w:t>，并配套道路与灌排工程，与周边</w:t>
      </w:r>
      <w:r>
        <w:rPr>
          <w:rFonts w:hint="eastAsia"/>
          <w:sz w:val="28"/>
          <w:szCs w:val="28"/>
        </w:rPr>
        <w:t>地类</w:t>
      </w:r>
      <w:r>
        <w:rPr>
          <w:sz w:val="28"/>
          <w:szCs w:val="28"/>
        </w:rPr>
        <w:t>衔接。</w:t>
      </w:r>
    </w:p>
    <w:p w14:paraId="7B04E474">
      <w:pPr>
        <w:adjustRightInd w:val="0"/>
        <w:snapToGrid w:val="0"/>
        <w:spacing w:line="360" w:lineRule="auto"/>
        <w:ind w:firstLine="560" w:firstLineChars="200"/>
        <w:rPr>
          <w:sz w:val="28"/>
          <w:szCs w:val="28"/>
        </w:rPr>
      </w:pPr>
      <w:r>
        <w:rPr>
          <w:sz w:val="28"/>
          <w:szCs w:val="28"/>
        </w:rPr>
        <w:t>采纳情况：予以采纳。该意见对于保障修复成果的长期稳定和区域土地利用协调具有重要意义。已在修复措施中“土壤重构”、“景观营造”等内容中，对于复垦为</w:t>
      </w:r>
      <w:r>
        <w:rPr>
          <w:rFonts w:hint="eastAsia"/>
          <w:sz w:val="28"/>
          <w:szCs w:val="28"/>
        </w:rPr>
        <w:t>草地</w:t>
      </w:r>
      <w:r>
        <w:rPr>
          <w:sz w:val="28"/>
          <w:szCs w:val="28"/>
        </w:rPr>
        <w:t>的区域，采取场地翻耕、客土回覆、土地平整、土壤施肥等措施，保障复垦</w:t>
      </w:r>
      <w:r>
        <w:rPr>
          <w:rFonts w:hint="eastAsia"/>
          <w:sz w:val="28"/>
          <w:szCs w:val="28"/>
        </w:rPr>
        <w:t>林地、草地</w:t>
      </w:r>
      <w:r>
        <w:rPr>
          <w:sz w:val="28"/>
          <w:szCs w:val="28"/>
        </w:rPr>
        <w:t>质量及与周边</w:t>
      </w:r>
      <w:r>
        <w:rPr>
          <w:rFonts w:hint="eastAsia"/>
          <w:sz w:val="28"/>
          <w:szCs w:val="28"/>
        </w:rPr>
        <w:t>地类</w:t>
      </w:r>
      <w:r>
        <w:rPr>
          <w:sz w:val="28"/>
          <w:szCs w:val="28"/>
        </w:rPr>
        <w:t>相协调。</w:t>
      </w:r>
    </w:p>
    <w:p w14:paraId="05BD3BD1">
      <w:pPr>
        <w:adjustRightInd w:val="0"/>
        <w:snapToGrid w:val="0"/>
        <w:spacing w:line="360" w:lineRule="auto"/>
        <w:ind w:firstLine="560" w:firstLineChars="200"/>
        <w:rPr>
          <w:sz w:val="28"/>
          <w:szCs w:val="28"/>
        </w:rPr>
      </w:pPr>
      <w:r>
        <w:rPr>
          <w:sz w:val="28"/>
          <w:szCs w:val="28"/>
        </w:rPr>
        <w:t>（2）林草地修复植被选型</w:t>
      </w:r>
    </w:p>
    <w:p w14:paraId="47AC7633">
      <w:pPr>
        <w:adjustRightInd w:val="0"/>
        <w:snapToGrid w:val="0"/>
        <w:spacing w:line="360" w:lineRule="auto"/>
        <w:ind w:firstLine="560" w:firstLineChars="200"/>
        <w:rPr>
          <w:sz w:val="28"/>
          <w:szCs w:val="28"/>
        </w:rPr>
      </w:pPr>
      <w:r>
        <w:rPr>
          <w:sz w:val="28"/>
          <w:szCs w:val="28"/>
        </w:rPr>
        <w:t>意见内容：植被恢复类型应选择当地物种，增加植被成活率。</w:t>
      </w:r>
    </w:p>
    <w:p w14:paraId="3E3F61FD">
      <w:pPr>
        <w:adjustRightInd w:val="0"/>
        <w:snapToGrid w:val="0"/>
        <w:spacing w:line="360" w:lineRule="auto"/>
        <w:ind w:firstLine="560" w:firstLineChars="200"/>
        <w:rPr>
          <w:sz w:val="28"/>
          <w:szCs w:val="28"/>
        </w:rPr>
      </w:pPr>
      <w:r>
        <w:rPr>
          <w:sz w:val="28"/>
          <w:szCs w:val="28"/>
        </w:rPr>
        <w:t>采纳情况：予以采纳。该意见符合生态修复原则，方案的“植被重建”章节中，明确了以乡土植物为主体的物种选择。</w:t>
      </w:r>
    </w:p>
    <w:p w14:paraId="209EEA20">
      <w:pPr>
        <w:adjustRightInd w:val="0"/>
        <w:snapToGrid w:val="0"/>
        <w:spacing w:line="360" w:lineRule="auto"/>
        <w:ind w:firstLine="560" w:firstLineChars="200"/>
        <w:rPr>
          <w:sz w:val="28"/>
          <w:szCs w:val="28"/>
        </w:rPr>
      </w:pPr>
      <w:r>
        <w:rPr>
          <w:sz w:val="28"/>
          <w:szCs w:val="28"/>
        </w:rPr>
        <w:t>（3）治理资金的保障</w:t>
      </w:r>
    </w:p>
    <w:p w14:paraId="0B887E7B">
      <w:pPr>
        <w:adjustRightInd w:val="0"/>
        <w:snapToGrid w:val="0"/>
        <w:spacing w:line="360" w:lineRule="auto"/>
        <w:ind w:firstLine="560" w:firstLineChars="200"/>
        <w:rPr>
          <w:sz w:val="28"/>
          <w:szCs w:val="28"/>
        </w:rPr>
      </w:pPr>
      <w:r>
        <w:rPr>
          <w:sz w:val="28"/>
          <w:szCs w:val="28"/>
        </w:rPr>
        <w:t>意见内容：被调查群众普遍认为治理资金的保障落实才是复垦治理的关键因素，应该由矿山企业拿出专项资金保障落实。</w:t>
      </w:r>
    </w:p>
    <w:p w14:paraId="0E68F8A6">
      <w:pPr>
        <w:adjustRightInd w:val="0"/>
        <w:snapToGrid w:val="0"/>
        <w:spacing w:line="360" w:lineRule="auto"/>
        <w:ind w:firstLine="560" w:firstLineChars="200"/>
        <w:rPr>
          <w:sz w:val="28"/>
          <w:szCs w:val="28"/>
        </w:rPr>
      </w:pPr>
      <w:r>
        <w:rPr>
          <w:sz w:val="28"/>
          <w:szCs w:val="28"/>
        </w:rPr>
        <w:t>采纳情况：予以采纳。该意见符合生态修复方案的责任主体落实，矿业权人作为本矿区生态修复的主体责任人，承诺将按照批复后的治理资金按期缴纳到治理专项基金账户中，保障落实治理资金。</w:t>
      </w:r>
    </w:p>
    <w:p w14:paraId="6C17A21D">
      <w:pPr>
        <w:adjustRightInd w:val="0"/>
        <w:snapToGrid w:val="0"/>
        <w:spacing w:line="360" w:lineRule="auto"/>
        <w:ind w:firstLine="562" w:firstLineChars="200"/>
        <w:outlineLvl w:val="2"/>
        <w:rPr>
          <w:b/>
          <w:bCs/>
          <w:sz w:val="28"/>
          <w:szCs w:val="28"/>
        </w:rPr>
      </w:pPr>
      <w:r>
        <w:rPr>
          <w:b/>
          <w:bCs/>
          <w:sz w:val="28"/>
          <w:szCs w:val="28"/>
        </w:rPr>
        <w:t>二、方案编制后的公众参与</w:t>
      </w:r>
    </w:p>
    <w:p w14:paraId="61B31A02">
      <w:pPr>
        <w:adjustRightInd w:val="0"/>
        <w:snapToGrid w:val="0"/>
        <w:spacing w:line="360" w:lineRule="auto"/>
        <w:ind w:firstLine="560" w:firstLineChars="200"/>
        <w:rPr>
          <w:sz w:val="28"/>
          <w:szCs w:val="28"/>
        </w:rPr>
      </w:pPr>
      <w:r>
        <w:rPr>
          <w:sz w:val="28"/>
          <w:szCs w:val="28"/>
        </w:rPr>
        <w:t>方案初稿形成后，矿业权人广泛听取了村民组、政府相关职能部门及土地权属人的意见。相关领导指出，方案的编制要因地制宜，合理规划，切实保障群众利益，对本次生态修复方案无原则性意见。在保证方案切实可行，实施方便，效果理想的前提下，兼顾企业生产成本，尽可能减轻企业负担。为此，方案编制人员在编制过程中不断地与矿方交换意见，并在对方案再一步进行修订完善后交予业主单位审阅，业主单位对本复垦方案无原则性意见。</w:t>
      </w:r>
    </w:p>
    <w:p w14:paraId="2EF9B916">
      <w:pPr>
        <w:adjustRightInd w:val="0"/>
        <w:snapToGrid w:val="0"/>
        <w:spacing w:line="360" w:lineRule="auto"/>
        <w:ind w:firstLine="562" w:firstLineChars="200"/>
        <w:outlineLvl w:val="2"/>
        <w:rPr>
          <w:b/>
          <w:bCs/>
          <w:sz w:val="28"/>
          <w:szCs w:val="28"/>
        </w:rPr>
      </w:pPr>
      <w:r>
        <w:rPr>
          <w:b/>
          <w:bCs/>
          <w:sz w:val="28"/>
          <w:szCs w:val="28"/>
        </w:rPr>
        <w:t>三、公众参与结论</w:t>
      </w:r>
    </w:p>
    <w:p w14:paraId="3D3E4C38">
      <w:pPr>
        <w:adjustRightInd w:val="0"/>
        <w:snapToGrid w:val="0"/>
        <w:spacing w:line="360" w:lineRule="auto"/>
        <w:ind w:firstLine="560" w:firstLineChars="200"/>
        <w:rPr>
          <w:sz w:val="28"/>
          <w:szCs w:val="28"/>
        </w:rPr>
      </w:pPr>
      <w:r>
        <w:rPr>
          <w:sz w:val="28"/>
          <w:szCs w:val="28"/>
        </w:rPr>
        <w:t>本次公众参与调查程序合规，反馈渠道畅通。被调查人员均表示已了解该项目的来由和实施意义，对项目实施均表示支持；绝大部分受调查者认为矿山开采对土地利用的影响是可以通过修复工程措施恢复的，对于复垦方向大部分都倾向于复垦为林</w:t>
      </w:r>
      <w:r>
        <w:rPr>
          <w:rFonts w:hint="eastAsia"/>
          <w:sz w:val="28"/>
          <w:szCs w:val="28"/>
        </w:rPr>
        <w:t>地、</w:t>
      </w:r>
      <w:r>
        <w:rPr>
          <w:sz w:val="28"/>
          <w:szCs w:val="28"/>
        </w:rPr>
        <w:t>草地，对于复垦实施的关键因素主要都认为是矿山企业对治理资金的保障。在今后的生产过程中，矿山企业需保证修复措施的实施，确保方案落到实处，接受群众监督，从参与机制上保证该地区的可持续发展。</w:t>
      </w:r>
    </w:p>
    <w:p w14:paraId="19FEE846">
      <w:pPr>
        <w:pStyle w:val="4"/>
        <w:spacing w:before="120" w:beforeLines="50"/>
        <w:rPr>
          <w:rFonts w:ascii="Times New Roman" w:hAnsi="Times New Roman"/>
          <w:sz w:val="28"/>
          <w:szCs w:val="28"/>
        </w:rPr>
      </w:pPr>
      <w:bookmarkStart w:id="171" w:name="_Toc81"/>
      <w:r>
        <w:rPr>
          <w:rFonts w:ascii="Times New Roman" w:hAnsi="Times New Roman"/>
        </w:rPr>
        <w:t>第三节  效益分析</w:t>
      </w:r>
      <w:bookmarkEnd w:id="171"/>
    </w:p>
    <w:p w14:paraId="6321766E">
      <w:pPr>
        <w:adjustRightInd w:val="0"/>
        <w:snapToGrid w:val="0"/>
        <w:spacing w:line="360" w:lineRule="auto"/>
        <w:ind w:firstLine="562" w:firstLineChars="200"/>
        <w:outlineLvl w:val="2"/>
        <w:rPr>
          <w:b/>
          <w:bCs/>
          <w:sz w:val="28"/>
          <w:szCs w:val="28"/>
        </w:rPr>
      </w:pPr>
      <w:r>
        <w:rPr>
          <w:b/>
          <w:bCs/>
          <w:sz w:val="28"/>
          <w:szCs w:val="28"/>
        </w:rPr>
        <w:t>一、社会效益</w:t>
      </w:r>
    </w:p>
    <w:p w14:paraId="15C95239">
      <w:pPr>
        <w:adjustRightInd w:val="0"/>
        <w:snapToGrid w:val="0"/>
        <w:spacing w:line="360" w:lineRule="auto"/>
        <w:ind w:firstLine="560" w:firstLineChars="200"/>
        <w:rPr>
          <w:sz w:val="28"/>
          <w:szCs w:val="28"/>
        </w:rPr>
      </w:pPr>
      <w:r>
        <w:rPr>
          <w:sz w:val="28"/>
          <w:szCs w:val="28"/>
        </w:rPr>
        <w:t>1、通过矿山地质环境治理，减少工程建设对项目区群众生活和农业生产的影响，缓解人地矛盾，改善了人居环境，改善矿群关系，促进安全生产。</w:t>
      </w:r>
    </w:p>
    <w:p w14:paraId="67641CA3">
      <w:pPr>
        <w:adjustRightInd w:val="0"/>
        <w:snapToGrid w:val="0"/>
        <w:spacing w:line="360" w:lineRule="auto"/>
        <w:ind w:firstLine="560" w:firstLineChars="200"/>
        <w:rPr>
          <w:sz w:val="28"/>
          <w:szCs w:val="28"/>
        </w:rPr>
      </w:pPr>
      <w:r>
        <w:rPr>
          <w:sz w:val="28"/>
          <w:szCs w:val="28"/>
        </w:rPr>
        <w:t>2、基本消除了矿山开采遗留下的地质环境问题，还周边居民一个适宜生存的生活环境，显示了政府对当地人民负责的态度，显示有关部门治理矿山地质环境的决心和对人民的关切，也符合国家经济发展以最小的环境损失为代价的主旨。</w:t>
      </w:r>
    </w:p>
    <w:p w14:paraId="06AB8172">
      <w:pPr>
        <w:adjustRightInd w:val="0"/>
        <w:snapToGrid w:val="0"/>
        <w:spacing w:line="360" w:lineRule="auto"/>
        <w:ind w:firstLine="562" w:firstLineChars="200"/>
        <w:outlineLvl w:val="2"/>
        <w:rPr>
          <w:b/>
          <w:bCs/>
          <w:sz w:val="28"/>
          <w:szCs w:val="28"/>
        </w:rPr>
      </w:pPr>
      <w:r>
        <w:rPr>
          <w:b/>
          <w:bCs/>
          <w:sz w:val="28"/>
          <w:szCs w:val="28"/>
        </w:rPr>
        <w:t>二、环境效益</w:t>
      </w:r>
    </w:p>
    <w:p w14:paraId="7C9198ED">
      <w:pPr>
        <w:adjustRightInd w:val="0"/>
        <w:snapToGrid w:val="0"/>
        <w:spacing w:line="360" w:lineRule="auto"/>
        <w:ind w:firstLine="560" w:firstLineChars="200"/>
        <w:rPr>
          <w:sz w:val="28"/>
          <w:szCs w:val="28"/>
        </w:rPr>
      </w:pPr>
      <w:r>
        <w:rPr>
          <w:sz w:val="28"/>
          <w:szCs w:val="28"/>
        </w:rPr>
        <w:t>治理工程完成后，能使矿区重新披上绿装，使资源、环境与可持续发展协调一致。通过恢复植被并涵养水土，改善当地水土环境，环境效益十分明显。具体体现在如下几个方面：</w:t>
      </w:r>
    </w:p>
    <w:p w14:paraId="78A4A3DF">
      <w:pPr>
        <w:adjustRightInd w:val="0"/>
        <w:snapToGrid w:val="0"/>
        <w:spacing w:line="360" w:lineRule="auto"/>
        <w:ind w:firstLine="560" w:firstLineChars="200"/>
        <w:rPr>
          <w:sz w:val="28"/>
          <w:szCs w:val="28"/>
        </w:rPr>
      </w:pPr>
      <w:r>
        <w:rPr>
          <w:sz w:val="28"/>
          <w:szCs w:val="28"/>
        </w:rPr>
        <w:t>1、局部小气候得到改善：矿山地质环境治理工程使大片的因矿山开采占用损毁的土地改造成了林地、草地，大面积的植被恢复必将大大提高该地区的植被覆盖率，既改善了区域生态环境，又有利于生态良性循环。</w:t>
      </w:r>
    </w:p>
    <w:p w14:paraId="5F2F91E1">
      <w:pPr>
        <w:adjustRightInd w:val="0"/>
        <w:snapToGrid w:val="0"/>
        <w:spacing w:line="360" w:lineRule="auto"/>
        <w:ind w:firstLine="560" w:firstLineChars="200"/>
        <w:rPr>
          <w:sz w:val="28"/>
          <w:szCs w:val="28"/>
        </w:rPr>
      </w:pPr>
      <w:r>
        <w:rPr>
          <w:sz w:val="28"/>
          <w:szCs w:val="28"/>
        </w:rPr>
        <w:t>2、防风固沙，减少了水土流失：原来的废渣堆放区植被极其稀少，风蚀沙化严重，水土严重流失。经过覆土后恢复植被使得治理区的地表风蚀沙化现象得到根本控制。</w:t>
      </w:r>
    </w:p>
    <w:p w14:paraId="3EFC45EC">
      <w:pPr>
        <w:adjustRightInd w:val="0"/>
        <w:snapToGrid w:val="0"/>
        <w:spacing w:line="360" w:lineRule="auto"/>
        <w:ind w:firstLine="560" w:firstLineChars="200"/>
        <w:rPr>
          <w:sz w:val="28"/>
          <w:szCs w:val="28"/>
        </w:rPr>
      </w:pPr>
      <w:r>
        <w:rPr>
          <w:sz w:val="28"/>
          <w:szCs w:val="28"/>
        </w:rPr>
        <w:t>3、涵养水源，改良土壤：原有的废石堆堆放区造成地表高低不平，松散的固体废弃物不能保持植物生长所必需的水份，使得土地沙化加剧；有机质与N、P、K等元素含量也非常少。经过治理废弃物被清运、覆土，表层土壤结构被改善，提高了抗冲、抗蚀能力。</w:t>
      </w:r>
    </w:p>
    <w:p w14:paraId="6F1338C3">
      <w:pPr>
        <w:adjustRightInd w:val="0"/>
        <w:snapToGrid w:val="0"/>
        <w:spacing w:line="360" w:lineRule="auto"/>
        <w:ind w:firstLine="560" w:firstLineChars="200"/>
        <w:rPr>
          <w:sz w:val="28"/>
          <w:szCs w:val="28"/>
        </w:rPr>
      </w:pPr>
      <w:r>
        <w:rPr>
          <w:sz w:val="28"/>
          <w:szCs w:val="28"/>
        </w:rPr>
        <w:t>4、矿区景观格局的变化：矿山地质环境综合治理工程的实施使治理区域变绿；使矿区周围尘土飞扬的状况改变，矿区的天更蓝，矿区的空气更新鲜；从而创造一个较好的人居环境，人与自然的关系更加和谐。</w:t>
      </w:r>
    </w:p>
    <w:p w14:paraId="4F757C5D">
      <w:pPr>
        <w:adjustRightInd w:val="0"/>
        <w:snapToGrid w:val="0"/>
        <w:spacing w:line="360" w:lineRule="auto"/>
        <w:ind w:firstLine="562" w:firstLineChars="200"/>
        <w:outlineLvl w:val="2"/>
        <w:rPr>
          <w:b/>
          <w:bCs/>
          <w:sz w:val="28"/>
          <w:szCs w:val="28"/>
        </w:rPr>
      </w:pPr>
      <w:r>
        <w:rPr>
          <w:b/>
          <w:bCs/>
          <w:sz w:val="28"/>
          <w:szCs w:val="28"/>
        </w:rPr>
        <w:t>三、经济效益</w:t>
      </w:r>
    </w:p>
    <w:p w14:paraId="6930C86F">
      <w:pPr>
        <w:adjustRightInd w:val="0"/>
        <w:snapToGrid w:val="0"/>
        <w:spacing w:line="360" w:lineRule="auto"/>
        <w:ind w:firstLine="560" w:firstLineChars="200"/>
        <w:rPr>
          <w:sz w:val="28"/>
          <w:szCs w:val="28"/>
        </w:rPr>
      </w:pPr>
      <w:r>
        <w:rPr>
          <w:sz w:val="28"/>
          <w:szCs w:val="28"/>
        </w:rPr>
        <w:t>矿区生态修复工程经济效益主要由减灾效益和增值效益两部分组成。以减灾效益为主，增值效益为辅。实施矿山地质环境治理工程后，有效消除或减轻了地质灾害隐患，保护了人员生命财产及设备安全；其增值效益主要体现在废渣利用和经过治理的土地资源所产生的价值上。</w:t>
      </w:r>
    </w:p>
    <w:p w14:paraId="0F864390">
      <w:pPr>
        <w:adjustRightInd w:val="0"/>
        <w:snapToGrid w:val="0"/>
        <w:spacing w:line="360" w:lineRule="auto"/>
        <w:ind w:firstLine="560" w:firstLineChars="200"/>
        <w:rPr>
          <w:sz w:val="28"/>
          <w:szCs w:val="28"/>
        </w:rPr>
      </w:pPr>
      <w:r>
        <w:rPr>
          <w:sz w:val="28"/>
          <w:szCs w:val="28"/>
        </w:rPr>
        <w:t>经设计复垦林地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，复垦草地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，通过林地、草地的直接经营、资源产出或使用权流转获得的经济收益，并且通过改善区域生态环境、优化资源配置、降低社会成本，为区域经济发展提供长期支撑，其综合价值往往高于直接经济效益。</w:t>
      </w:r>
    </w:p>
    <w:bookmarkEnd w:id="164"/>
    <w:bookmarkEnd w:id="165"/>
    <w:p w14:paraId="2CDA9ABE">
      <w:pPr>
        <w:tabs>
          <w:tab w:val="left" w:pos="720"/>
        </w:tabs>
        <w:spacing w:line="360" w:lineRule="auto"/>
        <w:ind w:firstLine="560" w:firstLineChars="200"/>
        <w:rPr>
          <w:sz w:val="28"/>
          <w:szCs w:val="28"/>
        </w:rPr>
      </w:pPr>
      <w:r>
        <w:rPr>
          <w:sz w:val="28"/>
          <w:szCs w:val="28"/>
        </w:rPr>
        <w:t>实施矿区生态修复过程中，对废弃物的利用和废石废渣进行回收，可产生一定经济效益。主要为废石及拆除物可用于回填</w:t>
      </w:r>
      <w:r>
        <w:rPr>
          <w:rFonts w:hint="eastAsia"/>
          <w:sz w:val="28"/>
          <w:szCs w:val="28"/>
        </w:rPr>
        <w:t>废弃井筒</w:t>
      </w:r>
      <w:r>
        <w:rPr>
          <w:sz w:val="28"/>
          <w:szCs w:val="28"/>
        </w:rPr>
        <w:t>、垫坡等工程，节省了矿山治理费用，可产生一定的经济效益。</w:t>
      </w:r>
    </w:p>
    <w:p w14:paraId="596F4409">
      <w:pPr>
        <w:adjustRightInd w:val="0"/>
        <w:snapToGrid w:val="0"/>
        <w:spacing w:line="360" w:lineRule="auto"/>
        <w:ind w:firstLine="560" w:firstLineChars="200"/>
        <w:rPr>
          <w:sz w:val="28"/>
          <w:szCs w:val="28"/>
        </w:rPr>
        <w:sectPr>
          <w:headerReference r:id="rId24" w:type="default"/>
          <w:footerReference r:id="rId25" w:type="default"/>
          <w:pgSz w:w="11906" w:h="16838"/>
          <w:pgMar w:top="1219" w:right="1797" w:bottom="1440" w:left="1797" w:header="851" w:footer="992" w:gutter="0"/>
          <w:cols w:space="720" w:num="1"/>
          <w:docGrid w:linePitch="312" w:charSpace="0"/>
        </w:sectPr>
      </w:pPr>
    </w:p>
    <w:p w14:paraId="1C920562">
      <w:pPr>
        <w:pStyle w:val="3"/>
        <w:spacing w:line="360" w:lineRule="auto"/>
        <w:jc w:val="center"/>
        <w:rPr>
          <w:rFonts w:eastAsia="黑体"/>
          <w:bCs/>
        </w:rPr>
      </w:pPr>
      <w:bookmarkStart w:id="172" w:name="_Toc31791"/>
      <w:r>
        <w:rPr>
          <w:rFonts w:eastAsia="黑体"/>
          <w:bCs/>
        </w:rPr>
        <w:t>第八章  结论</w:t>
      </w:r>
      <w:bookmarkEnd w:id="172"/>
    </w:p>
    <w:p w14:paraId="28E53A99">
      <w:pPr>
        <w:spacing w:line="360" w:lineRule="auto"/>
        <w:ind w:firstLine="560"/>
        <w:rPr>
          <w:sz w:val="28"/>
          <w:szCs w:val="28"/>
        </w:rPr>
      </w:pPr>
      <w:bookmarkStart w:id="173" w:name="_Hlk239009797"/>
      <w:r>
        <w:rPr>
          <w:sz w:val="28"/>
          <w:szCs w:val="28"/>
        </w:rPr>
        <w:t>一、赤峰国富玄武岩矿</w:t>
      </w:r>
      <w:r>
        <w:rPr>
          <w:rFonts w:hint="eastAsia"/>
          <w:sz w:val="28"/>
          <w:szCs w:val="28"/>
          <w:lang w:val="en-US" w:eastAsia="zh-CN"/>
        </w:rPr>
        <w:t>有限公司</w:t>
      </w:r>
      <w:r>
        <w:rPr>
          <w:sz w:val="28"/>
          <w:szCs w:val="28"/>
        </w:rPr>
        <w:t>赤峰国富玄武岩矿矿区面积为</w:t>
      </w:r>
      <w:r>
        <w:rPr>
          <w:rFonts w:hint="eastAsia" w:ascii="宋体" w:hAnsi="宋体" w:cs="宋体"/>
          <w:spacing w:val="13"/>
          <w:sz w:val="32"/>
          <w:szCs w:val="32"/>
        </w:rPr>
        <w:t>***</w:t>
      </w:r>
      <w:r>
        <w:rPr>
          <w:sz w:val="28"/>
          <w:szCs w:val="28"/>
        </w:rPr>
        <w:t>km</w:t>
      </w:r>
      <w:r>
        <w:rPr>
          <w:sz w:val="28"/>
          <w:szCs w:val="28"/>
          <w:vertAlign w:val="superscript"/>
        </w:rPr>
        <w:t>2</w:t>
      </w:r>
      <w:r>
        <w:rPr>
          <w:sz w:val="28"/>
          <w:szCs w:val="28"/>
        </w:rPr>
        <w:t>，开采标高为</w:t>
      </w:r>
      <w:r>
        <w:rPr>
          <w:rFonts w:hint="eastAsia" w:ascii="宋体" w:hAnsi="宋体" w:cs="宋体"/>
          <w:spacing w:val="13"/>
          <w:sz w:val="32"/>
          <w:szCs w:val="32"/>
        </w:rPr>
        <w:t>***</w:t>
      </w:r>
      <w:r>
        <w:rPr>
          <w:sz w:val="28"/>
          <w:szCs w:val="28"/>
        </w:rPr>
        <w:t>～</w:t>
      </w:r>
      <w:r>
        <w:rPr>
          <w:rFonts w:hint="eastAsia" w:ascii="宋体" w:hAnsi="宋体" w:cs="宋体"/>
          <w:spacing w:val="13"/>
          <w:sz w:val="32"/>
          <w:szCs w:val="32"/>
        </w:rPr>
        <w:t>***</w:t>
      </w:r>
      <w:r>
        <w:rPr>
          <w:sz w:val="28"/>
          <w:szCs w:val="28"/>
        </w:rPr>
        <w:t>m，开采矿种：</w:t>
      </w:r>
      <w:r>
        <w:rPr>
          <w:rFonts w:hint="eastAsia"/>
          <w:sz w:val="28"/>
          <w:szCs w:val="28"/>
        </w:rPr>
        <w:t>建筑用玄武岩</w:t>
      </w:r>
      <w:r>
        <w:rPr>
          <w:sz w:val="28"/>
          <w:szCs w:val="28"/>
        </w:rPr>
        <w:t>。开采方式为露天开采。</w:t>
      </w:r>
    </w:p>
    <w:p w14:paraId="7D05C9AF">
      <w:pPr>
        <w:spacing w:line="360" w:lineRule="auto"/>
        <w:ind w:firstLine="560"/>
        <w:rPr>
          <w:sz w:val="28"/>
          <w:szCs w:val="28"/>
        </w:rPr>
      </w:pPr>
      <w:r>
        <w:rPr>
          <w:sz w:val="28"/>
          <w:szCs w:val="28"/>
        </w:rPr>
        <w:t>持有采矿许可证为202</w:t>
      </w:r>
      <w:r>
        <w:rPr>
          <w:rFonts w:hint="eastAsia"/>
          <w:sz w:val="28"/>
          <w:szCs w:val="28"/>
        </w:rPr>
        <w:t>2</w:t>
      </w:r>
      <w:r>
        <w:rPr>
          <w:sz w:val="28"/>
          <w:szCs w:val="28"/>
        </w:rPr>
        <w:t>年</w:t>
      </w:r>
      <w:r>
        <w:rPr>
          <w:rFonts w:hint="eastAsia" w:ascii="宋体" w:hAnsi="宋体" w:cs="宋体"/>
          <w:spacing w:val="13"/>
          <w:sz w:val="32"/>
          <w:szCs w:val="32"/>
        </w:rPr>
        <w:t>***</w:t>
      </w:r>
      <w:r>
        <w:rPr>
          <w:sz w:val="28"/>
          <w:szCs w:val="28"/>
        </w:rPr>
        <w:t>月取得，</w:t>
      </w:r>
      <w:r>
        <w:rPr>
          <w:rFonts w:hint="eastAsia"/>
          <w:sz w:val="28"/>
          <w:szCs w:val="28"/>
        </w:rPr>
        <w:t>生产规模为</w:t>
      </w:r>
      <w:r>
        <w:rPr>
          <w:rFonts w:hint="eastAsia" w:ascii="宋体" w:hAnsi="宋体" w:cs="宋体"/>
          <w:spacing w:val="13"/>
          <w:sz w:val="32"/>
          <w:szCs w:val="32"/>
        </w:rPr>
        <w:t>***</w:t>
      </w:r>
      <w:r>
        <w:rPr>
          <w:rFonts w:hint="eastAsia"/>
          <w:sz w:val="28"/>
          <w:szCs w:val="28"/>
        </w:rPr>
        <w:t>万吨/年；有效期2022年</w:t>
      </w:r>
      <w:r>
        <w:rPr>
          <w:rFonts w:hint="eastAsia" w:ascii="宋体" w:hAnsi="宋体" w:cs="宋体"/>
          <w:spacing w:val="13"/>
          <w:sz w:val="32"/>
          <w:szCs w:val="32"/>
        </w:rPr>
        <w:t>***</w:t>
      </w:r>
      <w:r>
        <w:rPr>
          <w:rFonts w:hint="eastAsia"/>
          <w:sz w:val="28"/>
          <w:szCs w:val="28"/>
        </w:rPr>
        <w:t>月</w:t>
      </w:r>
      <w:r>
        <w:rPr>
          <w:rFonts w:hint="eastAsia" w:ascii="宋体" w:hAnsi="宋体" w:cs="宋体"/>
          <w:spacing w:val="13"/>
          <w:sz w:val="32"/>
          <w:szCs w:val="32"/>
        </w:rPr>
        <w:t>***</w:t>
      </w:r>
      <w:r>
        <w:rPr>
          <w:rFonts w:hint="eastAsia"/>
          <w:sz w:val="28"/>
          <w:szCs w:val="28"/>
        </w:rPr>
        <w:t>日至2025年</w:t>
      </w:r>
      <w:r>
        <w:rPr>
          <w:rFonts w:hint="eastAsia" w:ascii="宋体" w:hAnsi="宋体" w:cs="宋体"/>
          <w:spacing w:val="13"/>
          <w:sz w:val="32"/>
          <w:szCs w:val="32"/>
        </w:rPr>
        <w:t>***</w:t>
      </w:r>
      <w:r>
        <w:rPr>
          <w:rFonts w:hint="eastAsia"/>
          <w:sz w:val="28"/>
          <w:szCs w:val="28"/>
        </w:rPr>
        <w:t>月</w:t>
      </w:r>
      <w:r>
        <w:rPr>
          <w:rFonts w:hint="eastAsia" w:ascii="宋体" w:hAnsi="宋体" w:cs="宋体"/>
          <w:spacing w:val="13"/>
          <w:sz w:val="32"/>
          <w:szCs w:val="32"/>
        </w:rPr>
        <w:t>***</w:t>
      </w:r>
      <w:r>
        <w:rPr>
          <w:rFonts w:hint="eastAsia"/>
          <w:sz w:val="28"/>
          <w:szCs w:val="28"/>
        </w:rPr>
        <w:t>日，现采矿权已过有效期限，需办理采矿权延续手续。</w:t>
      </w:r>
    </w:p>
    <w:p w14:paraId="62173110">
      <w:pPr>
        <w:spacing w:line="360" w:lineRule="auto"/>
        <w:ind w:firstLine="560"/>
        <w:rPr>
          <w:sz w:val="28"/>
          <w:szCs w:val="28"/>
        </w:rPr>
      </w:pPr>
      <w:r>
        <w:rPr>
          <w:sz w:val="28"/>
          <w:szCs w:val="28"/>
        </w:rPr>
        <w:t>二、</w:t>
      </w:r>
      <w:r>
        <w:rPr>
          <w:rFonts w:hint="eastAsia"/>
          <w:sz w:val="28"/>
          <w:szCs w:val="28"/>
        </w:rPr>
        <w:t>矿山生产服务年限</w:t>
      </w:r>
      <w:r>
        <w:rPr>
          <w:rFonts w:hint="eastAsia" w:ascii="宋体" w:hAnsi="宋体" w:cs="宋体"/>
          <w:spacing w:val="13"/>
          <w:sz w:val="32"/>
          <w:szCs w:val="32"/>
        </w:rPr>
        <w:t>***</w:t>
      </w:r>
      <w:r>
        <w:rPr>
          <w:rFonts w:hint="eastAsia"/>
          <w:sz w:val="28"/>
          <w:szCs w:val="28"/>
        </w:rPr>
        <w:t>年，依据《金属矿土地复垦与生态修复技术规范》（</w:t>
      </w:r>
      <w:r>
        <w:rPr>
          <w:rFonts w:hint="eastAsia" w:ascii="宋体" w:hAnsi="宋体" w:cs="宋体"/>
          <w:spacing w:val="13"/>
          <w:sz w:val="32"/>
          <w:szCs w:val="32"/>
        </w:rPr>
        <w:t>***</w:t>
      </w:r>
      <w:r>
        <w:rPr>
          <w:rFonts w:hint="eastAsia"/>
          <w:sz w:val="28"/>
          <w:szCs w:val="28"/>
        </w:rPr>
        <w:t>43933-2024）</w:t>
      </w:r>
      <w:r>
        <w:rPr>
          <w:rFonts w:hint="eastAsia" w:ascii="宋体" w:hAnsi="宋体" w:cs="宋体"/>
          <w:spacing w:val="13"/>
          <w:sz w:val="32"/>
          <w:szCs w:val="32"/>
        </w:rPr>
        <w:t>***</w:t>
      </w:r>
      <w:r>
        <w:rPr>
          <w:rFonts w:hint="eastAsia"/>
          <w:sz w:val="28"/>
          <w:szCs w:val="28"/>
        </w:rPr>
        <w:t>矿山后续管护期一般宜为</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年，本方案计划后续修复管护期为</w:t>
      </w:r>
      <w:r>
        <w:rPr>
          <w:rFonts w:hint="eastAsia" w:ascii="宋体" w:hAnsi="宋体" w:cs="宋体"/>
          <w:spacing w:val="13"/>
          <w:sz w:val="32"/>
          <w:szCs w:val="32"/>
        </w:rPr>
        <w:t>***</w:t>
      </w:r>
      <w:r>
        <w:rPr>
          <w:rFonts w:hint="eastAsia"/>
          <w:sz w:val="28"/>
          <w:szCs w:val="28"/>
        </w:rPr>
        <w:t>年，据此确定本方案服务年限为</w:t>
      </w:r>
      <w:r>
        <w:rPr>
          <w:rFonts w:hint="eastAsia" w:ascii="宋体" w:hAnsi="宋体" w:cs="宋体"/>
          <w:spacing w:val="13"/>
          <w:sz w:val="32"/>
          <w:szCs w:val="32"/>
        </w:rPr>
        <w:t>***</w:t>
      </w:r>
      <w:r>
        <w:rPr>
          <w:rFonts w:hint="eastAsia"/>
          <w:sz w:val="28"/>
          <w:szCs w:val="28"/>
        </w:rPr>
        <w:t>年，即2027年</w:t>
      </w:r>
      <w:r>
        <w:rPr>
          <w:rFonts w:hint="eastAsia" w:ascii="宋体" w:hAnsi="宋体" w:cs="宋体"/>
          <w:spacing w:val="13"/>
          <w:sz w:val="32"/>
          <w:szCs w:val="32"/>
        </w:rPr>
        <w:t>***</w:t>
      </w:r>
      <w:r>
        <w:rPr>
          <w:rFonts w:hint="eastAsia"/>
          <w:sz w:val="28"/>
          <w:szCs w:val="28"/>
        </w:rPr>
        <w:t>月至2036年</w:t>
      </w:r>
      <w:r>
        <w:rPr>
          <w:rFonts w:hint="eastAsia" w:ascii="宋体" w:hAnsi="宋体" w:cs="宋体"/>
          <w:spacing w:val="13"/>
          <w:sz w:val="32"/>
          <w:szCs w:val="32"/>
        </w:rPr>
        <w:t>***</w:t>
      </w:r>
      <w:r>
        <w:rPr>
          <w:rFonts w:hint="eastAsia"/>
          <w:sz w:val="28"/>
          <w:szCs w:val="28"/>
        </w:rPr>
        <w:t>月。方案执行起始时间为2026年</w:t>
      </w:r>
      <w:r>
        <w:rPr>
          <w:rFonts w:hint="eastAsia" w:ascii="宋体" w:hAnsi="宋体" w:cs="宋体"/>
          <w:spacing w:val="13"/>
          <w:sz w:val="32"/>
          <w:szCs w:val="32"/>
        </w:rPr>
        <w:t>***</w:t>
      </w:r>
      <w:r>
        <w:rPr>
          <w:rFonts w:hint="eastAsia"/>
          <w:sz w:val="28"/>
          <w:szCs w:val="28"/>
        </w:rPr>
        <w:t>月。</w:t>
      </w:r>
    </w:p>
    <w:p w14:paraId="2EC221A2">
      <w:pPr>
        <w:spacing w:line="360" w:lineRule="auto"/>
        <w:ind w:firstLine="560"/>
        <w:rPr>
          <w:sz w:val="28"/>
          <w:szCs w:val="28"/>
        </w:rPr>
      </w:pPr>
      <w:r>
        <w:rPr>
          <w:sz w:val="28"/>
          <w:szCs w:val="28"/>
        </w:rPr>
        <w:t>三、</w:t>
      </w:r>
      <w:r>
        <w:rPr>
          <w:snapToGrid w:val="0"/>
          <w:sz w:val="28"/>
          <w:szCs w:val="28"/>
        </w:rPr>
        <w:t>综上所述矿区生态修复范围为矿区范围及影响区范围，则矿区生态修复范围总面积</w:t>
      </w:r>
      <w:r>
        <w:rPr>
          <w:rFonts w:hint="eastAsia" w:ascii="宋体" w:hAnsi="宋体" w:cs="宋体"/>
          <w:spacing w:val="13"/>
          <w:sz w:val="32"/>
          <w:szCs w:val="32"/>
        </w:rPr>
        <w:t>***</w:t>
      </w:r>
      <w:r>
        <w:rPr>
          <w:rFonts w:hint="eastAsia"/>
          <w:snapToGrid w:val="0"/>
          <w:sz w:val="28"/>
          <w:szCs w:val="28"/>
        </w:rPr>
        <w:t>h</w:t>
      </w:r>
      <w:r>
        <w:rPr>
          <w:snapToGrid w:val="0"/>
          <w:sz w:val="28"/>
          <w:szCs w:val="28"/>
        </w:rPr>
        <w:t>m²。</w:t>
      </w:r>
    </w:p>
    <w:p w14:paraId="68911020">
      <w:pPr>
        <w:spacing w:line="360" w:lineRule="auto"/>
        <w:ind w:firstLine="560"/>
        <w:rPr>
          <w:sz w:val="28"/>
          <w:szCs w:val="28"/>
        </w:rPr>
      </w:pPr>
      <w:r>
        <w:rPr>
          <w:sz w:val="28"/>
          <w:szCs w:val="28"/>
        </w:rPr>
        <w:t>四、生态修复范围内根据地质环境破坏问题、土地资源损毁问题、生态系统受损问题，综合评价</w:t>
      </w:r>
      <w:r>
        <w:rPr>
          <w:rFonts w:hint="eastAsia"/>
          <w:sz w:val="28"/>
          <w:szCs w:val="28"/>
        </w:rPr>
        <w:t>拟建露天采场、拟建排土场、拟建办公生活区、拟建截洪沟、拟建矿区道路、露天采场（矿证外）、</w:t>
      </w:r>
      <w:r>
        <w:rPr>
          <w:rFonts w:hint="eastAsia"/>
          <w:snapToGrid w:val="0"/>
          <w:sz w:val="28"/>
          <w:szCs w:val="28"/>
        </w:rPr>
        <w:t>工业场地、废石场1、废石场2、钻机平台、生活区、办公区、门卫、矿区道路</w:t>
      </w:r>
      <w:r>
        <w:rPr>
          <w:sz w:val="28"/>
          <w:szCs w:val="28"/>
        </w:rPr>
        <w:t>对矿区生态修复影响程度为重度，总面积</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p>
    <w:p w14:paraId="20249862">
      <w:pPr>
        <w:spacing w:line="360" w:lineRule="auto"/>
        <w:ind w:firstLine="560"/>
        <w:rPr>
          <w:sz w:val="28"/>
          <w:szCs w:val="28"/>
        </w:rPr>
      </w:pPr>
      <w:r>
        <w:rPr>
          <w:rFonts w:hint="eastAsia"/>
          <w:sz w:val="28"/>
          <w:szCs w:val="28"/>
        </w:rPr>
        <w:t>废石场3</w:t>
      </w:r>
      <w:r>
        <w:rPr>
          <w:sz w:val="28"/>
          <w:szCs w:val="28"/>
        </w:rPr>
        <w:t>对矿区生态修复影响程度为中度，总面积</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p>
    <w:p w14:paraId="36F6ABA3">
      <w:pPr>
        <w:spacing w:line="360" w:lineRule="auto"/>
        <w:ind w:firstLine="560"/>
        <w:rPr>
          <w:sz w:val="28"/>
          <w:szCs w:val="28"/>
        </w:rPr>
      </w:pPr>
      <w:r>
        <w:rPr>
          <w:sz w:val="28"/>
          <w:szCs w:val="28"/>
        </w:rPr>
        <w:t>五、矿区建设损毁乔木林地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、灌木林地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、其他草地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、采矿用地</w:t>
      </w:r>
      <w:r>
        <w:rPr>
          <w:rFonts w:hint="eastAsia" w:ascii="宋体" w:hAnsi="宋体" w:cs="宋体"/>
          <w:spacing w:val="13"/>
          <w:sz w:val="32"/>
          <w:szCs w:val="32"/>
        </w:rPr>
        <w:t>***</w:t>
      </w:r>
      <w:r>
        <w:rPr>
          <w:rFonts w:hint="eastAsia"/>
          <w:sz w:val="28"/>
          <w:szCs w:val="28"/>
        </w:rPr>
        <w:t>2</w:t>
      </w:r>
      <w:r>
        <w:rPr>
          <w:sz w:val="28"/>
          <w:szCs w:val="28"/>
        </w:rPr>
        <w:t>m</w:t>
      </w:r>
      <w:r>
        <w:rPr>
          <w:sz w:val="28"/>
          <w:szCs w:val="28"/>
          <w:vertAlign w:val="superscript"/>
        </w:rPr>
        <w:t>2</w:t>
      </w:r>
      <w:r>
        <w:rPr>
          <w:sz w:val="28"/>
          <w:szCs w:val="28"/>
        </w:rPr>
        <w:t>、农村道路</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等，合计损毁土地面积</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w:t>
      </w:r>
    </w:p>
    <w:p w14:paraId="3023635C">
      <w:pPr>
        <w:spacing w:line="360" w:lineRule="auto"/>
        <w:ind w:firstLine="560"/>
        <w:rPr>
          <w:sz w:val="28"/>
          <w:szCs w:val="28"/>
        </w:rPr>
      </w:pPr>
      <w:r>
        <w:rPr>
          <w:sz w:val="28"/>
          <w:szCs w:val="28"/>
        </w:rPr>
        <w:t>根据因地制宜、复垦后土地可持续利用原则以及综合效益等原则，本次复垦方向为</w:t>
      </w:r>
      <w:r>
        <w:rPr>
          <w:rFonts w:hint="eastAsia"/>
          <w:sz w:val="28"/>
          <w:szCs w:val="28"/>
        </w:rPr>
        <w:t>灌木</w:t>
      </w:r>
      <w:r>
        <w:rPr>
          <w:sz w:val="28"/>
          <w:szCs w:val="28"/>
        </w:rPr>
        <w:t>林地、人工牧草地；复垦林地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，占复垦总面积的</w:t>
      </w:r>
      <w:r>
        <w:rPr>
          <w:rFonts w:hint="eastAsia" w:ascii="宋体" w:hAnsi="宋体" w:cs="宋体"/>
          <w:spacing w:val="13"/>
          <w:sz w:val="32"/>
          <w:szCs w:val="32"/>
        </w:rPr>
        <w:t>***</w:t>
      </w:r>
      <w:r>
        <w:rPr>
          <w:sz w:val="28"/>
          <w:szCs w:val="28"/>
        </w:rPr>
        <w:t>%，复垦草地</w:t>
      </w:r>
      <w:r>
        <w:rPr>
          <w:rFonts w:hint="eastAsia" w:ascii="宋体" w:hAnsi="宋体" w:cs="宋体"/>
          <w:spacing w:val="13"/>
          <w:sz w:val="32"/>
          <w:szCs w:val="32"/>
        </w:rPr>
        <w:t>***</w:t>
      </w:r>
      <w:r>
        <w:rPr>
          <w:sz w:val="28"/>
          <w:szCs w:val="28"/>
        </w:rPr>
        <w:t>m</w:t>
      </w:r>
      <w:r>
        <w:rPr>
          <w:sz w:val="28"/>
          <w:szCs w:val="28"/>
          <w:vertAlign w:val="superscript"/>
        </w:rPr>
        <w:t>2</w:t>
      </w:r>
      <w:r>
        <w:rPr>
          <w:sz w:val="28"/>
          <w:szCs w:val="28"/>
        </w:rPr>
        <w:t>，占复垦总面积的</w:t>
      </w:r>
      <w:r>
        <w:rPr>
          <w:rFonts w:hint="eastAsia" w:ascii="宋体" w:hAnsi="宋体" w:cs="宋体"/>
          <w:spacing w:val="13"/>
          <w:sz w:val="32"/>
          <w:szCs w:val="32"/>
        </w:rPr>
        <w:t>***</w:t>
      </w:r>
      <w:r>
        <w:rPr>
          <w:sz w:val="28"/>
          <w:szCs w:val="28"/>
        </w:rPr>
        <w:t>%。</w:t>
      </w:r>
    </w:p>
    <w:p w14:paraId="58A77D6A">
      <w:pPr>
        <w:spacing w:line="360" w:lineRule="auto"/>
        <w:ind w:firstLine="560"/>
        <w:rPr>
          <w:sz w:val="28"/>
          <w:szCs w:val="28"/>
        </w:rPr>
      </w:pPr>
      <w:r>
        <w:rPr>
          <w:sz w:val="28"/>
          <w:szCs w:val="28"/>
        </w:rPr>
        <w:t>六、矿区生态修复总体部署划分为三个阶段：分别为</w:t>
      </w:r>
      <w:r>
        <w:rPr>
          <w:rFonts w:hint="eastAsia"/>
          <w:sz w:val="28"/>
          <w:szCs w:val="28"/>
        </w:rPr>
        <w:t>近</w:t>
      </w:r>
      <w:r>
        <w:rPr>
          <w:rFonts w:hint="eastAsia" w:ascii="宋体" w:hAnsi="宋体" w:cs="宋体"/>
          <w:spacing w:val="13"/>
          <w:sz w:val="32"/>
          <w:szCs w:val="32"/>
        </w:rPr>
        <w:t>***</w:t>
      </w:r>
      <w:r>
        <w:rPr>
          <w:rFonts w:hint="eastAsia"/>
          <w:sz w:val="28"/>
          <w:szCs w:val="28"/>
        </w:rPr>
        <w:t>年</w:t>
      </w:r>
      <w:r>
        <w:rPr>
          <w:sz w:val="28"/>
          <w:szCs w:val="28"/>
        </w:rPr>
        <w:t>（</w:t>
      </w:r>
      <w:r>
        <w:rPr>
          <w:rFonts w:hint="eastAsia" w:ascii="宋体" w:hAnsi="宋体" w:cs="宋体"/>
          <w:spacing w:val="13"/>
          <w:sz w:val="32"/>
          <w:szCs w:val="32"/>
        </w:rPr>
        <w:t>***</w:t>
      </w:r>
      <w:r>
        <w:rPr>
          <w:sz w:val="28"/>
          <w:szCs w:val="28"/>
        </w:rPr>
        <w:t>年</w:t>
      </w:r>
      <w:r>
        <w:rPr>
          <w:rFonts w:hint="eastAsia"/>
          <w:sz w:val="28"/>
          <w:szCs w:val="28"/>
        </w:rPr>
        <w:t>1</w:t>
      </w:r>
      <w:r>
        <w:rPr>
          <w:sz w:val="28"/>
          <w:szCs w:val="28"/>
        </w:rPr>
        <w:t>月至</w:t>
      </w:r>
      <w:r>
        <w:rPr>
          <w:rFonts w:hint="eastAsia" w:ascii="宋体" w:hAnsi="宋体" w:cs="宋体"/>
          <w:spacing w:val="13"/>
          <w:sz w:val="32"/>
          <w:szCs w:val="32"/>
        </w:rPr>
        <w:t>***</w:t>
      </w:r>
      <w:r>
        <w:rPr>
          <w:sz w:val="28"/>
          <w:szCs w:val="28"/>
        </w:rPr>
        <w:t>年</w:t>
      </w:r>
      <w:r>
        <w:rPr>
          <w:rFonts w:hint="eastAsia" w:ascii="宋体" w:hAnsi="宋体" w:cs="宋体"/>
          <w:spacing w:val="13"/>
          <w:sz w:val="32"/>
          <w:szCs w:val="32"/>
        </w:rPr>
        <w:t>***</w:t>
      </w:r>
      <w:r>
        <w:rPr>
          <w:sz w:val="28"/>
          <w:szCs w:val="28"/>
        </w:rPr>
        <w:t>月）、生产期</w:t>
      </w:r>
      <w:r>
        <w:rPr>
          <w:rFonts w:hint="eastAsia" w:ascii="宋体" w:hAnsi="宋体" w:cs="宋体"/>
          <w:spacing w:val="13"/>
          <w:sz w:val="32"/>
          <w:szCs w:val="32"/>
        </w:rPr>
        <w:t>***</w:t>
      </w:r>
      <w:r>
        <w:rPr>
          <w:sz w:val="28"/>
          <w:szCs w:val="28"/>
        </w:rPr>
        <w:t>年（</w:t>
      </w:r>
      <w:r>
        <w:rPr>
          <w:rFonts w:hint="eastAsia" w:ascii="宋体" w:hAnsi="宋体" w:cs="宋体"/>
          <w:spacing w:val="13"/>
          <w:sz w:val="32"/>
          <w:szCs w:val="32"/>
        </w:rPr>
        <w:t>***</w:t>
      </w:r>
      <w:r>
        <w:rPr>
          <w:sz w:val="28"/>
          <w:szCs w:val="28"/>
        </w:rPr>
        <w:t>年</w:t>
      </w:r>
      <w:r>
        <w:rPr>
          <w:rFonts w:hint="eastAsia" w:ascii="宋体" w:hAnsi="宋体" w:cs="宋体"/>
          <w:spacing w:val="13"/>
          <w:sz w:val="32"/>
          <w:szCs w:val="32"/>
        </w:rPr>
        <w:t>***</w:t>
      </w:r>
      <w:r>
        <w:rPr>
          <w:sz w:val="28"/>
          <w:szCs w:val="28"/>
        </w:rPr>
        <w:t>月至</w:t>
      </w:r>
      <w:r>
        <w:rPr>
          <w:rFonts w:hint="eastAsia" w:ascii="宋体" w:hAnsi="宋体" w:cs="宋体"/>
          <w:spacing w:val="13"/>
          <w:sz w:val="32"/>
          <w:szCs w:val="32"/>
        </w:rPr>
        <w:t>***</w:t>
      </w:r>
      <w:r>
        <w:rPr>
          <w:sz w:val="28"/>
          <w:szCs w:val="28"/>
        </w:rPr>
        <w:t>年</w:t>
      </w:r>
      <w:r>
        <w:rPr>
          <w:rFonts w:hint="eastAsia" w:ascii="宋体" w:hAnsi="宋体" w:cs="宋体"/>
          <w:spacing w:val="13"/>
          <w:sz w:val="32"/>
          <w:szCs w:val="32"/>
        </w:rPr>
        <w:t>***</w:t>
      </w:r>
      <w:r>
        <w:rPr>
          <w:sz w:val="28"/>
          <w:szCs w:val="28"/>
        </w:rPr>
        <w:t>月）、终采后的治理与管护期</w:t>
      </w:r>
      <w:r>
        <w:rPr>
          <w:rFonts w:hint="eastAsia" w:ascii="宋体" w:hAnsi="宋体" w:cs="宋体"/>
          <w:spacing w:val="13"/>
          <w:sz w:val="32"/>
          <w:szCs w:val="32"/>
        </w:rPr>
        <w:t>***</w:t>
      </w:r>
      <w:r>
        <w:rPr>
          <w:sz w:val="28"/>
          <w:szCs w:val="28"/>
        </w:rPr>
        <w:t>年（</w:t>
      </w:r>
      <w:r>
        <w:rPr>
          <w:rFonts w:hint="eastAsia" w:ascii="宋体" w:hAnsi="宋体" w:cs="宋体"/>
          <w:spacing w:val="13"/>
          <w:sz w:val="32"/>
          <w:szCs w:val="32"/>
        </w:rPr>
        <w:t>***</w:t>
      </w:r>
      <w:r>
        <w:rPr>
          <w:sz w:val="28"/>
          <w:szCs w:val="28"/>
        </w:rPr>
        <w:t>年</w:t>
      </w:r>
      <w:r>
        <w:rPr>
          <w:rFonts w:hint="eastAsia" w:ascii="宋体" w:hAnsi="宋体" w:cs="宋体"/>
          <w:spacing w:val="13"/>
          <w:sz w:val="32"/>
          <w:szCs w:val="32"/>
        </w:rPr>
        <w:t>***</w:t>
      </w:r>
      <w:r>
        <w:rPr>
          <w:sz w:val="28"/>
          <w:szCs w:val="28"/>
        </w:rPr>
        <w:t>月至</w:t>
      </w:r>
      <w:r>
        <w:rPr>
          <w:rFonts w:hint="eastAsia" w:ascii="宋体" w:hAnsi="宋体" w:cs="宋体"/>
          <w:spacing w:val="13"/>
          <w:sz w:val="32"/>
          <w:szCs w:val="32"/>
        </w:rPr>
        <w:t>***</w:t>
      </w:r>
      <w:r>
        <w:rPr>
          <w:sz w:val="28"/>
          <w:szCs w:val="28"/>
        </w:rPr>
        <w:t>年</w:t>
      </w:r>
      <w:r>
        <w:rPr>
          <w:rFonts w:hint="eastAsia" w:ascii="宋体" w:hAnsi="宋体" w:cs="宋体"/>
          <w:spacing w:val="13"/>
          <w:sz w:val="32"/>
          <w:szCs w:val="32"/>
        </w:rPr>
        <w:t>***</w:t>
      </w:r>
      <w:r>
        <w:rPr>
          <w:sz w:val="28"/>
          <w:szCs w:val="28"/>
        </w:rPr>
        <w:t>月），生态修复工作预计在</w:t>
      </w:r>
      <w:r>
        <w:rPr>
          <w:rFonts w:hint="eastAsia" w:ascii="宋体" w:hAnsi="宋体" w:cs="宋体"/>
          <w:spacing w:val="13"/>
          <w:sz w:val="32"/>
          <w:szCs w:val="32"/>
        </w:rPr>
        <w:t>***</w:t>
      </w:r>
      <w:r>
        <w:rPr>
          <w:sz w:val="28"/>
          <w:szCs w:val="28"/>
        </w:rPr>
        <w:t>年</w:t>
      </w:r>
      <w:r>
        <w:rPr>
          <w:rFonts w:hint="eastAsia" w:ascii="宋体" w:hAnsi="宋体" w:cs="宋体"/>
          <w:spacing w:val="13"/>
          <w:sz w:val="32"/>
          <w:szCs w:val="32"/>
        </w:rPr>
        <w:t>***</w:t>
      </w:r>
      <w:r>
        <w:rPr>
          <w:sz w:val="28"/>
          <w:szCs w:val="28"/>
        </w:rPr>
        <w:t>月前结束。</w:t>
      </w:r>
    </w:p>
    <w:p w14:paraId="2C831FCE">
      <w:pPr>
        <w:spacing w:line="360" w:lineRule="auto"/>
        <w:ind w:firstLine="560"/>
        <w:rPr>
          <w:sz w:val="28"/>
          <w:szCs w:val="28"/>
        </w:rPr>
      </w:pPr>
      <w:r>
        <w:rPr>
          <w:rFonts w:hint="eastAsia"/>
          <w:sz w:val="28"/>
          <w:szCs w:val="28"/>
        </w:rPr>
        <w:t>（一）</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w:t>
      </w:r>
      <w:r>
        <w:rPr>
          <w:rFonts w:hint="eastAsia" w:ascii="宋体" w:hAnsi="宋体" w:cs="宋体"/>
          <w:spacing w:val="13"/>
          <w:sz w:val="32"/>
          <w:szCs w:val="32"/>
        </w:rPr>
        <w:t>***</w:t>
      </w:r>
      <w:r>
        <w:rPr>
          <w:rFonts w:hint="eastAsia"/>
          <w:sz w:val="28"/>
          <w:szCs w:val="28"/>
        </w:rPr>
        <w:t>年</w:t>
      </w:r>
      <w:r>
        <w:rPr>
          <w:rFonts w:hint="eastAsia" w:ascii="宋体" w:hAnsi="宋体" w:cs="宋体"/>
          <w:spacing w:val="13"/>
          <w:sz w:val="32"/>
          <w:szCs w:val="32"/>
        </w:rPr>
        <w:t>***</w:t>
      </w:r>
      <w:r>
        <w:rPr>
          <w:rFonts w:hint="eastAsia"/>
          <w:sz w:val="28"/>
          <w:szCs w:val="28"/>
        </w:rPr>
        <w:t>月，第一年</w:t>
      </w:r>
    </w:p>
    <w:p w14:paraId="3D67E293">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1、完善前期治理，</w:t>
      </w:r>
      <w:r>
        <w:rPr>
          <w:rFonts w:hint="eastAsia"/>
          <w:sz w:val="28"/>
          <w:szCs w:val="28"/>
        </w:rPr>
        <w:t>对前期治理的民采渣堆1、民采坑3、民采渣堆3、民采渣堆4、废石堆1，进行植被补种。</w:t>
      </w:r>
    </w:p>
    <w:p w14:paraId="556BF8D8">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2、露天采场（矿区外）实施垫坡整形、覆土整平、恢复植被；</w:t>
      </w:r>
    </w:p>
    <w:p w14:paraId="2A364F56">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3、对废石场2进行边坡放缓、清理、北部立陡边坡垫坡、边坡规整取直、覆土、恢复植被；</w:t>
      </w:r>
    </w:p>
    <w:p w14:paraId="008E5A0E">
      <w:pPr>
        <w:spacing w:line="360" w:lineRule="auto"/>
        <w:ind w:firstLine="560"/>
        <w:rPr>
          <w:sz w:val="28"/>
          <w:szCs w:val="28"/>
        </w:rPr>
      </w:pPr>
      <w:r>
        <w:rPr>
          <w:rFonts w:hint="eastAsia"/>
          <w:sz w:val="28"/>
          <w:szCs w:val="28"/>
        </w:rPr>
        <w:t>4、对废石场1边坡清理、底部回填、场地整平；对废石场3进行边坡规整取直，之后对场地覆土、恢复植被；</w:t>
      </w:r>
    </w:p>
    <w:p w14:paraId="70218D52">
      <w:pPr>
        <w:spacing w:line="360" w:lineRule="auto"/>
        <w:ind w:firstLine="560"/>
        <w:rPr>
          <w:sz w:val="28"/>
          <w:szCs w:val="28"/>
        </w:rPr>
      </w:pPr>
      <w:r>
        <w:rPr>
          <w:rFonts w:hint="eastAsia"/>
          <w:sz w:val="28"/>
          <w:szCs w:val="28"/>
        </w:rPr>
        <w:t>5、建立露天采场、排土场、废石场边坡监测点，定期对边坡不稳定地质体进行监测；</w:t>
      </w:r>
    </w:p>
    <w:p w14:paraId="52377282">
      <w:pPr>
        <w:spacing w:line="360" w:lineRule="auto"/>
        <w:ind w:firstLine="560"/>
        <w:rPr>
          <w:sz w:val="28"/>
          <w:szCs w:val="28"/>
        </w:rPr>
      </w:pPr>
      <w:r>
        <w:rPr>
          <w:rFonts w:hint="eastAsia"/>
          <w:sz w:val="28"/>
          <w:szCs w:val="28"/>
        </w:rPr>
        <w:t>6、建立土壤污染监测点并定期观测，并定期采样分析，监测土壤污染状况。</w:t>
      </w:r>
    </w:p>
    <w:p w14:paraId="3430C403">
      <w:pPr>
        <w:spacing w:line="360" w:lineRule="auto"/>
        <w:ind w:firstLine="560"/>
        <w:rPr>
          <w:sz w:val="28"/>
          <w:szCs w:val="28"/>
        </w:rPr>
      </w:pPr>
      <w:r>
        <w:rPr>
          <w:rFonts w:hint="eastAsia"/>
          <w:sz w:val="28"/>
          <w:szCs w:val="28"/>
        </w:rPr>
        <w:t>7、沿地形地貌景观监测路线，定期对监测矿区地形地貌景观变化状况。</w:t>
      </w:r>
    </w:p>
    <w:p w14:paraId="4DDC7850">
      <w:pPr>
        <w:spacing w:line="360" w:lineRule="auto"/>
        <w:ind w:firstLine="560"/>
        <w:rPr>
          <w:sz w:val="28"/>
          <w:szCs w:val="28"/>
        </w:rPr>
      </w:pPr>
      <w:r>
        <w:rPr>
          <w:rFonts w:hint="eastAsia"/>
          <w:sz w:val="28"/>
          <w:szCs w:val="28"/>
        </w:rPr>
        <w:t>（二）2028年1月～2028年12月，第二年</w:t>
      </w:r>
    </w:p>
    <w:p w14:paraId="1E006B02">
      <w:pPr>
        <w:spacing w:line="360" w:lineRule="auto"/>
        <w:ind w:firstLine="560"/>
        <w:rPr>
          <w:sz w:val="28"/>
          <w:szCs w:val="28"/>
        </w:rPr>
      </w:pPr>
      <w:r>
        <w:rPr>
          <w:rFonts w:hint="eastAsia"/>
          <w:sz w:val="28"/>
          <w:szCs w:val="28"/>
        </w:rPr>
        <w:t>1、对钻机平台切坡位置回填垫坡、堆坡位置废石清运，覆土整平、恢复植被；</w:t>
      </w:r>
    </w:p>
    <w:p w14:paraId="1115EC51">
      <w:pPr>
        <w:spacing w:line="360" w:lineRule="auto"/>
        <w:ind w:firstLine="560"/>
        <w:rPr>
          <w:sz w:val="28"/>
          <w:szCs w:val="28"/>
        </w:rPr>
      </w:pPr>
      <w:r>
        <w:rPr>
          <w:rFonts w:hint="eastAsia"/>
          <w:sz w:val="28"/>
          <w:szCs w:val="28"/>
        </w:rPr>
        <w:t>2、对办公区进行拆除、建筑垃圾清理、对场地进行场地平整、覆土、恢复植被；</w:t>
      </w:r>
    </w:p>
    <w:p w14:paraId="1117A8EF">
      <w:pPr>
        <w:spacing w:line="360" w:lineRule="auto"/>
        <w:ind w:firstLine="560"/>
        <w:rPr>
          <w:sz w:val="28"/>
          <w:szCs w:val="28"/>
        </w:rPr>
      </w:pPr>
      <w:r>
        <w:rPr>
          <w:rFonts w:hint="eastAsia"/>
          <w:sz w:val="28"/>
          <w:szCs w:val="28"/>
        </w:rPr>
        <w:t>3、定期对露天采场、排土场、废石场边坡监测点进行观测，加强巡视，为地质灾害监测预警提供技术依据；</w:t>
      </w:r>
    </w:p>
    <w:p w14:paraId="53B89391">
      <w:pPr>
        <w:spacing w:line="360" w:lineRule="auto"/>
        <w:ind w:firstLine="560"/>
        <w:rPr>
          <w:sz w:val="28"/>
          <w:szCs w:val="28"/>
        </w:rPr>
      </w:pPr>
      <w:r>
        <w:rPr>
          <w:rFonts w:hint="eastAsia"/>
          <w:sz w:val="28"/>
          <w:szCs w:val="28"/>
        </w:rPr>
        <w:t>4、定期对土壤污染监测点进行观测，并定期采样分析，监测土壤污染状况。</w:t>
      </w:r>
    </w:p>
    <w:p w14:paraId="6B020B19">
      <w:pPr>
        <w:spacing w:line="360" w:lineRule="auto"/>
        <w:ind w:firstLine="560"/>
        <w:rPr>
          <w:sz w:val="28"/>
          <w:szCs w:val="28"/>
        </w:rPr>
      </w:pPr>
      <w:r>
        <w:rPr>
          <w:rFonts w:hint="eastAsia"/>
          <w:sz w:val="28"/>
          <w:szCs w:val="28"/>
        </w:rPr>
        <w:t>5、沿地形地貌景观监测路线，定期对监测矿区地形地貌景观变化状况。</w:t>
      </w:r>
    </w:p>
    <w:p w14:paraId="4870ADBA">
      <w:pPr>
        <w:spacing w:line="360" w:lineRule="auto"/>
        <w:ind w:firstLine="560"/>
        <w:rPr>
          <w:sz w:val="28"/>
          <w:szCs w:val="28"/>
        </w:rPr>
      </w:pPr>
      <w:r>
        <w:rPr>
          <w:rFonts w:hint="eastAsia"/>
          <w:sz w:val="28"/>
          <w:szCs w:val="28"/>
        </w:rPr>
        <w:t>（三）2029年1月～2029年12月，第三年</w:t>
      </w:r>
    </w:p>
    <w:p w14:paraId="25C584ED">
      <w:pPr>
        <w:spacing w:line="360" w:lineRule="auto"/>
        <w:ind w:firstLine="560"/>
        <w:rPr>
          <w:sz w:val="28"/>
          <w:szCs w:val="28"/>
        </w:rPr>
      </w:pPr>
      <w:r>
        <w:rPr>
          <w:rFonts w:hint="eastAsia"/>
          <w:sz w:val="28"/>
          <w:szCs w:val="28"/>
        </w:rPr>
        <w:t>1、对门卫进行拆除、建筑垃圾清理、切坡位置垫坡、对场地进行场地平整、覆土、恢复植被；</w:t>
      </w:r>
    </w:p>
    <w:p w14:paraId="25892F19">
      <w:pPr>
        <w:spacing w:line="360" w:lineRule="auto"/>
        <w:ind w:firstLine="560"/>
        <w:rPr>
          <w:sz w:val="28"/>
          <w:szCs w:val="28"/>
        </w:rPr>
      </w:pPr>
      <w:r>
        <w:rPr>
          <w:rFonts w:hint="eastAsia"/>
          <w:sz w:val="28"/>
          <w:szCs w:val="28"/>
        </w:rPr>
        <w:t>2、对生活区进行拆除、建筑垃圾清理、边坡整形、对场地进行场地平整、覆土、恢复植被；</w:t>
      </w:r>
    </w:p>
    <w:p w14:paraId="1AE09200">
      <w:pPr>
        <w:spacing w:line="360" w:lineRule="auto"/>
        <w:ind w:firstLine="560"/>
        <w:rPr>
          <w:sz w:val="28"/>
          <w:szCs w:val="28"/>
        </w:rPr>
      </w:pPr>
      <w:r>
        <w:rPr>
          <w:rFonts w:hint="eastAsia"/>
          <w:sz w:val="28"/>
          <w:szCs w:val="28"/>
        </w:rPr>
        <w:t>3、定期对露天采场、排土场、废石场边坡监测点进行观测，加强巡视，为地质灾害监测预警提供技术依据；</w:t>
      </w:r>
    </w:p>
    <w:p w14:paraId="344DBB27">
      <w:pPr>
        <w:spacing w:line="360" w:lineRule="auto"/>
        <w:ind w:firstLine="560"/>
        <w:rPr>
          <w:sz w:val="28"/>
          <w:szCs w:val="28"/>
        </w:rPr>
      </w:pPr>
      <w:r>
        <w:rPr>
          <w:rFonts w:hint="eastAsia"/>
          <w:sz w:val="28"/>
          <w:szCs w:val="28"/>
        </w:rPr>
        <w:t>4、定期对土壤污染监测点进行观测，并定期采样分析，监测土壤污染状况。</w:t>
      </w:r>
    </w:p>
    <w:p w14:paraId="2511A701">
      <w:pPr>
        <w:spacing w:line="360" w:lineRule="auto"/>
        <w:ind w:firstLine="560"/>
        <w:rPr>
          <w:sz w:val="28"/>
          <w:szCs w:val="28"/>
        </w:rPr>
      </w:pPr>
      <w:r>
        <w:rPr>
          <w:rFonts w:hint="eastAsia"/>
          <w:sz w:val="28"/>
          <w:szCs w:val="28"/>
        </w:rPr>
        <w:t>5、沿地形地貌景观监测路线，定期对监测矿区地形地貌景观变化状况。</w:t>
      </w:r>
    </w:p>
    <w:p w14:paraId="3140910E">
      <w:pPr>
        <w:spacing w:line="360" w:lineRule="auto"/>
        <w:ind w:firstLine="560"/>
        <w:rPr>
          <w:bCs/>
          <w:sz w:val="28"/>
          <w:szCs w:val="28"/>
        </w:rPr>
      </w:pPr>
      <w:r>
        <w:rPr>
          <w:bCs/>
          <w:sz w:val="28"/>
          <w:szCs w:val="28"/>
        </w:rPr>
        <w:t>（</w:t>
      </w:r>
      <w:r>
        <w:rPr>
          <w:rFonts w:hint="eastAsia"/>
          <w:bCs/>
          <w:sz w:val="28"/>
          <w:szCs w:val="28"/>
        </w:rPr>
        <w:t>四</w:t>
      </w:r>
      <w:r>
        <w:rPr>
          <w:bCs/>
          <w:sz w:val="28"/>
          <w:szCs w:val="28"/>
        </w:rPr>
        <w:t>）生产期</w:t>
      </w:r>
      <w:r>
        <w:rPr>
          <w:rFonts w:hint="eastAsia"/>
          <w:bCs/>
          <w:sz w:val="28"/>
          <w:szCs w:val="28"/>
        </w:rPr>
        <w:t>（</w:t>
      </w:r>
      <w:r>
        <w:rPr>
          <w:rFonts w:hint="eastAsia" w:ascii="宋体" w:hAnsi="宋体" w:cs="宋体"/>
          <w:spacing w:val="13"/>
          <w:sz w:val="32"/>
          <w:szCs w:val="32"/>
        </w:rPr>
        <w:t>***</w:t>
      </w:r>
      <w:r>
        <w:rPr>
          <w:rFonts w:hint="eastAsia"/>
          <w:bCs/>
          <w:sz w:val="28"/>
          <w:szCs w:val="28"/>
        </w:rPr>
        <w:t>-</w:t>
      </w:r>
      <w:r>
        <w:rPr>
          <w:rFonts w:hint="eastAsia" w:ascii="宋体" w:hAnsi="宋体" w:cs="宋体"/>
          <w:spacing w:val="13"/>
          <w:sz w:val="32"/>
          <w:szCs w:val="32"/>
        </w:rPr>
        <w:t>***</w:t>
      </w:r>
      <w:r>
        <w:rPr>
          <w:bCs/>
          <w:sz w:val="28"/>
          <w:szCs w:val="28"/>
        </w:rPr>
        <w:t>年</w:t>
      </w:r>
      <w:r>
        <w:rPr>
          <w:rFonts w:hint="eastAsia"/>
          <w:bCs/>
          <w:sz w:val="28"/>
          <w:szCs w:val="28"/>
        </w:rPr>
        <w:t>）</w:t>
      </w:r>
      <w:r>
        <w:rPr>
          <w:bCs/>
          <w:sz w:val="28"/>
          <w:szCs w:val="28"/>
        </w:rPr>
        <w:t>实施阶段（20</w:t>
      </w:r>
      <w:r>
        <w:rPr>
          <w:rFonts w:hint="eastAsia"/>
          <w:bCs/>
          <w:sz w:val="28"/>
          <w:szCs w:val="28"/>
        </w:rPr>
        <w:t>30</w:t>
      </w:r>
      <w:r>
        <w:rPr>
          <w:bCs/>
          <w:sz w:val="28"/>
          <w:szCs w:val="28"/>
        </w:rPr>
        <w:t>.</w:t>
      </w:r>
      <w:r>
        <w:rPr>
          <w:rFonts w:hint="eastAsia"/>
          <w:bCs/>
          <w:sz w:val="28"/>
          <w:szCs w:val="28"/>
        </w:rPr>
        <w:t>01</w:t>
      </w:r>
      <w:r>
        <w:rPr>
          <w:bCs/>
          <w:sz w:val="28"/>
          <w:szCs w:val="28"/>
        </w:rPr>
        <w:t>-203</w:t>
      </w:r>
      <w:r>
        <w:rPr>
          <w:rFonts w:hint="eastAsia"/>
          <w:bCs/>
          <w:sz w:val="28"/>
          <w:szCs w:val="28"/>
        </w:rPr>
        <w:t>2</w:t>
      </w:r>
      <w:r>
        <w:rPr>
          <w:bCs/>
          <w:sz w:val="28"/>
          <w:szCs w:val="28"/>
        </w:rPr>
        <w:t>.</w:t>
      </w:r>
      <w:r>
        <w:rPr>
          <w:rFonts w:hint="eastAsia"/>
          <w:bCs/>
          <w:sz w:val="28"/>
          <w:szCs w:val="28"/>
        </w:rPr>
        <w:t>05</w:t>
      </w:r>
      <w:r>
        <w:rPr>
          <w:bCs/>
          <w:sz w:val="28"/>
          <w:szCs w:val="28"/>
        </w:rPr>
        <w:t>）</w:t>
      </w:r>
    </w:p>
    <w:p w14:paraId="150988B3">
      <w:pPr>
        <w:spacing w:line="360" w:lineRule="auto"/>
        <w:ind w:firstLine="560"/>
        <w:rPr>
          <w:bCs/>
          <w:sz w:val="28"/>
          <w:szCs w:val="28"/>
        </w:rPr>
      </w:pPr>
      <w:r>
        <w:rPr>
          <w:rFonts w:hint="eastAsia"/>
          <w:bCs/>
          <w:sz w:val="28"/>
          <w:szCs w:val="28"/>
        </w:rPr>
        <w:t>1、根据“边开采、边修复”原则，本方案设计拟建露天采场每形成一阶台阶，将对台阶平台进行覆土，种草过渡；</w:t>
      </w:r>
    </w:p>
    <w:p w14:paraId="29CE00DD">
      <w:pPr>
        <w:spacing w:line="360" w:lineRule="auto"/>
        <w:ind w:firstLine="560"/>
        <w:rPr>
          <w:bCs/>
          <w:sz w:val="28"/>
          <w:szCs w:val="28"/>
        </w:rPr>
      </w:pPr>
      <w:r>
        <w:rPr>
          <w:rFonts w:hint="eastAsia"/>
          <w:bCs/>
          <w:sz w:val="28"/>
          <w:szCs w:val="28"/>
        </w:rPr>
        <w:t>2、及时对拟建露天采场边坡形成的危岩体进行清理；</w:t>
      </w:r>
    </w:p>
    <w:p w14:paraId="5F03DCD9">
      <w:pPr>
        <w:spacing w:line="360" w:lineRule="auto"/>
        <w:ind w:firstLine="560"/>
        <w:rPr>
          <w:bCs/>
          <w:sz w:val="28"/>
          <w:szCs w:val="28"/>
        </w:rPr>
      </w:pPr>
      <w:r>
        <w:rPr>
          <w:bCs/>
          <w:sz w:val="28"/>
          <w:szCs w:val="28"/>
        </w:rPr>
        <w:t>（</w:t>
      </w:r>
      <w:r>
        <w:rPr>
          <w:rFonts w:hint="eastAsia"/>
          <w:bCs/>
          <w:sz w:val="28"/>
          <w:szCs w:val="28"/>
        </w:rPr>
        <w:t>五</w:t>
      </w:r>
      <w:r>
        <w:rPr>
          <w:bCs/>
          <w:sz w:val="28"/>
          <w:szCs w:val="28"/>
        </w:rPr>
        <w:t>）终采后的治理与管护期（</w:t>
      </w:r>
      <w:r>
        <w:rPr>
          <w:rFonts w:hint="eastAsia" w:ascii="宋体" w:hAnsi="宋体" w:cs="宋体"/>
          <w:spacing w:val="13"/>
          <w:sz w:val="32"/>
          <w:szCs w:val="32"/>
        </w:rPr>
        <w:t>***</w:t>
      </w:r>
      <w:r>
        <w:rPr>
          <w:bCs/>
          <w:sz w:val="28"/>
          <w:szCs w:val="28"/>
        </w:rPr>
        <w:t>-</w:t>
      </w:r>
      <w:r>
        <w:rPr>
          <w:rFonts w:hint="eastAsia" w:ascii="宋体" w:hAnsi="宋体" w:cs="宋体"/>
          <w:spacing w:val="13"/>
          <w:sz w:val="32"/>
          <w:szCs w:val="32"/>
        </w:rPr>
        <w:t>***</w:t>
      </w:r>
      <w:r>
        <w:rPr>
          <w:bCs/>
          <w:sz w:val="28"/>
          <w:szCs w:val="28"/>
        </w:rPr>
        <w:t>）</w:t>
      </w:r>
    </w:p>
    <w:p w14:paraId="323C645F">
      <w:pPr>
        <w:pStyle w:val="115"/>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继续实施生态修复工程，并保留开采记录、照片、录像，重点有以下内容：</w:t>
      </w:r>
    </w:p>
    <w:p w14:paraId="51E36DCC">
      <w:pPr>
        <w:pStyle w:val="115"/>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1、</w:t>
      </w:r>
      <w:r>
        <w:rPr>
          <w:rFonts w:hint="eastAsia" w:ascii="Times New Roman" w:hAnsi="Times New Roman" w:cs="Times New Roman"/>
          <w:sz w:val="28"/>
          <w:szCs w:val="28"/>
        </w:rPr>
        <w:t>拟建露天采场场底部平台回填、剩余的平台覆土、恢复植被；</w:t>
      </w:r>
    </w:p>
    <w:p w14:paraId="1CF80A6C">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2、对拟建办公生活区进行拆除、建筑垃圾清理、对场地进行场地平整、覆土、恢复植被；</w:t>
      </w:r>
    </w:p>
    <w:p w14:paraId="72B48681">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3、对工业场地进行拆除、建筑垃圾清理、对场地进行场地平整、覆土、恢复植被；</w:t>
      </w:r>
    </w:p>
    <w:p w14:paraId="129908B0">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4、对拟建截洪沟回填、覆土、恢复植被；</w:t>
      </w:r>
    </w:p>
    <w:p w14:paraId="13EF0B4D">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5、对拟建矿区道路、矿区道路进行翻耕松土、恢复植被；</w:t>
      </w:r>
    </w:p>
    <w:p w14:paraId="549147C3">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6、定期对露天采场、排土场、废石场边坡监测点进行观测，加强巡视，为地质灾害监测预警提供技术依据；</w:t>
      </w:r>
    </w:p>
    <w:p w14:paraId="647AE5EB">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7、定期对土壤污染监测点进行观测，并定期采样分析，监测土壤污染状况。</w:t>
      </w:r>
    </w:p>
    <w:p w14:paraId="59D35FA8">
      <w:pPr>
        <w:pStyle w:val="115"/>
        <w:spacing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 w:val="28"/>
          <w:szCs w:val="28"/>
        </w:rPr>
        <w:t>8、沿地形地貌景观监测路线，定期对监测矿区地形地貌景观变化状况。</w:t>
      </w:r>
    </w:p>
    <w:p w14:paraId="1D099077">
      <w:pPr>
        <w:spacing w:line="360" w:lineRule="auto"/>
        <w:ind w:firstLine="560"/>
        <w:rPr>
          <w:bCs/>
          <w:sz w:val="28"/>
          <w:szCs w:val="28"/>
        </w:rPr>
      </w:pPr>
      <w:r>
        <w:rPr>
          <w:rFonts w:hint="eastAsia"/>
          <w:sz w:val="28"/>
          <w:szCs w:val="28"/>
        </w:rPr>
        <w:t>9</w:t>
      </w:r>
      <w:r>
        <w:rPr>
          <w:sz w:val="28"/>
          <w:szCs w:val="28"/>
        </w:rPr>
        <w:t>、对已恢复的植被进行补种及管护。</w:t>
      </w:r>
    </w:p>
    <w:p w14:paraId="12F7F64E">
      <w:pPr>
        <w:spacing w:line="360" w:lineRule="auto"/>
        <w:ind w:firstLine="560"/>
        <w:rPr>
          <w:sz w:val="28"/>
          <w:szCs w:val="28"/>
        </w:rPr>
      </w:pPr>
      <w:r>
        <w:rPr>
          <w:sz w:val="28"/>
          <w:szCs w:val="28"/>
        </w:rPr>
        <w:t>七、对生态修复影响范围内地质灾害、地形地貌景观、土壤、复垦效果进行全面监测，监测时限为202</w:t>
      </w:r>
      <w:r>
        <w:rPr>
          <w:rFonts w:hint="eastAsia"/>
          <w:sz w:val="28"/>
          <w:szCs w:val="28"/>
        </w:rPr>
        <w:t>7</w:t>
      </w:r>
      <w:r>
        <w:rPr>
          <w:sz w:val="28"/>
          <w:szCs w:val="28"/>
        </w:rPr>
        <w:t>年</w:t>
      </w:r>
      <w:r>
        <w:rPr>
          <w:rFonts w:hint="eastAsia"/>
          <w:sz w:val="28"/>
          <w:szCs w:val="28"/>
        </w:rPr>
        <w:t>1</w:t>
      </w:r>
      <w:r>
        <w:rPr>
          <w:sz w:val="28"/>
          <w:szCs w:val="28"/>
        </w:rPr>
        <w:t>月至20</w:t>
      </w:r>
      <w:r>
        <w:rPr>
          <w:rFonts w:hint="eastAsia"/>
          <w:sz w:val="28"/>
          <w:szCs w:val="28"/>
        </w:rPr>
        <w:t>36</w:t>
      </w:r>
      <w:r>
        <w:rPr>
          <w:sz w:val="28"/>
          <w:szCs w:val="28"/>
        </w:rPr>
        <w:t>年</w:t>
      </w:r>
      <w:r>
        <w:rPr>
          <w:rFonts w:hint="eastAsia"/>
          <w:sz w:val="28"/>
          <w:szCs w:val="28"/>
        </w:rPr>
        <w:t>12</w:t>
      </w:r>
      <w:r>
        <w:rPr>
          <w:sz w:val="28"/>
          <w:szCs w:val="28"/>
        </w:rPr>
        <w:t>月，同时对修复的植被进行补种及管护。</w:t>
      </w:r>
    </w:p>
    <w:p w14:paraId="4DB0D657">
      <w:pPr>
        <w:spacing w:line="360" w:lineRule="auto"/>
        <w:ind w:firstLine="560"/>
        <w:rPr>
          <w:sz w:val="28"/>
          <w:szCs w:val="28"/>
        </w:rPr>
      </w:pPr>
      <w:r>
        <w:rPr>
          <w:sz w:val="28"/>
          <w:szCs w:val="28"/>
        </w:rPr>
        <w:t>八、</w:t>
      </w:r>
      <w:r>
        <w:rPr>
          <w:rFonts w:hint="eastAsia"/>
          <w:sz w:val="28"/>
          <w:szCs w:val="28"/>
        </w:rPr>
        <w:t>矿区生态修复静态投资</w:t>
      </w:r>
      <w:r>
        <w:rPr>
          <w:rFonts w:hint="eastAsia" w:ascii="宋体" w:hAnsi="宋体" w:cs="宋体"/>
          <w:spacing w:val="13"/>
          <w:sz w:val="32"/>
          <w:szCs w:val="32"/>
        </w:rPr>
        <w:t>***</w:t>
      </w:r>
      <w:r>
        <w:rPr>
          <w:rFonts w:hint="eastAsia"/>
          <w:sz w:val="28"/>
          <w:szCs w:val="28"/>
        </w:rPr>
        <w:t>万元。其中工程施工费</w:t>
      </w:r>
      <w:r>
        <w:rPr>
          <w:rFonts w:hint="eastAsia" w:ascii="宋体" w:hAnsi="宋体" w:cs="宋体"/>
          <w:spacing w:val="13"/>
          <w:sz w:val="32"/>
          <w:szCs w:val="32"/>
        </w:rPr>
        <w:t>***</w:t>
      </w:r>
      <w:r>
        <w:rPr>
          <w:rFonts w:hint="eastAsia"/>
          <w:sz w:val="28"/>
          <w:szCs w:val="28"/>
        </w:rPr>
        <w:t>万元，其他费用</w:t>
      </w:r>
      <w:r>
        <w:rPr>
          <w:rFonts w:hint="eastAsia" w:ascii="宋体" w:hAnsi="宋体" w:cs="宋体"/>
          <w:spacing w:val="13"/>
          <w:sz w:val="32"/>
          <w:szCs w:val="32"/>
        </w:rPr>
        <w:t>***</w:t>
      </w:r>
      <w:r>
        <w:rPr>
          <w:rFonts w:hint="eastAsia"/>
          <w:sz w:val="28"/>
          <w:szCs w:val="28"/>
        </w:rPr>
        <w:t>万元，监测费</w:t>
      </w:r>
      <w:r>
        <w:rPr>
          <w:rFonts w:hint="eastAsia" w:ascii="宋体" w:hAnsi="宋体" w:cs="宋体"/>
          <w:spacing w:val="13"/>
          <w:sz w:val="32"/>
          <w:szCs w:val="32"/>
        </w:rPr>
        <w:t>***</w:t>
      </w:r>
      <w:r>
        <w:rPr>
          <w:rFonts w:hint="eastAsia"/>
          <w:sz w:val="28"/>
          <w:szCs w:val="28"/>
        </w:rPr>
        <w:t>万元，管护费</w:t>
      </w:r>
      <w:r>
        <w:rPr>
          <w:rFonts w:hint="eastAsia" w:ascii="宋体" w:hAnsi="宋体" w:cs="宋体"/>
          <w:spacing w:val="13"/>
          <w:sz w:val="32"/>
          <w:szCs w:val="32"/>
        </w:rPr>
        <w:t>***</w:t>
      </w:r>
      <w:r>
        <w:rPr>
          <w:rFonts w:hint="eastAsia"/>
          <w:sz w:val="28"/>
          <w:szCs w:val="28"/>
        </w:rPr>
        <w:t>万元。基本预备费</w:t>
      </w:r>
      <w:r>
        <w:rPr>
          <w:rFonts w:hint="eastAsia" w:ascii="宋体" w:hAnsi="宋体" w:cs="宋体"/>
          <w:spacing w:val="13"/>
          <w:sz w:val="32"/>
          <w:szCs w:val="32"/>
        </w:rPr>
        <w:t>***</w:t>
      </w:r>
      <w:r>
        <w:rPr>
          <w:rFonts w:hint="eastAsia"/>
          <w:sz w:val="28"/>
          <w:szCs w:val="28"/>
        </w:rPr>
        <w:t>万元，价差预备费</w:t>
      </w:r>
      <w:r>
        <w:rPr>
          <w:rFonts w:hint="eastAsia" w:ascii="宋体" w:hAnsi="宋体" w:cs="宋体"/>
          <w:spacing w:val="13"/>
          <w:sz w:val="32"/>
          <w:szCs w:val="32"/>
        </w:rPr>
        <w:t>***</w:t>
      </w:r>
      <w:r>
        <w:rPr>
          <w:rFonts w:hint="eastAsia"/>
          <w:sz w:val="28"/>
          <w:szCs w:val="28"/>
        </w:rPr>
        <w:t>万元，动态投资经费为</w:t>
      </w:r>
      <w:r>
        <w:rPr>
          <w:rFonts w:hint="eastAsia" w:ascii="宋体" w:hAnsi="宋体" w:cs="宋体"/>
          <w:spacing w:val="13"/>
          <w:sz w:val="32"/>
          <w:szCs w:val="32"/>
        </w:rPr>
        <w:t>***</w:t>
      </w:r>
      <w:r>
        <w:rPr>
          <w:rFonts w:hint="eastAsia"/>
          <w:sz w:val="28"/>
          <w:szCs w:val="28"/>
        </w:rPr>
        <w:t>万元。</w:t>
      </w:r>
    </w:p>
    <w:p w14:paraId="141BB6CD">
      <w:pPr>
        <w:spacing w:line="360" w:lineRule="auto"/>
        <w:ind w:firstLine="560"/>
        <w:rPr>
          <w:sz w:val="28"/>
          <w:szCs w:val="28"/>
        </w:rPr>
      </w:pPr>
      <w:r>
        <w:rPr>
          <w:rFonts w:hint="eastAsia"/>
          <w:sz w:val="28"/>
          <w:szCs w:val="28"/>
        </w:rPr>
        <w:t>前三年矿区生态修复费用</w:t>
      </w:r>
      <w:r>
        <w:rPr>
          <w:rFonts w:hint="eastAsia" w:ascii="宋体" w:hAnsi="宋体" w:cs="宋体"/>
          <w:spacing w:val="13"/>
          <w:sz w:val="32"/>
          <w:szCs w:val="32"/>
        </w:rPr>
        <w:t>***</w:t>
      </w:r>
      <w:r>
        <w:rPr>
          <w:rFonts w:hint="eastAsia"/>
          <w:sz w:val="28"/>
          <w:szCs w:val="28"/>
        </w:rPr>
        <w:t>万元，其中第一年度（</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）生态修复费用</w:t>
      </w:r>
      <w:r>
        <w:rPr>
          <w:rFonts w:hint="eastAsia" w:ascii="宋体" w:hAnsi="宋体" w:cs="宋体"/>
          <w:spacing w:val="13"/>
          <w:sz w:val="32"/>
          <w:szCs w:val="32"/>
        </w:rPr>
        <w:t>***</w:t>
      </w:r>
      <w:r>
        <w:rPr>
          <w:rFonts w:hint="eastAsia"/>
          <w:sz w:val="28"/>
          <w:szCs w:val="28"/>
        </w:rPr>
        <w:t>万元，第二年度（</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）生态修复费用</w:t>
      </w:r>
      <w:r>
        <w:rPr>
          <w:rFonts w:hint="eastAsia" w:ascii="宋体" w:hAnsi="宋体" w:cs="宋体"/>
          <w:spacing w:val="13"/>
          <w:sz w:val="32"/>
          <w:szCs w:val="32"/>
        </w:rPr>
        <w:t>***</w:t>
      </w:r>
      <w:r>
        <w:rPr>
          <w:rFonts w:hint="eastAsia"/>
          <w:sz w:val="28"/>
          <w:szCs w:val="28"/>
        </w:rPr>
        <w:t>万元，第三年度（</w:t>
      </w:r>
      <w:r>
        <w:rPr>
          <w:rFonts w:hint="eastAsia" w:ascii="宋体" w:hAnsi="宋体" w:cs="宋体"/>
          <w:spacing w:val="13"/>
          <w:sz w:val="32"/>
          <w:szCs w:val="32"/>
        </w:rPr>
        <w:t>***</w:t>
      </w:r>
      <w:r>
        <w:rPr>
          <w:rFonts w:hint="eastAsia"/>
          <w:sz w:val="28"/>
          <w:szCs w:val="28"/>
        </w:rPr>
        <w:t>-</w:t>
      </w:r>
      <w:r>
        <w:rPr>
          <w:rFonts w:hint="eastAsia" w:ascii="宋体" w:hAnsi="宋体" w:cs="宋体"/>
          <w:spacing w:val="13"/>
          <w:sz w:val="32"/>
          <w:szCs w:val="32"/>
        </w:rPr>
        <w:t>***</w:t>
      </w:r>
      <w:r>
        <w:rPr>
          <w:rFonts w:hint="eastAsia"/>
          <w:sz w:val="28"/>
          <w:szCs w:val="28"/>
        </w:rPr>
        <w:t>）生态修复费用</w:t>
      </w:r>
      <w:r>
        <w:rPr>
          <w:rFonts w:hint="eastAsia" w:ascii="宋体" w:hAnsi="宋体" w:cs="宋体"/>
          <w:spacing w:val="13"/>
          <w:sz w:val="32"/>
          <w:szCs w:val="32"/>
        </w:rPr>
        <w:t>***</w:t>
      </w:r>
      <w:r>
        <w:rPr>
          <w:rFonts w:hint="eastAsia"/>
          <w:sz w:val="28"/>
          <w:szCs w:val="28"/>
        </w:rPr>
        <w:t>万元。</w:t>
      </w:r>
    </w:p>
    <w:p w14:paraId="06409F3B">
      <w:pPr>
        <w:spacing w:line="360" w:lineRule="auto"/>
        <w:ind w:firstLine="560"/>
        <w:rPr>
          <w:sz w:val="28"/>
          <w:szCs w:val="28"/>
        </w:rPr>
      </w:pPr>
      <w:r>
        <w:rPr>
          <w:sz w:val="28"/>
          <w:szCs w:val="28"/>
        </w:rPr>
        <w:t>矿区生态修复方案不代表生态修复设计，实际投入工程量及投资金额最终以工程设计及预算为准。</w:t>
      </w:r>
    </w:p>
    <w:bookmarkEnd w:id="173"/>
    <w:p w14:paraId="78295C38">
      <w:pPr>
        <w:spacing w:line="360" w:lineRule="auto"/>
        <w:rPr>
          <w:sz w:val="24"/>
          <w:szCs w:val="24"/>
        </w:rPr>
      </w:pPr>
    </w:p>
    <w:sectPr>
      <w:footerReference r:id="rId26" w:type="default"/>
      <w:pgSz w:w="11907" w:h="16840"/>
      <w:pgMar w:top="1418" w:right="1418" w:bottom="1418" w:left="1418" w:header="992"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altName w:val="宋体"/>
    <w:panose1 w:val="020B0503020204020204"/>
    <w:charset w:val="86"/>
    <w:family w:val="swiss"/>
    <w:pitch w:val="default"/>
    <w:sig w:usb0="00000000" w:usb1="0000000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TimesNewRomanPSMT">
    <w:altName w:val="Times New Roman"/>
    <w:panose1 w:val="00000000000000000000"/>
    <w:charset w:val="86"/>
    <w:family w:val="auto"/>
    <w:pitch w:val="default"/>
    <w:sig w:usb0="00000000" w:usb1="00000000" w:usb2="00000010" w:usb3="00000000" w:csb0="00060000" w:csb1="00000000"/>
  </w:font>
  <w:font w:name="等线">
    <w:altName w:val="微软雅黑"/>
    <w:panose1 w:val="02010600030101010101"/>
    <w:charset w:val="86"/>
    <w:family w:val="auto"/>
    <w:pitch w:val="default"/>
    <w:sig w:usb0="00000000" w:usb1="00000000"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汉鼎简书宋">
    <w:altName w:val="宋体"/>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7F" w:usb3="00000000" w:csb0="203F01FF" w:csb1="DFFF0000"/>
  </w:font>
  <w:font w:name="..ì.">
    <w:altName w:val="宋体"/>
    <w:panose1 w:val="00000000000000000000"/>
    <w:charset w:val="86"/>
    <w:family w:val="roman"/>
    <w:pitch w:val="default"/>
    <w:sig w:usb0="00000000" w:usb1="00000000" w:usb2="00000000" w:usb3="00000000" w:csb0="00040000" w:csb1="00000000"/>
  </w:font>
  <w:font w:name="Cambria Math">
    <w:panose1 w:val="02040503050406030204"/>
    <w:charset w:val="00"/>
    <w:family w:val="roman"/>
    <w:pitch w:val="default"/>
    <w:sig w:usb0="E00002FF" w:usb1="420024FF" w:usb2="0000000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
    <w:altName w:val="Times New Roman"/>
    <w:panose1 w:val="00000000000000000000"/>
    <w:charset w:val="00"/>
    <w:family w:val="auto"/>
    <w:pitch w:val="default"/>
    <w:sig w:usb0="00000000" w:usb1="00000000" w:usb2="00000000" w:usb3="00000000" w:csb0="00000001" w:csb1="00000000"/>
  </w:font>
  <w:font w:name="ATC-534e65877ec69ed1* *82f16587">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TC-534e65877ec69ed1* + *82f165">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A00002EF" w:usb1="4000207B" w:usb2="00000000" w:usb3="00000000" w:csb0="2000019F" w:csb1="00000000"/>
  </w:font>
  <w:font w:name="MingLiU">
    <w:panose1 w:val="02020509000000000000"/>
    <w:charset w:val="88"/>
    <w:family w:val="modern"/>
    <w:pitch w:val="default"/>
    <w:sig w:usb0="A00002FF" w:usb1="28CFFCFA" w:usb2="00000016" w:usb3="00000000" w:csb0="00100001" w:csb1="00000000"/>
  </w:font>
  <w:font w:name="MS Mincho">
    <w:panose1 w:val="02020609040205080304"/>
    <w:charset w:val="80"/>
    <w:family w:val="modern"/>
    <w:pitch w:val="default"/>
    <w:sig w:usb0="E00002FF" w:usb1="6AC7FDFB" w:usb2="00000012" w:usb3="00000000" w:csb0="4002009F" w:csb1="DFD7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80F3C52" w:usb2="00000016" w:usb3="00000000" w:csb0="0004001F" w:csb1="00000000"/>
  </w:font>
  <w:font w:name="????">
    <w:altName w:val="Lucida Sans Unicode"/>
    <w:panose1 w:val="00000000000000000000"/>
    <w:charset w:val="00"/>
    <w:family w:val="auto"/>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 w:name="方正黑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Tms Rmn">
    <w:altName w:val="Segoe Print"/>
    <w:panose1 w:val="02020603040505020304"/>
    <w:charset w:val="00"/>
    <w:family w:val="roman"/>
    <w:pitch w:val="default"/>
    <w:sig w:usb0="00000000" w:usb1="00000000" w:usb2="00000000" w:usb3="00000000" w:csb0="0000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4054C">
    <w:pPr>
      <w:pStyle w:val="49"/>
      <w:jc w:val="center"/>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718EF">
    <w:pPr>
      <w:pStyle w:val="49"/>
      <w:jc w:val="center"/>
      <w:rPr>
        <w:sz w:val="21"/>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ED1C5">
    <w:pPr>
      <w:pStyle w:val="49"/>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68BF60"/>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D68BF60"/>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597BE">
    <w:pPr>
      <w:pStyle w:val="49"/>
      <w:jc w:val="center"/>
      <w:rPr>
        <w:sz w:val="21"/>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3DE2C">
    <w:pPr>
      <w:pStyle w:val="49"/>
      <w:jc w:val="center"/>
      <w:rPr>
        <w:sz w:val="21"/>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3F97F">
    <w:pPr>
      <w:pStyle w:val="4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9BD70">
    <w:pPr>
      <w:pStyle w:val="49"/>
      <w:jc w:val="center"/>
      <w:rPr>
        <w:sz w:val="21"/>
        <w:szCs w:val="21"/>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12CAE">
    <w:pPr>
      <w:pStyle w:val="49"/>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8541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2D585418"/>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95DE7">
    <w:pPr>
      <w:pStyle w:val="49"/>
      <w:jc w:val="center"/>
      <w:rPr>
        <w:sz w:val="21"/>
        <w:szCs w:val="21"/>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02606">
    <w:pPr>
      <w:pStyle w:val="4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71F6A7">
                          <w:pPr>
                            <w:pStyle w:val="49"/>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871F6A7">
                    <w:pPr>
                      <w:pStyle w:val="49"/>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4326C">
    <w:pPr>
      <w:pStyle w:val="49"/>
    </w:pPr>
    <w:r>
      <mc:AlternateContent>
        <mc:Choice Requires="wps">
          <w:drawing>
            <wp:anchor distT="0" distB="0" distL="114300" distR="114300" simplePos="0" relativeHeight="251660288" behindDoc="0" locked="0" layoutInCell="1" allowOverlap="1">
              <wp:simplePos x="0" y="0"/>
              <wp:positionH relativeFrom="margin">
                <wp:posOffset>2576830</wp:posOffset>
              </wp:positionH>
              <wp:positionV relativeFrom="paragraph">
                <wp:posOffset>-1270</wp:posOffset>
              </wp:positionV>
              <wp:extent cx="207010" cy="1828800"/>
              <wp:effectExtent l="0" t="0" r="2540" b="14605"/>
              <wp:wrapNone/>
              <wp:docPr id="6" name="文本框 6"/>
              <wp:cNvGraphicFramePr/>
              <a:graphic xmlns:a="http://schemas.openxmlformats.org/drawingml/2006/main">
                <a:graphicData uri="http://schemas.microsoft.com/office/word/2010/wordprocessingShape">
                  <wps:wsp>
                    <wps:cNvSpPr txBox="1"/>
                    <wps:spPr>
                      <a:xfrm>
                        <a:off x="0" y="0"/>
                        <a:ext cx="207034"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E9AF9">
                          <w:pPr>
                            <w:pStyle w:val="49"/>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2.9pt;margin-top:-0.1pt;height:144pt;width:16.3pt;mso-position-horizontal-relative:margin;z-index:251660288;mso-width-relative:page;mso-height-relative:page;" filled="f" stroked="f" coordsize="21600,21600" o:gfxdata="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0yRxj9gAAAAJAQAADwAAAAAAAAABACAAAAAiAAAAZHJzL2Rvd25yZXYueG1s&#10;UEsBAhQAFAAAAAgAh07iQNaeW/MxAgAAVgQAAA4AAAAAAAAAAQAgAAAAJwEAAGRycy9lMm9Eb2Mu&#10;eG1sUEsFBgAAAAAGAAYAWQEAAMoFAAAAAA==&#10;">
              <v:fill on="f" focussize="0,0"/>
              <v:stroke on="f" weight="0.5pt"/>
              <v:imagedata o:title=""/>
              <o:lock v:ext="edit" aspectratio="f"/>
              <v:textbox inset="0mm,0mm,0mm,0mm" style="mso-fit-shape-to-text:t;">
                <w:txbxContent>
                  <w:p w14:paraId="374E9AF9">
                    <w:pPr>
                      <w:pStyle w:val="49"/>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EDB73">
    <w:pPr>
      <w:pStyle w:val="49"/>
      <w:jc w:val="center"/>
      <w:rPr>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9FF9A7">
                          <w:pPr>
                            <w:pStyle w:val="49"/>
                          </w:pPr>
                          <w:r>
                            <w:fldChar w:fldCharType="begin"/>
                          </w:r>
                          <w:r>
                            <w:instrText xml:space="preserve"> PAGE  \* MERGEFORMAT </w:instrText>
                          </w:r>
                          <w:r>
                            <w:fldChar w:fldCharType="separate"/>
                          </w:r>
                          <w:r>
                            <w:t>202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499FF9A7">
                    <w:pPr>
                      <w:pStyle w:val="49"/>
                    </w:pPr>
                    <w:r>
                      <w:fldChar w:fldCharType="begin"/>
                    </w:r>
                    <w:r>
                      <w:instrText xml:space="preserve"> PAGE  \* MERGEFORMAT </w:instrText>
                    </w:r>
                    <w:r>
                      <w:fldChar w:fldCharType="separate"/>
                    </w:r>
                    <w:r>
                      <w:t>202</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2B452">
    <w:pPr>
      <w:pStyle w:val="49"/>
      <w:jc w:val="center"/>
      <w:rPr>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8FA50C">
                          <w:pPr>
                            <w:pStyle w:val="49"/>
                          </w:pPr>
                          <w:r>
                            <w:fldChar w:fldCharType="begin"/>
                          </w:r>
                          <w:r>
                            <w:instrText xml:space="preserve"> PAGE  \* MERGEFORMAT </w:instrText>
                          </w:r>
                          <w:r>
                            <w:fldChar w:fldCharType="separate"/>
                          </w:r>
                          <w:r>
                            <w:t>215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58FA50C">
                    <w:pPr>
                      <w:pStyle w:val="49"/>
                    </w:pPr>
                    <w:r>
                      <w:fldChar w:fldCharType="begin"/>
                    </w:r>
                    <w:r>
                      <w:instrText xml:space="preserve"> PAGE  \* MERGEFORMAT </w:instrText>
                    </w:r>
                    <w:r>
                      <w:fldChar w:fldCharType="separate"/>
                    </w:r>
                    <w:r>
                      <w:t>215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89574">
    <w:pPr>
      <w:pStyle w:val="49"/>
      <w:jc w:val="center"/>
      <w:rPr>
        <w:rFonts w:eastAsia="Times New Roman"/>
        <w:szCs w:val="18"/>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362D8">
                          <w:pPr>
                            <w:pStyle w:val="49"/>
                          </w:pPr>
                          <w:r>
                            <w:fldChar w:fldCharType="begin"/>
                          </w:r>
                          <w:r>
                            <w:instrText xml:space="preserve"> PAGE  \* MERGEFORMAT </w:instrText>
                          </w:r>
                          <w:r>
                            <w:fldChar w:fldCharType="separate"/>
                          </w:r>
                          <w:r>
                            <w:t>243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62E362D8">
                    <w:pPr>
                      <w:pStyle w:val="49"/>
                    </w:pPr>
                    <w:r>
                      <w:fldChar w:fldCharType="begin"/>
                    </w:r>
                    <w:r>
                      <w:instrText xml:space="preserve"> PAGE  \* MERGEFORMAT </w:instrText>
                    </w:r>
                    <w:r>
                      <w:fldChar w:fldCharType="separate"/>
                    </w:r>
                    <w:r>
                      <w:t>243</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CF8CF">
    <w:pPr>
      <w:pStyle w:val="49"/>
      <w:ind w:right="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6CE1A">
                          <w:pPr>
                            <w:pStyle w:val="49"/>
                          </w:pPr>
                          <w:r>
                            <w:fldChar w:fldCharType="begin"/>
                          </w:r>
                          <w:r>
                            <w:instrText xml:space="preserve"> PAGE  \* MERGEFORMAT </w:instrText>
                          </w:r>
                          <w:r>
                            <w:fldChar w:fldCharType="separate"/>
                          </w:r>
                          <w:r>
                            <w:t>253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5316CE1A">
                    <w:pPr>
                      <w:pStyle w:val="49"/>
                    </w:pPr>
                    <w:r>
                      <w:fldChar w:fldCharType="begin"/>
                    </w:r>
                    <w:r>
                      <w:instrText xml:space="preserve"> PAGE  \* MERGEFORMAT </w:instrText>
                    </w:r>
                    <w:r>
                      <w:fldChar w:fldCharType="separate"/>
                    </w:r>
                    <w:r>
                      <w:t>253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5DF58">
    <w:pPr>
      <w:jc w:val="center"/>
      <w:rPr>
        <w:rFonts w:hint="eastAsia" w:ascii="宋体" w:hAnsi="宋体"/>
        <w:b/>
        <w:bCs/>
        <w:color w:val="000000"/>
        <w:kern w:val="0"/>
        <w:sz w:val="22"/>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D67A9"/>
  <w:p w14:paraId="13CEB29D">
    <w:pPr>
      <w:ind w:firstLine="5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ABE8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90FB2"/>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78F03"/>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EA8AB"/>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B9C97"/>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C79CD"/>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9744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NlN2RkODI3OTBlZWY4MzZmMmIwYzUxOWUwOGE3OGEifQ=="/>
  </w:docVars>
  <w:rsids>
    <w:rsidRoot w:val="00172A27"/>
    <w:rsid w:val="000004EA"/>
    <w:rsid w:val="000006DF"/>
    <w:rsid w:val="000007A6"/>
    <w:rsid w:val="00000BF5"/>
    <w:rsid w:val="00000C74"/>
    <w:rsid w:val="00000D7C"/>
    <w:rsid w:val="00001205"/>
    <w:rsid w:val="0000144C"/>
    <w:rsid w:val="00001E24"/>
    <w:rsid w:val="00001FA0"/>
    <w:rsid w:val="0000275D"/>
    <w:rsid w:val="000027BB"/>
    <w:rsid w:val="000027F7"/>
    <w:rsid w:val="00002F15"/>
    <w:rsid w:val="00003383"/>
    <w:rsid w:val="000033B7"/>
    <w:rsid w:val="000033D5"/>
    <w:rsid w:val="00003859"/>
    <w:rsid w:val="00003864"/>
    <w:rsid w:val="00003A98"/>
    <w:rsid w:val="00003D3D"/>
    <w:rsid w:val="00003D8D"/>
    <w:rsid w:val="00004340"/>
    <w:rsid w:val="00004813"/>
    <w:rsid w:val="0000486D"/>
    <w:rsid w:val="00004F38"/>
    <w:rsid w:val="000053CF"/>
    <w:rsid w:val="00005E54"/>
    <w:rsid w:val="00005F6E"/>
    <w:rsid w:val="00006284"/>
    <w:rsid w:val="0000635F"/>
    <w:rsid w:val="0000651F"/>
    <w:rsid w:val="00006600"/>
    <w:rsid w:val="00006610"/>
    <w:rsid w:val="0000664E"/>
    <w:rsid w:val="00006791"/>
    <w:rsid w:val="00006B04"/>
    <w:rsid w:val="00006D62"/>
    <w:rsid w:val="00007024"/>
    <w:rsid w:val="00007340"/>
    <w:rsid w:val="000075E4"/>
    <w:rsid w:val="000077D1"/>
    <w:rsid w:val="00007A58"/>
    <w:rsid w:val="00007EB3"/>
    <w:rsid w:val="00007F1C"/>
    <w:rsid w:val="00010028"/>
    <w:rsid w:val="000103AE"/>
    <w:rsid w:val="00010454"/>
    <w:rsid w:val="00010959"/>
    <w:rsid w:val="00010AE7"/>
    <w:rsid w:val="00010B8C"/>
    <w:rsid w:val="00011159"/>
    <w:rsid w:val="00011720"/>
    <w:rsid w:val="00011927"/>
    <w:rsid w:val="00011A49"/>
    <w:rsid w:val="000120C0"/>
    <w:rsid w:val="000120C7"/>
    <w:rsid w:val="000121B6"/>
    <w:rsid w:val="0001303B"/>
    <w:rsid w:val="0001305A"/>
    <w:rsid w:val="00013598"/>
    <w:rsid w:val="000140A4"/>
    <w:rsid w:val="00014289"/>
    <w:rsid w:val="000142B3"/>
    <w:rsid w:val="0001447B"/>
    <w:rsid w:val="00014559"/>
    <w:rsid w:val="000145A0"/>
    <w:rsid w:val="00014BF5"/>
    <w:rsid w:val="00014E8F"/>
    <w:rsid w:val="00014F3E"/>
    <w:rsid w:val="00014F6B"/>
    <w:rsid w:val="00015501"/>
    <w:rsid w:val="00015634"/>
    <w:rsid w:val="000157F7"/>
    <w:rsid w:val="00016340"/>
    <w:rsid w:val="00016389"/>
    <w:rsid w:val="00016541"/>
    <w:rsid w:val="00017309"/>
    <w:rsid w:val="00017821"/>
    <w:rsid w:val="00017D16"/>
    <w:rsid w:val="00020073"/>
    <w:rsid w:val="000205AE"/>
    <w:rsid w:val="000209E9"/>
    <w:rsid w:val="00020C53"/>
    <w:rsid w:val="00020D75"/>
    <w:rsid w:val="0002155B"/>
    <w:rsid w:val="00021626"/>
    <w:rsid w:val="000218CC"/>
    <w:rsid w:val="00021BBE"/>
    <w:rsid w:val="00021CFB"/>
    <w:rsid w:val="00021D8E"/>
    <w:rsid w:val="00022290"/>
    <w:rsid w:val="0002232F"/>
    <w:rsid w:val="00022A6F"/>
    <w:rsid w:val="00022BB8"/>
    <w:rsid w:val="0002303A"/>
    <w:rsid w:val="00023267"/>
    <w:rsid w:val="00023428"/>
    <w:rsid w:val="0002342F"/>
    <w:rsid w:val="000234DD"/>
    <w:rsid w:val="000235EA"/>
    <w:rsid w:val="0002368D"/>
    <w:rsid w:val="0002438F"/>
    <w:rsid w:val="00024679"/>
    <w:rsid w:val="00024B49"/>
    <w:rsid w:val="00024D4D"/>
    <w:rsid w:val="00024D57"/>
    <w:rsid w:val="000250A5"/>
    <w:rsid w:val="0002535D"/>
    <w:rsid w:val="000258A5"/>
    <w:rsid w:val="0002591D"/>
    <w:rsid w:val="00025FA4"/>
    <w:rsid w:val="000260BB"/>
    <w:rsid w:val="00026202"/>
    <w:rsid w:val="000265CD"/>
    <w:rsid w:val="0002745E"/>
    <w:rsid w:val="000276D1"/>
    <w:rsid w:val="00027B07"/>
    <w:rsid w:val="000300A6"/>
    <w:rsid w:val="0003016B"/>
    <w:rsid w:val="000301B1"/>
    <w:rsid w:val="00030445"/>
    <w:rsid w:val="00030483"/>
    <w:rsid w:val="00030593"/>
    <w:rsid w:val="000306F6"/>
    <w:rsid w:val="00030C7D"/>
    <w:rsid w:val="0003124F"/>
    <w:rsid w:val="00031366"/>
    <w:rsid w:val="0003157F"/>
    <w:rsid w:val="00031741"/>
    <w:rsid w:val="00031DD7"/>
    <w:rsid w:val="00031F59"/>
    <w:rsid w:val="0003278F"/>
    <w:rsid w:val="00032DBA"/>
    <w:rsid w:val="000331B1"/>
    <w:rsid w:val="0003349B"/>
    <w:rsid w:val="000336EA"/>
    <w:rsid w:val="000337E5"/>
    <w:rsid w:val="00033CE1"/>
    <w:rsid w:val="00033F2F"/>
    <w:rsid w:val="0003435D"/>
    <w:rsid w:val="0003466A"/>
    <w:rsid w:val="000346B9"/>
    <w:rsid w:val="00034924"/>
    <w:rsid w:val="00035085"/>
    <w:rsid w:val="000350B5"/>
    <w:rsid w:val="00035B95"/>
    <w:rsid w:val="00035BDB"/>
    <w:rsid w:val="00035EC2"/>
    <w:rsid w:val="00035F24"/>
    <w:rsid w:val="00036521"/>
    <w:rsid w:val="00036556"/>
    <w:rsid w:val="000367F1"/>
    <w:rsid w:val="00036935"/>
    <w:rsid w:val="00036969"/>
    <w:rsid w:val="00036AE8"/>
    <w:rsid w:val="00036B5C"/>
    <w:rsid w:val="00036F78"/>
    <w:rsid w:val="0003720B"/>
    <w:rsid w:val="00037387"/>
    <w:rsid w:val="0003744E"/>
    <w:rsid w:val="00037564"/>
    <w:rsid w:val="00037747"/>
    <w:rsid w:val="00037A1C"/>
    <w:rsid w:val="00037B36"/>
    <w:rsid w:val="00037BD1"/>
    <w:rsid w:val="00037F4B"/>
    <w:rsid w:val="00040180"/>
    <w:rsid w:val="00040489"/>
    <w:rsid w:val="00040C4B"/>
    <w:rsid w:val="00040E68"/>
    <w:rsid w:val="00040F09"/>
    <w:rsid w:val="00041112"/>
    <w:rsid w:val="00041404"/>
    <w:rsid w:val="000415B7"/>
    <w:rsid w:val="00041722"/>
    <w:rsid w:val="00041BF1"/>
    <w:rsid w:val="0004202D"/>
    <w:rsid w:val="000421BB"/>
    <w:rsid w:val="00042580"/>
    <w:rsid w:val="000425E7"/>
    <w:rsid w:val="000429D3"/>
    <w:rsid w:val="00042ECF"/>
    <w:rsid w:val="00043182"/>
    <w:rsid w:val="000431CF"/>
    <w:rsid w:val="0004340E"/>
    <w:rsid w:val="000434DF"/>
    <w:rsid w:val="0004385B"/>
    <w:rsid w:val="00044341"/>
    <w:rsid w:val="0004465E"/>
    <w:rsid w:val="00044817"/>
    <w:rsid w:val="00044DC7"/>
    <w:rsid w:val="00044FDB"/>
    <w:rsid w:val="00045186"/>
    <w:rsid w:val="0004526B"/>
    <w:rsid w:val="000452F0"/>
    <w:rsid w:val="00045656"/>
    <w:rsid w:val="00045944"/>
    <w:rsid w:val="00045A49"/>
    <w:rsid w:val="00045EB9"/>
    <w:rsid w:val="00046011"/>
    <w:rsid w:val="00046811"/>
    <w:rsid w:val="00046964"/>
    <w:rsid w:val="00046E5E"/>
    <w:rsid w:val="0004734F"/>
    <w:rsid w:val="000479C4"/>
    <w:rsid w:val="00047CDD"/>
    <w:rsid w:val="00047D10"/>
    <w:rsid w:val="00047D96"/>
    <w:rsid w:val="00050056"/>
    <w:rsid w:val="0005044C"/>
    <w:rsid w:val="00050B8C"/>
    <w:rsid w:val="000513FA"/>
    <w:rsid w:val="000514DA"/>
    <w:rsid w:val="000515D3"/>
    <w:rsid w:val="0005192F"/>
    <w:rsid w:val="000519B6"/>
    <w:rsid w:val="00051C09"/>
    <w:rsid w:val="00051EB0"/>
    <w:rsid w:val="00052B6F"/>
    <w:rsid w:val="00052D43"/>
    <w:rsid w:val="000534C3"/>
    <w:rsid w:val="0005356D"/>
    <w:rsid w:val="0005368E"/>
    <w:rsid w:val="00053E94"/>
    <w:rsid w:val="00053EB1"/>
    <w:rsid w:val="00054581"/>
    <w:rsid w:val="00054AF9"/>
    <w:rsid w:val="000554B1"/>
    <w:rsid w:val="0005571F"/>
    <w:rsid w:val="00055966"/>
    <w:rsid w:val="00055ACA"/>
    <w:rsid w:val="00055B16"/>
    <w:rsid w:val="00055D81"/>
    <w:rsid w:val="000560DB"/>
    <w:rsid w:val="00056138"/>
    <w:rsid w:val="000566A8"/>
    <w:rsid w:val="000566E7"/>
    <w:rsid w:val="00056816"/>
    <w:rsid w:val="00056873"/>
    <w:rsid w:val="0005691F"/>
    <w:rsid w:val="00056A94"/>
    <w:rsid w:val="00057040"/>
    <w:rsid w:val="000576E6"/>
    <w:rsid w:val="000602F2"/>
    <w:rsid w:val="000604B8"/>
    <w:rsid w:val="000604D5"/>
    <w:rsid w:val="000606EB"/>
    <w:rsid w:val="00060734"/>
    <w:rsid w:val="000609E4"/>
    <w:rsid w:val="00060B0C"/>
    <w:rsid w:val="00060D3A"/>
    <w:rsid w:val="00061992"/>
    <w:rsid w:val="00061A5A"/>
    <w:rsid w:val="00061AD8"/>
    <w:rsid w:val="00061C2A"/>
    <w:rsid w:val="00061C9A"/>
    <w:rsid w:val="00061CB9"/>
    <w:rsid w:val="000624D2"/>
    <w:rsid w:val="000626F5"/>
    <w:rsid w:val="00062848"/>
    <w:rsid w:val="000628B3"/>
    <w:rsid w:val="00062947"/>
    <w:rsid w:val="00062BFF"/>
    <w:rsid w:val="00062CC1"/>
    <w:rsid w:val="00062DD8"/>
    <w:rsid w:val="00062F92"/>
    <w:rsid w:val="00063106"/>
    <w:rsid w:val="00064007"/>
    <w:rsid w:val="00064199"/>
    <w:rsid w:val="0006448B"/>
    <w:rsid w:val="000645E0"/>
    <w:rsid w:val="00064771"/>
    <w:rsid w:val="0006502C"/>
    <w:rsid w:val="000651A7"/>
    <w:rsid w:val="00065E70"/>
    <w:rsid w:val="00066166"/>
    <w:rsid w:val="00066E46"/>
    <w:rsid w:val="00066FF9"/>
    <w:rsid w:val="0006703B"/>
    <w:rsid w:val="00067258"/>
    <w:rsid w:val="00067D0A"/>
    <w:rsid w:val="00067D23"/>
    <w:rsid w:val="00067E75"/>
    <w:rsid w:val="00067FA3"/>
    <w:rsid w:val="00067FD3"/>
    <w:rsid w:val="00070090"/>
    <w:rsid w:val="000706D7"/>
    <w:rsid w:val="00070707"/>
    <w:rsid w:val="000707CB"/>
    <w:rsid w:val="000708D2"/>
    <w:rsid w:val="00070921"/>
    <w:rsid w:val="000709E4"/>
    <w:rsid w:val="00070A1D"/>
    <w:rsid w:val="00070BE7"/>
    <w:rsid w:val="00070C22"/>
    <w:rsid w:val="00070CA4"/>
    <w:rsid w:val="00070F26"/>
    <w:rsid w:val="00070FE7"/>
    <w:rsid w:val="00070FF2"/>
    <w:rsid w:val="00071210"/>
    <w:rsid w:val="000713B9"/>
    <w:rsid w:val="00071454"/>
    <w:rsid w:val="00071555"/>
    <w:rsid w:val="000716AF"/>
    <w:rsid w:val="00071A4A"/>
    <w:rsid w:val="00071B1E"/>
    <w:rsid w:val="00071CEF"/>
    <w:rsid w:val="00072275"/>
    <w:rsid w:val="000722B6"/>
    <w:rsid w:val="000725F4"/>
    <w:rsid w:val="00072748"/>
    <w:rsid w:val="00072F2E"/>
    <w:rsid w:val="000731C4"/>
    <w:rsid w:val="000733C1"/>
    <w:rsid w:val="0007341D"/>
    <w:rsid w:val="000734D5"/>
    <w:rsid w:val="000735BC"/>
    <w:rsid w:val="0007380B"/>
    <w:rsid w:val="00073F02"/>
    <w:rsid w:val="00074199"/>
    <w:rsid w:val="00074518"/>
    <w:rsid w:val="0007474E"/>
    <w:rsid w:val="00074F77"/>
    <w:rsid w:val="00074FAA"/>
    <w:rsid w:val="00075149"/>
    <w:rsid w:val="0007541F"/>
    <w:rsid w:val="000757EF"/>
    <w:rsid w:val="00075A8B"/>
    <w:rsid w:val="0007601A"/>
    <w:rsid w:val="00076359"/>
    <w:rsid w:val="00076651"/>
    <w:rsid w:val="00076FAD"/>
    <w:rsid w:val="0007778E"/>
    <w:rsid w:val="00077808"/>
    <w:rsid w:val="000778B9"/>
    <w:rsid w:val="00077973"/>
    <w:rsid w:val="00077ACF"/>
    <w:rsid w:val="00077CED"/>
    <w:rsid w:val="00080083"/>
    <w:rsid w:val="000800FD"/>
    <w:rsid w:val="00080139"/>
    <w:rsid w:val="00080393"/>
    <w:rsid w:val="0008054B"/>
    <w:rsid w:val="000808D5"/>
    <w:rsid w:val="00080BD1"/>
    <w:rsid w:val="000810CC"/>
    <w:rsid w:val="00081356"/>
    <w:rsid w:val="00081819"/>
    <w:rsid w:val="00081C02"/>
    <w:rsid w:val="00081F62"/>
    <w:rsid w:val="0008208E"/>
    <w:rsid w:val="00082396"/>
    <w:rsid w:val="00082DE0"/>
    <w:rsid w:val="000835B0"/>
    <w:rsid w:val="00083799"/>
    <w:rsid w:val="0008390E"/>
    <w:rsid w:val="000839A1"/>
    <w:rsid w:val="00083FA0"/>
    <w:rsid w:val="000840B1"/>
    <w:rsid w:val="000844CB"/>
    <w:rsid w:val="000845F1"/>
    <w:rsid w:val="00085040"/>
    <w:rsid w:val="000852CB"/>
    <w:rsid w:val="0008583D"/>
    <w:rsid w:val="0008583F"/>
    <w:rsid w:val="00085D51"/>
    <w:rsid w:val="0008601D"/>
    <w:rsid w:val="0008653A"/>
    <w:rsid w:val="00086700"/>
    <w:rsid w:val="00086AD8"/>
    <w:rsid w:val="00086F19"/>
    <w:rsid w:val="00087218"/>
    <w:rsid w:val="0008771F"/>
    <w:rsid w:val="00087F2D"/>
    <w:rsid w:val="0009023B"/>
    <w:rsid w:val="0009078C"/>
    <w:rsid w:val="00090A4D"/>
    <w:rsid w:val="00090A73"/>
    <w:rsid w:val="00090ADE"/>
    <w:rsid w:val="00090B7F"/>
    <w:rsid w:val="00090C08"/>
    <w:rsid w:val="00090C57"/>
    <w:rsid w:val="00090D5D"/>
    <w:rsid w:val="00091014"/>
    <w:rsid w:val="000910B6"/>
    <w:rsid w:val="000912C3"/>
    <w:rsid w:val="000916EA"/>
    <w:rsid w:val="00091723"/>
    <w:rsid w:val="00091A2F"/>
    <w:rsid w:val="00092397"/>
    <w:rsid w:val="00092464"/>
    <w:rsid w:val="00092808"/>
    <w:rsid w:val="000929EB"/>
    <w:rsid w:val="00092D0E"/>
    <w:rsid w:val="00092E62"/>
    <w:rsid w:val="00092EB9"/>
    <w:rsid w:val="00092F2F"/>
    <w:rsid w:val="00093066"/>
    <w:rsid w:val="000930B7"/>
    <w:rsid w:val="000933AA"/>
    <w:rsid w:val="000934EA"/>
    <w:rsid w:val="00093791"/>
    <w:rsid w:val="00093BFE"/>
    <w:rsid w:val="00093D5E"/>
    <w:rsid w:val="00093E10"/>
    <w:rsid w:val="000940CC"/>
    <w:rsid w:val="00094229"/>
    <w:rsid w:val="00094A2D"/>
    <w:rsid w:val="00094BB0"/>
    <w:rsid w:val="00094C9B"/>
    <w:rsid w:val="00094EF7"/>
    <w:rsid w:val="00095185"/>
    <w:rsid w:val="000954DF"/>
    <w:rsid w:val="00095701"/>
    <w:rsid w:val="0009584B"/>
    <w:rsid w:val="0009622C"/>
    <w:rsid w:val="00096273"/>
    <w:rsid w:val="000962D6"/>
    <w:rsid w:val="00096504"/>
    <w:rsid w:val="00096597"/>
    <w:rsid w:val="000966A5"/>
    <w:rsid w:val="00096EEB"/>
    <w:rsid w:val="0009777E"/>
    <w:rsid w:val="00097B92"/>
    <w:rsid w:val="00097F60"/>
    <w:rsid w:val="000A02BE"/>
    <w:rsid w:val="000A03B8"/>
    <w:rsid w:val="000A06F4"/>
    <w:rsid w:val="000A09A2"/>
    <w:rsid w:val="000A09CF"/>
    <w:rsid w:val="000A0F1D"/>
    <w:rsid w:val="000A1084"/>
    <w:rsid w:val="000A16C9"/>
    <w:rsid w:val="000A1A5B"/>
    <w:rsid w:val="000A1BD2"/>
    <w:rsid w:val="000A2112"/>
    <w:rsid w:val="000A29E3"/>
    <w:rsid w:val="000A3730"/>
    <w:rsid w:val="000A37E3"/>
    <w:rsid w:val="000A43C9"/>
    <w:rsid w:val="000A4657"/>
    <w:rsid w:val="000A48CE"/>
    <w:rsid w:val="000A4924"/>
    <w:rsid w:val="000A4BA6"/>
    <w:rsid w:val="000A4F4D"/>
    <w:rsid w:val="000A5356"/>
    <w:rsid w:val="000A5583"/>
    <w:rsid w:val="000A5C19"/>
    <w:rsid w:val="000A5E05"/>
    <w:rsid w:val="000A5E4D"/>
    <w:rsid w:val="000A6020"/>
    <w:rsid w:val="000A619D"/>
    <w:rsid w:val="000A63FF"/>
    <w:rsid w:val="000A689A"/>
    <w:rsid w:val="000A6AA5"/>
    <w:rsid w:val="000A6E76"/>
    <w:rsid w:val="000A6FC3"/>
    <w:rsid w:val="000A716E"/>
    <w:rsid w:val="000A7395"/>
    <w:rsid w:val="000A74CA"/>
    <w:rsid w:val="000A7560"/>
    <w:rsid w:val="000A7B93"/>
    <w:rsid w:val="000B0020"/>
    <w:rsid w:val="000B0034"/>
    <w:rsid w:val="000B0463"/>
    <w:rsid w:val="000B07D9"/>
    <w:rsid w:val="000B1446"/>
    <w:rsid w:val="000B16E1"/>
    <w:rsid w:val="000B1E5F"/>
    <w:rsid w:val="000B227C"/>
    <w:rsid w:val="000B28DD"/>
    <w:rsid w:val="000B298A"/>
    <w:rsid w:val="000B2AA6"/>
    <w:rsid w:val="000B2BC4"/>
    <w:rsid w:val="000B3062"/>
    <w:rsid w:val="000B3109"/>
    <w:rsid w:val="000B3257"/>
    <w:rsid w:val="000B3B79"/>
    <w:rsid w:val="000B4459"/>
    <w:rsid w:val="000B4773"/>
    <w:rsid w:val="000B4AB8"/>
    <w:rsid w:val="000B4D66"/>
    <w:rsid w:val="000B5002"/>
    <w:rsid w:val="000B5480"/>
    <w:rsid w:val="000B59BF"/>
    <w:rsid w:val="000B5A7D"/>
    <w:rsid w:val="000B5EBA"/>
    <w:rsid w:val="000B6624"/>
    <w:rsid w:val="000B693F"/>
    <w:rsid w:val="000B6BC3"/>
    <w:rsid w:val="000B6DA7"/>
    <w:rsid w:val="000B6DC8"/>
    <w:rsid w:val="000B6EF1"/>
    <w:rsid w:val="000B6FE3"/>
    <w:rsid w:val="000B7059"/>
    <w:rsid w:val="000B7330"/>
    <w:rsid w:val="000B753F"/>
    <w:rsid w:val="000B791B"/>
    <w:rsid w:val="000B7B58"/>
    <w:rsid w:val="000B7D17"/>
    <w:rsid w:val="000B7E24"/>
    <w:rsid w:val="000B7F05"/>
    <w:rsid w:val="000C026C"/>
    <w:rsid w:val="000C06A2"/>
    <w:rsid w:val="000C0C1A"/>
    <w:rsid w:val="000C0D5A"/>
    <w:rsid w:val="000C0D8C"/>
    <w:rsid w:val="000C23A7"/>
    <w:rsid w:val="000C26FA"/>
    <w:rsid w:val="000C2B0D"/>
    <w:rsid w:val="000C2F24"/>
    <w:rsid w:val="000C3159"/>
    <w:rsid w:val="000C3200"/>
    <w:rsid w:val="000C360B"/>
    <w:rsid w:val="000C3B2E"/>
    <w:rsid w:val="000C3B3B"/>
    <w:rsid w:val="000C3E26"/>
    <w:rsid w:val="000C3F19"/>
    <w:rsid w:val="000C4419"/>
    <w:rsid w:val="000C4AF2"/>
    <w:rsid w:val="000C4C4F"/>
    <w:rsid w:val="000C5166"/>
    <w:rsid w:val="000C5889"/>
    <w:rsid w:val="000C5BAC"/>
    <w:rsid w:val="000C5E97"/>
    <w:rsid w:val="000C61C2"/>
    <w:rsid w:val="000C6338"/>
    <w:rsid w:val="000C66E1"/>
    <w:rsid w:val="000C68A6"/>
    <w:rsid w:val="000C6A80"/>
    <w:rsid w:val="000C6B22"/>
    <w:rsid w:val="000C6E5E"/>
    <w:rsid w:val="000C6EAF"/>
    <w:rsid w:val="000C6EF2"/>
    <w:rsid w:val="000C6F07"/>
    <w:rsid w:val="000C7104"/>
    <w:rsid w:val="000C7466"/>
    <w:rsid w:val="000C787D"/>
    <w:rsid w:val="000C7896"/>
    <w:rsid w:val="000D0038"/>
    <w:rsid w:val="000D013D"/>
    <w:rsid w:val="000D019A"/>
    <w:rsid w:val="000D040E"/>
    <w:rsid w:val="000D04FB"/>
    <w:rsid w:val="000D07E9"/>
    <w:rsid w:val="000D09DE"/>
    <w:rsid w:val="000D0B40"/>
    <w:rsid w:val="000D1060"/>
    <w:rsid w:val="000D1300"/>
    <w:rsid w:val="000D159F"/>
    <w:rsid w:val="000D19D9"/>
    <w:rsid w:val="000D1C7C"/>
    <w:rsid w:val="000D1DB7"/>
    <w:rsid w:val="000D2015"/>
    <w:rsid w:val="000D2398"/>
    <w:rsid w:val="000D29C8"/>
    <w:rsid w:val="000D2CC0"/>
    <w:rsid w:val="000D3217"/>
    <w:rsid w:val="000D3A67"/>
    <w:rsid w:val="000D3AD3"/>
    <w:rsid w:val="000D42CB"/>
    <w:rsid w:val="000D4406"/>
    <w:rsid w:val="000D4693"/>
    <w:rsid w:val="000D49E4"/>
    <w:rsid w:val="000D4BEB"/>
    <w:rsid w:val="000D4C5D"/>
    <w:rsid w:val="000D571E"/>
    <w:rsid w:val="000D57FA"/>
    <w:rsid w:val="000D58E0"/>
    <w:rsid w:val="000D5F2D"/>
    <w:rsid w:val="000D63E4"/>
    <w:rsid w:val="000D6650"/>
    <w:rsid w:val="000D683E"/>
    <w:rsid w:val="000D6BE9"/>
    <w:rsid w:val="000D7014"/>
    <w:rsid w:val="000D718F"/>
    <w:rsid w:val="000D7368"/>
    <w:rsid w:val="000D7392"/>
    <w:rsid w:val="000D7750"/>
    <w:rsid w:val="000D7D4D"/>
    <w:rsid w:val="000D7F40"/>
    <w:rsid w:val="000D7FAA"/>
    <w:rsid w:val="000E0361"/>
    <w:rsid w:val="000E06F7"/>
    <w:rsid w:val="000E099A"/>
    <w:rsid w:val="000E0D84"/>
    <w:rsid w:val="000E0DE2"/>
    <w:rsid w:val="000E194D"/>
    <w:rsid w:val="000E1A41"/>
    <w:rsid w:val="000E1AB6"/>
    <w:rsid w:val="000E214C"/>
    <w:rsid w:val="000E2269"/>
    <w:rsid w:val="000E26B8"/>
    <w:rsid w:val="000E2819"/>
    <w:rsid w:val="000E2B31"/>
    <w:rsid w:val="000E2CB9"/>
    <w:rsid w:val="000E2D48"/>
    <w:rsid w:val="000E2DA2"/>
    <w:rsid w:val="000E31A1"/>
    <w:rsid w:val="000E327B"/>
    <w:rsid w:val="000E3E10"/>
    <w:rsid w:val="000E3E32"/>
    <w:rsid w:val="000E41C2"/>
    <w:rsid w:val="000E43A2"/>
    <w:rsid w:val="000E46B2"/>
    <w:rsid w:val="000E48F7"/>
    <w:rsid w:val="000E4EF6"/>
    <w:rsid w:val="000E4F63"/>
    <w:rsid w:val="000E53EF"/>
    <w:rsid w:val="000E558E"/>
    <w:rsid w:val="000E584A"/>
    <w:rsid w:val="000E5BD2"/>
    <w:rsid w:val="000E5DB1"/>
    <w:rsid w:val="000E65E7"/>
    <w:rsid w:val="000E6654"/>
    <w:rsid w:val="000E67B4"/>
    <w:rsid w:val="000E67BB"/>
    <w:rsid w:val="000E6804"/>
    <w:rsid w:val="000E6A24"/>
    <w:rsid w:val="000E6BB2"/>
    <w:rsid w:val="000E757B"/>
    <w:rsid w:val="000E75D8"/>
    <w:rsid w:val="000E7823"/>
    <w:rsid w:val="000E78F7"/>
    <w:rsid w:val="000E7E96"/>
    <w:rsid w:val="000F013A"/>
    <w:rsid w:val="000F01DF"/>
    <w:rsid w:val="000F02D9"/>
    <w:rsid w:val="000F03C0"/>
    <w:rsid w:val="000F09C7"/>
    <w:rsid w:val="000F0B27"/>
    <w:rsid w:val="000F0B58"/>
    <w:rsid w:val="000F0F06"/>
    <w:rsid w:val="000F0F4D"/>
    <w:rsid w:val="000F1638"/>
    <w:rsid w:val="000F180E"/>
    <w:rsid w:val="000F2789"/>
    <w:rsid w:val="000F286D"/>
    <w:rsid w:val="000F2C4C"/>
    <w:rsid w:val="000F33AE"/>
    <w:rsid w:val="000F37C1"/>
    <w:rsid w:val="000F38F9"/>
    <w:rsid w:val="000F3F9F"/>
    <w:rsid w:val="000F545D"/>
    <w:rsid w:val="000F546A"/>
    <w:rsid w:val="000F573F"/>
    <w:rsid w:val="000F594D"/>
    <w:rsid w:val="000F5A80"/>
    <w:rsid w:val="000F5B0C"/>
    <w:rsid w:val="000F5E90"/>
    <w:rsid w:val="000F61CE"/>
    <w:rsid w:val="000F61FB"/>
    <w:rsid w:val="000F622C"/>
    <w:rsid w:val="000F65C5"/>
    <w:rsid w:val="000F6712"/>
    <w:rsid w:val="000F6939"/>
    <w:rsid w:val="000F6AC6"/>
    <w:rsid w:val="000F6B55"/>
    <w:rsid w:val="000F6F13"/>
    <w:rsid w:val="000F7174"/>
    <w:rsid w:val="000F7228"/>
    <w:rsid w:val="000F7478"/>
    <w:rsid w:val="000F776A"/>
    <w:rsid w:val="000F7C9A"/>
    <w:rsid w:val="000F7D2A"/>
    <w:rsid w:val="000F7DA2"/>
    <w:rsid w:val="00100211"/>
    <w:rsid w:val="00100456"/>
    <w:rsid w:val="001004C5"/>
    <w:rsid w:val="001004FF"/>
    <w:rsid w:val="00100752"/>
    <w:rsid w:val="001008E9"/>
    <w:rsid w:val="0010103A"/>
    <w:rsid w:val="001019C9"/>
    <w:rsid w:val="00102206"/>
    <w:rsid w:val="001024E6"/>
    <w:rsid w:val="001026A2"/>
    <w:rsid w:val="001027BA"/>
    <w:rsid w:val="00102931"/>
    <w:rsid w:val="00102B2A"/>
    <w:rsid w:val="00102F46"/>
    <w:rsid w:val="001037A1"/>
    <w:rsid w:val="00103F9E"/>
    <w:rsid w:val="00103FE8"/>
    <w:rsid w:val="00104248"/>
    <w:rsid w:val="0010429D"/>
    <w:rsid w:val="001042FE"/>
    <w:rsid w:val="001044F5"/>
    <w:rsid w:val="00104587"/>
    <w:rsid w:val="0010471C"/>
    <w:rsid w:val="0010493A"/>
    <w:rsid w:val="00104BA8"/>
    <w:rsid w:val="00104E5F"/>
    <w:rsid w:val="00104EA5"/>
    <w:rsid w:val="0010565B"/>
    <w:rsid w:val="0010566D"/>
    <w:rsid w:val="0010574B"/>
    <w:rsid w:val="0010581F"/>
    <w:rsid w:val="00105A4A"/>
    <w:rsid w:val="00105EFC"/>
    <w:rsid w:val="00106704"/>
    <w:rsid w:val="001068BD"/>
    <w:rsid w:val="00106DB6"/>
    <w:rsid w:val="00107031"/>
    <w:rsid w:val="0010752D"/>
    <w:rsid w:val="00107B92"/>
    <w:rsid w:val="0011018C"/>
    <w:rsid w:val="00110297"/>
    <w:rsid w:val="00110303"/>
    <w:rsid w:val="0011048D"/>
    <w:rsid w:val="0011062E"/>
    <w:rsid w:val="00110BC7"/>
    <w:rsid w:val="00110C02"/>
    <w:rsid w:val="00110DE6"/>
    <w:rsid w:val="001110FA"/>
    <w:rsid w:val="001111E4"/>
    <w:rsid w:val="0011147A"/>
    <w:rsid w:val="001117B8"/>
    <w:rsid w:val="00111839"/>
    <w:rsid w:val="00111E07"/>
    <w:rsid w:val="00112BA9"/>
    <w:rsid w:val="00112DDF"/>
    <w:rsid w:val="00112FE5"/>
    <w:rsid w:val="00113068"/>
    <w:rsid w:val="001137D4"/>
    <w:rsid w:val="00113CBF"/>
    <w:rsid w:val="00113CC6"/>
    <w:rsid w:val="00114083"/>
    <w:rsid w:val="001141C2"/>
    <w:rsid w:val="00114573"/>
    <w:rsid w:val="00114690"/>
    <w:rsid w:val="001149CB"/>
    <w:rsid w:val="00114B03"/>
    <w:rsid w:val="00114BD8"/>
    <w:rsid w:val="00114CBB"/>
    <w:rsid w:val="00115307"/>
    <w:rsid w:val="00115406"/>
    <w:rsid w:val="001154C9"/>
    <w:rsid w:val="0011584B"/>
    <w:rsid w:val="00115882"/>
    <w:rsid w:val="00115A41"/>
    <w:rsid w:val="00115AC7"/>
    <w:rsid w:val="0011621F"/>
    <w:rsid w:val="001167B0"/>
    <w:rsid w:val="00116ACC"/>
    <w:rsid w:val="00116D9E"/>
    <w:rsid w:val="00116E5B"/>
    <w:rsid w:val="0011702D"/>
    <w:rsid w:val="00117306"/>
    <w:rsid w:val="00117D19"/>
    <w:rsid w:val="00117D6C"/>
    <w:rsid w:val="00117D87"/>
    <w:rsid w:val="00117FCF"/>
    <w:rsid w:val="001201AE"/>
    <w:rsid w:val="0012029F"/>
    <w:rsid w:val="001206DB"/>
    <w:rsid w:val="001208D0"/>
    <w:rsid w:val="00120E46"/>
    <w:rsid w:val="00121076"/>
    <w:rsid w:val="001219F1"/>
    <w:rsid w:val="00121AF5"/>
    <w:rsid w:val="00121E68"/>
    <w:rsid w:val="00122AD4"/>
    <w:rsid w:val="00122C29"/>
    <w:rsid w:val="00122C3E"/>
    <w:rsid w:val="00122D3F"/>
    <w:rsid w:val="00122D4A"/>
    <w:rsid w:val="00122DD5"/>
    <w:rsid w:val="0012315C"/>
    <w:rsid w:val="001235D0"/>
    <w:rsid w:val="001236B4"/>
    <w:rsid w:val="00124467"/>
    <w:rsid w:val="00124D67"/>
    <w:rsid w:val="001256CA"/>
    <w:rsid w:val="001259C1"/>
    <w:rsid w:val="00125CE2"/>
    <w:rsid w:val="00125EFE"/>
    <w:rsid w:val="0012634D"/>
    <w:rsid w:val="00126796"/>
    <w:rsid w:val="0012690F"/>
    <w:rsid w:val="00126BFE"/>
    <w:rsid w:val="00126FCF"/>
    <w:rsid w:val="001275FC"/>
    <w:rsid w:val="001275FD"/>
    <w:rsid w:val="00127625"/>
    <w:rsid w:val="001301E0"/>
    <w:rsid w:val="001309D6"/>
    <w:rsid w:val="00130C59"/>
    <w:rsid w:val="001314C1"/>
    <w:rsid w:val="00131831"/>
    <w:rsid w:val="00131C59"/>
    <w:rsid w:val="00131DA8"/>
    <w:rsid w:val="00132B96"/>
    <w:rsid w:val="00132E8C"/>
    <w:rsid w:val="00133173"/>
    <w:rsid w:val="001333F4"/>
    <w:rsid w:val="00133A88"/>
    <w:rsid w:val="00133C00"/>
    <w:rsid w:val="00133F5A"/>
    <w:rsid w:val="00133FF3"/>
    <w:rsid w:val="001342C7"/>
    <w:rsid w:val="00134711"/>
    <w:rsid w:val="0013472B"/>
    <w:rsid w:val="001347B5"/>
    <w:rsid w:val="00134E12"/>
    <w:rsid w:val="001350BF"/>
    <w:rsid w:val="00135315"/>
    <w:rsid w:val="001353DA"/>
    <w:rsid w:val="00136C02"/>
    <w:rsid w:val="001376C9"/>
    <w:rsid w:val="00137B25"/>
    <w:rsid w:val="00140607"/>
    <w:rsid w:val="00140650"/>
    <w:rsid w:val="0014078B"/>
    <w:rsid w:val="00140804"/>
    <w:rsid w:val="001409F2"/>
    <w:rsid w:val="00140C41"/>
    <w:rsid w:val="0014112B"/>
    <w:rsid w:val="00141381"/>
    <w:rsid w:val="00141405"/>
    <w:rsid w:val="00141424"/>
    <w:rsid w:val="001415E5"/>
    <w:rsid w:val="00141730"/>
    <w:rsid w:val="001423CC"/>
    <w:rsid w:val="00142652"/>
    <w:rsid w:val="00142EF2"/>
    <w:rsid w:val="00142FF0"/>
    <w:rsid w:val="0014308A"/>
    <w:rsid w:val="00143111"/>
    <w:rsid w:val="001434CE"/>
    <w:rsid w:val="001435C2"/>
    <w:rsid w:val="00143658"/>
    <w:rsid w:val="00143685"/>
    <w:rsid w:val="001439A1"/>
    <w:rsid w:val="001439B6"/>
    <w:rsid w:val="00143E23"/>
    <w:rsid w:val="00144929"/>
    <w:rsid w:val="00144943"/>
    <w:rsid w:val="00144B9A"/>
    <w:rsid w:val="00144C0D"/>
    <w:rsid w:val="00144DF9"/>
    <w:rsid w:val="00145535"/>
    <w:rsid w:val="00145646"/>
    <w:rsid w:val="0014588A"/>
    <w:rsid w:val="00145CA4"/>
    <w:rsid w:val="00145FF3"/>
    <w:rsid w:val="00146093"/>
    <w:rsid w:val="00146688"/>
    <w:rsid w:val="00146F5B"/>
    <w:rsid w:val="0014743F"/>
    <w:rsid w:val="001477C6"/>
    <w:rsid w:val="00147A86"/>
    <w:rsid w:val="0015009D"/>
    <w:rsid w:val="00150346"/>
    <w:rsid w:val="001503AB"/>
    <w:rsid w:val="001503FE"/>
    <w:rsid w:val="001503FF"/>
    <w:rsid w:val="001504AA"/>
    <w:rsid w:val="001509E3"/>
    <w:rsid w:val="00150B6F"/>
    <w:rsid w:val="00151043"/>
    <w:rsid w:val="0015116A"/>
    <w:rsid w:val="00151A37"/>
    <w:rsid w:val="00151B6F"/>
    <w:rsid w:val="00151C0B"/>
    <w:rsid w:val="00152033"/>
    <w:rsid w:val="001521F5"/>
    <w:rsid w:val="00152BA0"/>
    <w:rsid w:val="00152FF2"/>
    <w:rsid w:val="0015310B"/>
    <w:rsid w:val="00153707"/>
    <w:rsid w:val="00154141"/>
    <w:rsid w:val="00154686"/>
    <w:rsid w:val="001546A2"/>
    <w:rsid w:val="0015473F"/>
    <w:rsid w:val="00154821"/>
    <w:rsid w:val="001548E5"/>
    <w:rsid w:val="00154953"/>
    <w:rsid w:val="001549D7"/>
    <w:rsid w:val="00154D39"/>
    <w:rsid w:val="001552B5"/>
    <w:rsid w:val="0015532B"/>
    <w:rsid w:val="00155DB3"/>
    <w:rsid w:val="00155FAF"/>
    <w:rsid w:val="001560CF"/>
    <w:rsid w:val="001563CD"/>
    <w:rsid w:val="001564BA"/>
    <w:rsid w:val="00156555"/>
    <w:rsid w:val="00156DE6"/>
    <w:rsid w:val="00156E83"/>
    <w:rsid w:val="00156EC8"/>
    <w:rsid w:val="00157304"/>
    <w:rsid w:val="00157541"/>
    <w:rsid w:val="001576A9"/>
    <w:rsid w:val="001578EC"/>
    <w:rsid w:val="00160349"/>
    <w:rsid w:val="001606FD"/>
    <w:rsid w:val="0016091F"/>
    <w:rsid w:val="00160E89"/>
    <w:rsid w:val="00160ED7"/>
    <w:rsid w:val="00160EF2"/>
    <w:rsid w:val="00161065"/>
    <w:rsid w:val="00161076"/>
    <w:rsid w:val="0016110F"/>
    <w:rsid w:val="00161295"/>
    <w:rsid w:val="00161807"/>
    <w:rsid w:val="0016194D"/>
    <w:rsid w:val="0016233A"/>
    <w:rsid w:val="0016235F"/>
    <w:rsid w:val="00162B6F"/>
    <w:rsid w:val="00162E85"/>
    <w:rsid w:val="00163101"/>
    <w:rsid w:val="00163189"/>
    <w:rsid w:val="001631A9"/>
    <w:rsid w:val="00163366"/>
    <w:rsid w:val="0016349B"/>
    <w:rsid w:val="001635D6"/>
    <w:rsid w:val="00163786"/>
    <w:rsid w:val="00163805"/>
    <w:rsid w:val="00163D07"/>
    <w:rsid w:val="001640F9"/>
    <w:rsid w:val="001648C7"/>
    <w:rsid w:val="00164CB8"/>
    <w:rsid w:val="00164F18"/>
    <w:rsid w:val="001651D4"/>
    <w:rsid w:val="0016525C"/>
    <w:rsid w:val="001654C1"/>
    <w:rsid w:val="001655C0"/>
    <w:rsid w:val="00165959"/>
    <w:rsid w:val="001659BE"/>
    <w:rsid w:val="00165A58"/>
    <w:rsid w:val="00165BEB"/>
    <w:rsid w:val="00166084"/>
    <w:rsid w:val="001666E8"/>
    <w:rsid w:val="00166949"/>
    <w:rsid w:val="00166D78"/>
    <w:rsid w:val="001675C1"/>
    <w:rsid w:val="001676B8"/>
    <w:rsid w:val="00167A5C"/>
    <w:rsid w:val="0017033D"/>
    <w:rsid w:val="00170EA2"/>
    <w:rsid w:val="001710B4"/>
    <w:rsid w:val="00171462"/>
    <w:rsid w:val="001719EB"/>
    <w:rsid w:val="00171AF0"/>
    <w:rsid w:val="00172007"/>
    <w:rsid w:val="001725C5"/>
    <w:rsid w:val="00172A27"/>
    <w:rsid w:val="00172B98"/>
    <w:rsid w:val="00172CC9"/>
    <w:rsid w:val="00173AD1"/>
    <w:rsid w:val="00173FFF"/>
    <w:rsid w:val="0017486C"/>
    <w:rsid w:val="00174F5A"/>
    <w:rsid w:val="001754DA"/>
    <w:rsid w:val="00175BD6"/>
    <w:rsid w:val="00175FE2"/>
    <w:rsid w:val="001760B9"/>
    <w:rsid w:val="00176B14"/>
    <w:rsid w:val="00176DB7"/>
    <w:rsid w:val="00176DFD"/>
    <w:rsid w:val="00176F5C"/>
    <w:rsid w:val="00177637"/>
    <w:rsid w:val="00177A0D"/>
    <w:rsid w:val="00177FC5"/>
    <w:rsid w:val="00180005"/>
    <w:rsid w:val="0018078C"/>
    <w:rsid w:val="00180C85"/>
    <w:rsid w:val="0018131A"/>
    <w:rsid w:val="001814B4"/>
    <w:rsid w:val="001816B0"/>
    <w:rsid w:val="00181716"/>
    <w:rsid w:val="001818F6"/>
    <w:rsid w:val="00181DF6"/>
    <w:rsid w:val="00181EAB"/>
    <w:rsid w:val="001820E0"/>
    <w:rsid w:val="00182889"/>
    <w:rsid w:val="0018293A"/>
    <w:rsid w:val="00182A09"/>
    <w:rsid w:val="00182AF2"/>
    <w:rsid w:val="00182F06"/>
    <w:rsid w:val="00183455"/>
    <w:rsid w:val="001837CF"/>
    <w:rsid w:val="00183BCC"/>
    <w:rsid w:val="00183E52"/>
    <w:rsid w:val="00183ECA"/>
    <w:rsid w:val="00183EE1"/>
    <w:rsid w:val="00184581"/>
    <w:rsid w:val="001845F2"/>
    <w:rsid w:val="001848C6"/>
    <w:rsid w:val="00184A5D"/>
    <w:rsid w:val="00184F93"/>
    <w:rsid w:val="001850FC"/>
    <w:rsid w:val="001858C7"/>
    <w:rsid w:val="00185C70"/>
    <w:rsid w:val="00185DFB"/>
    <w:rsid w:val="001860E2"/>
    <w:rsid w:val="0018619E"/>
    <w:rsid w:val="001861A2"/>
    <w:rsid w:val="001862AC"/>
    <w:rsid w:val="00186376"/>
    <w:rsid w:val="001865DA"/>
    <w:rsid w:val="001866FE"/>
    <w:rsid w:val="0018671C"/>
    <w:rsid w:val="00186BEB"/>
    <w:rsid w:val="00186EB4"/>
    <w:rsid w:val="00187114"/>
    <w:rsid w:val="001873EE"/>
    <w:rsid w:val="001873F2"/>
    <w:rsid w:val="00190726"/>
    <w:rsid w:val="0019075A"/>
    <w:rsid w:val="0019083C"/>
    <w:rsid w:val="0019189C"/>
    <w:rsid w:val="00191F2B"/>
    <w:rsid w:val="00192418"/>
    <w:rsid w:val="00192755"/>
    <w:rsid w:val="001927FC"/>
    <w:rsid w:val="00192C84"/>
    <w:rsid w:val="00193126"/>
    <w:rsid w:val="00193154"/>
    <w:rsid w:val="0019393B"/>
    <w:rsid w:val="00193A26"/>
    <w:rsid w:val="00193C34"/>
    <w:rsid w:val="00193E38"/>
    <w:rsid w:val="00193F2A"/>
    <w:rsid w:val="0019418E"/>
    <w:rsid w:val="0019447B"/>
    <w:rsid w:val="00194588"/>
    <w:rsid w:val="00194813"/>
    <w:rsid w:val="00194A6A"/>
    <w:rsid w:val="00194B8E"/>
    <w:rsid w:val="00194BA2"/>
    <w:rsid w:val="00194E5D"/>
    <w:rsid w:val="00194E9A"/>
    <w:rsid w:val="00194EF5"/>
    <w:rsid w:val="00194F23"/>
    <w:rsid w:val="001952AB"/>
    <w:rsid w:val="0019544C"/>
    <w:rsid w:val="001958A1"/>
    <w:rsid w:val="001958F1"/>
    <w:rsid w:val="00195A6D"/>
    <w:rsid w:val="00195C2B"/>
    <w:rsid w:val="00195FEB"/>
    <w:rsid w:val="00196C1B"/>
    <w:rsid w:val="00196E56"/>
    <w:rsid w:val="00196FA2"/>
    <w:rsid w:val="00197005"/>
    <w:rsid w:val="0019700C"/>
    <w:rsid w:val="0019721E"/>
    <w:rsid w:val="00197423"/>
    <w:rsid w:val="001979E0"/>
    <w:rsid w:val="001A1044"/>
    <w:rsid w:val="001A12A9"/>
    <w:rsid w:val="001A154D"/>
    <w:rsid w:val="001A1F68"/>
    <w:rsid w:val="001A2077"/>
    <w:rsid w:val="001A2109"/>
    <w:rsid w:val="001A26C7"/>
    <w:rsid w:val="001A2ABA"/>
    <w:rsid w:val="001A2CEB"/>
    <w:rsid w:val="001A2E71"/>
    <w:rsid w:val="001A3003"/>
    <w:rsid w:val="001A323E"/>
    <w:rsid w:val="001A33CE"/>
    <w:rsid w:val="001A3574"/>
    <w:rsid w:val="001A3BE0"/>
    <w:rsid w:val="001A3C49"/>
    <w:rsid w:val="001A42FC"/>
    <w:rsid w:val="001A46D0"/>
    <w:rsid w:val="001A48F6"/>
    <w:rsid w:val="001A5311"/>
    <w:rsid w:val="001A5B22"/>
    <w:rsid w:val="001A5CDE"/>
    <w:rsid w:val="001A5D3B"/>
    <w:rsid w:val="001A5DEB"/>
    <w:rsid w:val="001A5F92"/>
    <w:rsid w:val="001A6000"/>
    <w:rsid w:val="001A6223"/>
    <w:rsid w:val="001A6964"/>
    <w:rsid w:val="001A699A"/>
    <w:rsid w:val="001A6A4A"/>
    <w:rsid w:val="001A6B3D"/>
    <w:rsid w:val="001A6B4C"/>
    <w:rsid w:val="001A6C16"/>
    <w:rsid w:val="001A6D71"/>
    <w:rsid w:val="001A7AB6"/>
    <w:rsid w:val="001A7CD7"/>
    <w:rsid w:val="001B00D7"/>
    <w:rsid w:val="001B029F"/>
    <w:rsid w:val="001B02CA"/>
    <w:rsid w:val="001B0791"/>
    <w:rsid w:val="001B1032"/>
    <w:rsid w:val="001B1370"/>
    <w:rsid w:val="001B1ABC"/>
    <w:rsid w:val="001B2433"/>
    <w:rsid w:val="001B2A71"/>
    <w:rsid w:val="001B2F1C"/>
    <w:rsid w:val="001B30FD"/>
    <w:rsid w:val="001B3149"/>
    <w:rsid w:val="001B32DD"/>
    <w:rsid w:val="001B33DC"/>
    <w:rsid w:val="001B3990"/>
    <w:rsid w:val="001B40DB"/>
    <w:rsid w:val="001B4142"/>
    <w:rsid w:val="001B41D5"/>
    <w:rsid w:val="001B42D8"/>
    <w:rsid w:val="001B4972"/>
    <w:rsid w:val="001B4B86"/>
    <w:rsid w:val="001B5381"/>
    <w:rsid w:val="001B54C5"/>
    <w:rsid w:val="001B55E2"/>
    <w:rsid w:val="001B5825"/>
    <w:rsid w:val="001B589E"/>
    <w:rsid w:val="001B5C08"/>
    <w:rsid w:val="001B5E05"/>
    <w:rsid w:val="001B64E4"/>
    <w:rsid w:val="001B6FA4"/>
    <w:rsid w:val="001B7006"/>
    <w:rsid w:val="001B7AD1"/>
    <w:rsid w:val="001B7D65"/>
    <w:rsid w:val="001C0036"/>
    <w:rsid w:val="001C0915"/>
    <w:rsid w:val="001C165E"/>
    <w:rsid w:val="001C2681"/>
    <w:rsid w:val="001C26A9"/>
    <w:rsid w:val="001C310D"/>
    <w:rsid w:val="001C3162"/>
    <w:rsid w:val="001C31BC"/>
    <w:rsid w:val="001C370E"/>
    <w:rsid w:val="001C3E32"/>
    <w:rsid w:val="001C407E"/>
    <w:rsid w:val="001C40FA"/>
    <w:rsid w:val="001C4392"/>
    <w:rsid w:val="001C4D30"/>
    <w:rsid w:val="001C4D35"/>
    <w:rsid w:val="001C4E0F"/>
    <w:rsid w:val="001C501B"/>
    <w:rsid w:val="001C5075"/>
    <w:rsid w:val="001C50AD"/>
    <w:rsid w:val="001C523D"/>
    <w:rsid w:val="001C533C"/>
    <w:rsid w:val="001C53D8"/>
    <w:rsid w:val="001C5899"/>
    <w:rsid w:val="001C5A47"/>
    <w:rsid w:val="001C5B9C"/>
    <w:rsid w:val="001C5CB4"/>
    <w:rsid w:val="001C6432"/>
    <w:rsid w:val="001C65C5"/>
    <w:rsid w:val="001C69F8"/>
    <w:rsid w:val="001C6C17"/>
    <w:rsid w:val="001C7013"/>
    <w:rsid w:val="001C77B5"/>
    <w:rsid w:val="001C7888"/>
    <w:rsid w:val="001C7958"/>
    <w:rsid w:val="001D0071"/>
    <w:rsid w:val="001D022F"/>
    <w:rsid w:val="001D033D"/>
    <w:rsid w:val="001D0452"/>
    <w:rsid w:val="001D05F7"/>
    <w:rsid w:val="001D0968"/>
    <w:rsid w:val="001D0C35"/>
    <w:rsid w:val="001D0EA1"/>
    <w:rsid w:val="001D0F84"/>
    <w:rsid w:val="001D165C"/>
    <w:rsid w:val="001D19AC"/>
    <w:rsid w:val="001D1A94"/>
    <w:rsid w:val="001D1DD3"/>
    <w:rsid w:val="001D220F"/>
    <w:rsid w:val="001D2604"/>
    <w:rsid w:val="001D29AF"/>
    <w:rsid w:val="001D2CA6"/>
    <w:rsid w:val="001D32BB"/>
    <w:rsid w:val="001D3300"/>
    <w:rsid w:val="001D3802"/>
    <w:rsid w:val="001D3E20"/>
    <w:rsid w:val="001D3E2E"/>
    <w:rsid w:val="001D400D"/>
    <w:rsid w:val="001D40D3"/>
    <w:rsid w:val="001D40ED"/>
    <w:rsid w:val="001D43D0"/>
    <w:rsid w:val="001D45D2"/>
    <w:rsid w:val="001D4607"/>
    <w:rsid w:val="001D4AB9"/>
    <w:rsid w:val="001D4B04"/>
    <w:rsid w:val="001D4B54"/>
    <w:rsid w:val="001D4F77"/>
    <w:rsid w:val="001D5491"/>
    <w:rsid w:val="001D5921"/>
    <w:rsid w:val="001D5B85"/>
    <w:rsid w:val="001D5E1B"/>
    <w:rsid w:val="001D60D3"/>
    <w:rsid w:val="001D6227"/>
    <w:rsid w:val="001D66BF"/>
    <w:rsid w:val="001D67CA"/>
    <w:rsid w:val="001D7200"/>
    <w:rsid w:val="001D7969"/>
    <w:rsid w:val="001D7EB3"/>
    <w:rsid w:val="001E0821"/>
    <w:rsid w:val="001E0C9B"/>
    <w:rsid w:val="001E0FE3"/>
    <w:rsid w:val="001E10AF"/>
    <w:rsid w:val="001E12A6"/>
    <w:rsid w:val="001E141D"/>
    <w:rsid w:val="001E1C5F"/>
    <w:rsid w:val="001E1E1C"/>
    <w:rsid w:val="001E229D"/>
    <w:rsid w:val="001E25A8"/>
    <w:rsid w:val="001E2849"/>
    <w:rsid w:val="001E2B08"/>
    <w:rsid w:val="001E2B7A"/>
    <w:rsid w:val="001E2D5E"/>
    <w:rsid w:val="001E2DD5"/>
    <w:rsid w:val="001E2E15"/>
    <w:rsid w:val="001E2EC1"/>
    <w:rsid w:val="001E3088"/>
    <w:rsid w:val="001E37E8"/>
    <w:rsid w:val="001E3906"/>
    <w:rsid w:val="001E39F1"/>
    <w:rsid w:val="001E3C52"/>
    <w:rsid w:val="001E3D80"/>
    <w:rsid w:val="001E4C55"/>
    <w:rsid w:val="001E4CBD"/>
    <w:rsid w:val="001E5434"/>
    <w:rsid w:val="001E558F"/>
    <w:rsid w:val="001E5AD0"/>
    <w:rsid w:val="001E5BE8"/>
    <w:rsid w:val="001E62B3"/>
    <w:rsid w:val="001E689F"/>
    <w:rsid w:val="001E6D29"/>
    <w:rsid w:val="001E74EC"/>
    <w:rsid w:val="001E761E"/>
    <w:rsid w:val="001E77D3"/>
    <w:rsid w:val="001E7BB6"/>
    <w:rsid w:val="001F0461"/>
    <w:rsid w:val="001F047E"/>
    <w:rsid w:val="001F0506"/>
    <w:rsid w:val="001F093A"/>
    <w:rsid w:val="001F0B16"/>
    <w:rsid w:val="001F0E5D"/>
    <w:rsid w:val="001F111C"/>
    <w:rsid w:val="001F13C9"/>
    <w:rsid w:val="001F1901"/>
    <w:rsid w:val="001F1A52"/>
    <w:rsid w:val="001F205B"/>
    <w:rsid w:val="001F21AA"/>
    <w:rsid w:val="001F23CA"/>
    <w:rsid w:val="001F2D13"/>
    <w:rsid w:val="001F2D26"/>
    <w:rsid w:val="001F2DC8"/>
    <w:rsid w:val="001F3052"/>
    <w:rsid w:val="001F3099"/>
    <w:rsid w:val="001F3615"/>
    <w:rsid w:val="001F39DA"/>
    <w:rsid w:val="001F3E90"/>
    <w:rsid w:val="001F3FC3"/>
    <w:rsid w:val="001F4058"/>
    <w:rsid w:val="001F4330"/>
    <w:rsid w:val="001F4486"/>
    <w:rsid w:val="001F4CC7"/>
    <w:rsid w:val="001F4E7F"/>
    <w:rsid w:val="001F5306"/>
    <w:rsid w:val="001F537D"/>
    <w:rsid w:val="001F56EC"/>
    <w:rsid w:val="001F5C41"/>
    <w:rsid w:val="001F5D69"/>
    <w:rsid w:val="001F5E9C"/>
    <w:rsid w:val="001F621F"/>
    <w:rsid w:val="001F6222"/>
    <w:rsid w:val="001F68A9"/>
    <w:rsid w:val="001F6AA4"/>
    <w:rsid w:val="001F6B58"/>
    <w:rsid w:val="001F6F47"/>
    <w:rsid w:val="001F6F7B"/>
    <w:rsid w:val="001F73D3"/>
    <w:rsid w:val="001F7946"/>
    <w:rsid w:val="001F7B8E"/>
    <w:rsid w:val="00200212"/>
    <w:rsid w:val="0020029B"/>
    <w:rsid w:val="00200C68"/>
    <w:rsid w:val="00200EF8"/>
    <w:rsid w:val="00201AA3"/>
    <w:rsid w:val="00202064"/>
    <w:rsid w:val="002027F1"/>
    <w:rsid w:val="00202E8B"/>
    <w:rsid w:val="00202FD1"/>
    <w:rsid w:val="00203198"/>
    <w:rsid w:val="00203623"/>
    <w:rsid w:val="00203766"/>
    <w:rsid w:val="002040EE"/>
    <w:rsid w:val="00204630"/>
    <w:rsid w:val="002053B6"/>
    <w:rsid w:val="00205548"/>
    <w:rsid w:val="00205B13"/>
    <w:rsid w:val="00205EF7"/>
    <w:rsid w:val="0020609C"/>
    <w:rsid w:val="00206267"/>
    <w:rsid w:val="00206849"/>
    <w:rsid w:val="00206965"/>
    <w:rsid w:val="00206C78"/>
    <w:rsid w:val="00206D61"/>
    <w:rsid w:val="00207234"/>
    <w:rsid w:val="00207374"/>
    <w:rsid w:val="00207505"/>
    <w:rsid w:val="0020756A"/>
    <w:rsid w:val="0020761C"/>
    <w:rsid w:val="002076A4"/>
    <w:rsid w:val="00207F73"/>
    <w:rsid w:val="002100B5"/>
    <w:rsid w:val="002100DB"/>
    <w:rsid w:val="002105CB"/>
    <w:rsid w:val="002107D2"/>
    <w:rsid w:val="00210AAE"/>
    <w:rsid w:val="00210F98"/>
    <w:rsid w:val="0021135B"/>
    <w:rsid w:val="002118C4"/>
    <w:rsid w:val="00211956"/>
    <w:rsid w:val="00211F72"/>
    <w:rsid w:val="0021231B"/>
    <w:rsid w:val="0021247B"/>
    <w:rsid w:val="002128E6"/>
    <w:rsid w:val="00212C81"/>
    <w:rsid w:val="002132D2"/>
    <w:rsid w:val="0021337C"/>
    <w:rsid w:val="0021341F"/>
    <w:rsid w:val="002139A9"/>
    <w:rsid w:val="002139FC"/>
    <w:rsid w:val="00213B98"/>
    <w:rsid w:val="00213CDC"/>
    <w:rsid w:val="00213D55"/>
    <w:rsid w:val="00213FC8"/>
    <w:rsid w:val="00213FD9"/>
    <w:rsid w:val="002142C9"/>
    <w:rsid w:val="002145E7"/>
    <w:rsid w:val="00214884"/>
    <w:rsid w:val="002149C8"/>
    <w:rsid w:val="00214D6E"/>
    <w:rsid w:val="00214DD2"/>
    <w:rsid w:val="002150AC"/>
    <w:rsid w:val="0021517D"/>
    <w:rsid w:val="00215882"/>
    <w:rsid w:val="00215E45"/>
    <w:rsid w:val="0021603A"/>
    <w:rsid w:val="002161C2"/>
    <w:rsid w:val="002162FD"/>
    <w:rsid w:val="002163B4"/>
    <w:rsid w:val="00216703"/>
    <w:rsid w:val="00216B58"/>
    <w:rsid w:val="00216F98"/>
    <w:rsid w:val="00217041"/>
    <w:rsid w:val="0021724E"/>
    <w:rsid w:val="00217448"/>
    <w:rsid w:val="00217571"/>
    <w:rsid w:val="00217A37"/>
    <w:rsid w:val="00217C6C"/>
    <w:rsid w:val="00220088"/>
    <w:rsid w:val="0022033C"/>
    <w:rsid w:val="00220673"/>
    <w:rsid w:val="0022147E"/>
    <w:rsid w:val="0022163E"/>
    <w:rsid w:val="002217DB"/>
    <w:rsid w:val="002217F6"/>
    <w:rsid w:val="0022197C"/>
    <w:rsid w:val="00221B5B"/>
    <w:rsid w:val="00221B61"/>
    <w:rsid w:val="0022218A"/>
    <w:rsid w:val="00222417"/>
    <w:rsid w:val="0022249A"/>
    <w:rsid w:val="00222852"/>
    <w:rsid w:val="00222939"/>
    <w:rsid w:val="00223269"/>
    <w:rsid w:val="00223570"/>
    <w:rsid w:val="002238A4"/>
    <w:rsid w:val="00223A56"/>
    <w:rsid w:val="00223E11"/>
    <w:rsid w:val="00223ED1"/>
    <w:rsid w:val="00223F83"/>
    <w:rsid w:val="00224160"/>
    <w:rsid w:val="002243AA"/>
    <w:rsid w:val="00224525"/>
    <w:rsid w:val="00224C62"/>
    <w:rsid w:val="00224D9F"/>
    <w:rsid w:val="00224F40"/>
    <w:rsid w:val="002252F8"/>
    <w:rsid w:val="00225527"/>
    <w:rsid w:val="00225B13"/>
    <w:rsid w:val="002260C1"/>
    <w:rsid w:val="0022619D"/>
    <w:rsid w:val="0022664B"/>
    <w:rsid w:val="0022671E"/>
    <w:rsid w:val="00226DA6"/>
    <w:rsid w:val="00226DCC"/>
    <w:rsid w:val="00226F4B"/>
    <w:rsid w:val="002271CF"/>
    <w:rsid w:val="00227453"/>
    <w:rsid w:val="0022747B"/>
    <w:rsid w:val="002276C9"/>
    <w:rsid w:val="0022771A"/>
    <w:rsid w:val="00230647"/>
    <w:rsid w:val="00230E7B"/>
    <w:rsid w:val="002310CE"/>
    <w:rsid w:val="002311C9"/>
    <w:rsid w:val="00231CF3"/>
    <w:rsid w:val="00231D7A"/>
    <w:rsid w:val="00231DC5"/>
    <w:rsid w:val="002322E9"/>
    <w:rsid w:val="0023245E"/>
    <w:rsid w:val="002328CD"/>
    <w:rsid w:val="002328E7"/>
    <w:rsid w:val="00232AFE"/>
    <w:rsid w:val="00232FC8"/>
    <w:rsid w:val="002333EE"/>
    <w:rsid w:val="00233561"/>
    <w:rsid w:val="00233A32"/>
    <w:rsid w:val="00234089"/>
    <w:rsid w:val="00234B28"/>
    <w:rsid w:val="00234B7A"/>
    <w:rsid w:val="002351F0"/>
    <w:rsid w:val="002356C4"/>
    <w:rsid w:val="002357EA"/>
    <w:rsid w:val="00235968"/>
    <w:rsid w:val="002359BE"/>
    <w:rsid w:val="00235BE0"/>
    <w:rsid w:val="00235C59"/>
    <w:rsid w:val="00235EAB"/>
    <w:rsid w:val="00236047"/>
    <w:rsid w:val="00236280"/>
    <w:rsid w:val="0023632E"/>
    <w:rsid w:val="0023644E"/>
    <w:rsid w:val="00236451"/>
    <w:rsid w:val="00236539"/>
    <w:rsid w:val="002369E3"/>
    <w:rsid w:val="00236AF1"/>
    <w:rsid w:val="00236D7E"/>
    <w:rsid w:val="0023725D"/>
    <w:rsid w:val="00237751"/>
    <w:rsid w:val="002377CC"/>
    <w:rsid w:val="00237E65"/>
    <w:rsid w:val="002403CF"/>
    <w:rsid w:val="00240BBA"/>
    <w:rsid w:val="00240D0F"/>
    <w:rsid w:val="002420D1"/>
    <w:rsid w:val="002420D2"/>
    <w:rsid w:val="002424D2"/>
    <w:rsid w:val="00242629"/>
    <w:rsid w:val="0024283A"/>
    <w:rsid w:val="00242A63"/>
    <w:rsid w:val="00242BF6"/>
    <w:rsid w:val="00242EB4"/>
    <w:rsid w:val="002430D7"/>
    <w:rsid w:val="002436BE"/>
    <w:rsid w:val="0024381F"/>
    <w:rsid w:val="002439B5"/>
    <w:rsid w:val="00243F55"/>
    <w:rsid w:val="0024438D"/>
    <w:rsid w:val="00244924"/>
    <w:rsid w:val="002449B9"/>
    <w:rsid w:val="002449EC"/>
    <w:rsid w:val="00244A93"/>
    <w:rsid w:val="00244FE1"/>
    <w:rsid w:val="0024519D"/>
    <w:rsid w:val="00245301"/>
    <w:rsid w:val="00245364"/>
    <w:rsid w:val="00245846"/>
    <w:rsid w:val="00245B47"/>
    <w:rsid w:val="00245D1C"/>
    <w:rsid w:val="00245F72"/>
    <w:rsid w:val="0024639C"/>
    <w:rsid w:val="00246A62"/>
    <w:rsid w:val="00247297"/>
    <w:rsid w:val="002474C9"/>
    <w:rsid w:val="00247739"/>
    <w:rsid w:val="00247A91"/>
    <w:rsid w:val="00247B03"/>
    <w:rsid w:val="00247DFF"/>
    <w:rsid w:val="00247F35"/>
    <w:rsid w:val="002501C5"/>
    <w:rsid w:val="0025068A"/>
    <w:rsid w:val="00250A7A"/>
    <w:rsid w:val="00250A7C"/>
    <w:rsid w:val="002511F2"/>
    <w:rsid w:val="00251589"/>
    <w:rsid w:val="0025189D"/>
    <w:rsid w:val="0025190B"/>
    <w:rsid w:val="00251968"/>
    <w:rsid w:val="00251B58"/>
    <w:rsid w:val="00251CE4"/>
    <w:rsid w:val="00251DA1"/>
    <w:rsid w:val="0025236F"/>
    <w:rsid w:val="002523A6"/>
    <w:rsid w:val="0025289F"/>
    <w:rsid w:val="00252BAB"/>
    <w:rsid w:val="00252E1C"/>
    <w:rsid w:val="002530B5"/>
    <w:rsid w:val="0025317B"/>
    <w:rsid w:val="00253432"/>
    <w:rsid w:val="0025357D"/>
    <w:rsid w:val="002535E9"/>
    <w:rsid w:val="00253779"/>
    <w:rsid w:val="00253967"/>
    <w:rsid w:val="00253B1F"/>
    <w:rsid w:val="00253DC4"/>
    <w:rsid w:val="00253E2B"/>
    <w:rsid w:val="0025419E"/>
    <w:rsid w:val="002543A9"/>
    <w:rsid w:val="00254408"/>
    <w:rsid w:val="00254BA9"/>
    <w:rsid w:val="00254C05"/>
    <w:rsid w:val="0025501B"/>
    <w:rsid w:val="002553CC"/>
    <w:rsid w:val="0025557C"/>
    <w:rsid w:val="00255644"/>
    <w:rsid w:val="00255725"/>
    <w:rsid w:val="00255EDA"/>
    <w:rsid w:val="002567D8"/>
    <w:rsid w:val="00256DCD"/>
    <w:rsid w:val="00256E14"/>
    <w:rsid w:val="00257158"/>
    <w:rsid w:val="00257224"/>
    <w:rsid w:val="0025756F"/>
    <w:rsid w:val="00257754"/>
    <w:rsid w:val="00257CD0"/>
    <w:rsid w:val="002602B6"/>
    <w:rsid w:val="002604AE"/>
    <w:rsid w:val="002606FB"/>
    <w:rsid w:val="00260998"/>
    <w:rsid w:val="00260C93"/>
    <w:rsid w:val="00260FC6"/>
    <w:rsid w:val="00261438"/>
    <w:rsid w:val="002614B5"/>
    <w:rsid w:val="00261516"/>
    <w:rsid w:val="00261B5C"/>
    <w:rsid w:val="00261CF1"/>
    <w:rsid w:val="00261E41"/>
    <w:rsid w:val="00262227"/>
    <w:rsid w:val="002627B1"/>
    <w:rsid w:val="0026295E"/>
    <w:rsid w:val="0026379E"/>
    <w:rsid w:val="002637A8"/>
    <w:rsid w:val="00263916"/>
    <w:rsid w:val="0026396F"/>
    <w:rsid w:val="00263C08"/>
    <w:rsid w:val="00263FE6"/>
    <w:rsid w:val="00264137"/>
    <w:rsid w:val="00264321"/>
    <w:rsid w:val="002644D3"/>
    <w:rsid w:val="00264F83"/>
    <w:rsid w:val="00265209"/>
    <w:rsid w:val="002654D0"/>
    <w:rsid w:val="00265577"/>
    <w:rsid w:val="00265AFB"/>
    <w:rsid w:val="00266366"/>
    <w:rsid w:val="00266745"/>
    <w:rsid w:val="00267425"/>
    <w:rsid w:val="00267A34"/>
    <w:rsid w:val="00270081"/>
    <w:rsid w:val="0027031C"/>
    <w:rsid w:val="002704FE"/>
    <w:rsid w:val="00270659"/>
    <w:rsid w:val="00270F16"/>
    <w:rsid w:val="00271064"/>
    <w:rsid w:val="00271468"/>
    <w:rsid w:val="00271DB6"/>
    <w:rsid w:val="002721B3"/>
    <w:rsid w:val="00272512"/>
    <w:rsid w:val="0027297E"/>
    <w:rsid w:val="00272BF5"/>
    <w:rsid w:val="00272D8C"/>
    <w:rsid w:val="00272E4B"/>
    <w:rsid w:val="00273A41"/>
    <w:rsid w:val="0027456A"/>
    <w:rsid w:val="00274AE1"/>
    <w:rsid w:val="00274EA5"/>
    <w:rsid w:val="00274FF4"/>
    <w:rsid w:val="002751E5"/>
    <w:rsid w:val="002752C4"/>
    <w:rsid w:val="0027564F"/>
    <w:rsid w:val="002757A4"/>
    <w:rsid w:val="00275807"/>
    <w:rsid w:val="00275A98"/>
    <w:rsid w:val="00275CBF"/>
    <w:rsid w:val="00275DAB"/>
    <w:rsid w:val="0027614B"/>
    <w:rsid w:val="0027639C"/>
    <w:rsid w:val="00276543"/>
    <w:rsid w:val="00276920"/>
    <w:rsid w:val="00276975"/>
    <w:rsid w:val="00276FD2"/>
    <w:rsid w:val="00277221"/>
    <w:rsid w:val="002772BE"/>
    <w:rsid w:val="002772D6"/>
    <w:rsid w:val="00277ADB"/>
    <w:rsid w:val="00277B8F"/>
    <w:rsid w:val="00277D06"/>
    <w:rsid w:val="00277F45"/>
    <w:rsid w:val="0028008B"/>
    <w:rsid w:val="0028028B"/>
    <w:rsid w:val="00280394"/>
    <w:rsid w:val="002804AF"/>
    <w:rsid w:val="002805EE"/>
    <w:rsid w:val="00280C9D"/>
    <w:rsid w:val="00280D18"/>
    <w:rsid w:val="00280D74"/>
    <w:rsid w:val="00281031"/>
    <w:rsid w:val="0028136C"/>
    <w:rsid w:val="002815D4"/>
    <w:rsid w:val="00281A88"/>
    <w:rsid w:val="00281CEF"/>
    <w:rsid w:val="002822FC"/>
    <w:rsid w:val="002827D7"/>
    <w:rsid w:val="002828EA"/>
    <w:rsid w:val="0028296E"/>
    <w:rsid w:val="002829A6"/>
    <w:rsid w:val="0028361E"/>
    <w:rsid w:val="00283C4D"/>
    <w:rsid w:val="00284184"/>
    <w:rsid w:val="0028423B"/>
    <w:rsid w:val="002843B4"/>
    <w:rsid w:val="00284517"/>
    <w:rsid w:val="0028459B"/>
    <w:rsid w:val="00284616"/>
    <w:rsid w:val="002846EF"/>
    <w:rsid w:val="00284B44"/>
    <w:rsid w:val="00285135"/>
    <w:rsid w:val="0028528D"/>
    <w:rsid w:val="00285B45"/>
    <w:rsid w:val="00285E0B"/>
    <w:rsid w:val="002860D8"/>
    <w:rsid w:val="00286124"/>
    <w:rsid w:val="00286626"/>
    <w:rsid w:val="0028669C"/>
    <w:rsid w:val="00286E94"/>
    <w:rsid w:val="00287089"/>
    <w:rsid w:val="00287160"/>
    <w:rsid w:val="00287675"/>
    <w:rsid w:val="00287699"/>
    <w:rsid w:val="002879D5"/>
    <w:rsid w:val="00287B57"/>
    <w:rsid w:val="00287F02"/>
    <w:rsid w:val="0029007F"/>
    <w:rsid w:val="002908D6"/>
    <w:rsid w:val="0029131C"/>
    <w:rsid w:val="00291440"/>
    <w:rsid w:val="00291C00"/>
    <w:rsid w:val="002921BA"/>
    <w:rsid w:val="00292E27"/>
    <w:rsid w:val="00292EC5"/>
    <w:rsid w:val="0029326C"/>
    <w:rsid w:val="002939BA"/>
    <w:rsid w:val="00293D29"/>
    <w:rsid w:val="00294351"/>
    <w:rsid w:val="00294382"/>
    <w:rsid w:val="002943F8"/>
    <w:rsid w:val="002945D3"/>
    <w:rsid w:val="002947C7"/>
    <w:rsid w:val="00294AF9"/>
    <w:rsid w:val="00294B4C"/>
    <w:rsid w:val="002950DE"/>
    <w:rsid w:val="002955DA"/>
    <w:rsid w:val="00295A52"/>
    <w:rsid w:val="00295A82"/>
    <w:rsid w:val="00295B9F"/>
    <w:rsid w:val="00295E84"/>
    <w:rsid w:val="0029627D"/>
    <w:rsid w:val="00296618"/>
    <w:rsid w:val="0029670B"/>
    <w:rsid w:val="00296797"/>
    <w:rsid w:val="00296B9E"/>
    <w:rsid w:val="00296EDD"/>
    <w:rsid w:val="00296F10"/>
    <w:rsid w:val="002970DE"/>
    <w:rsid w:val="0029716B"/>
    <w:rsid w:val="0029728E"/>
    <w:rsid w:val="00297909"/>
    <w:rsid w:val="0029793D"/>
    <w:rsid w:val="00297A9F"/>
    <w:rsid w:val="00297DC4"/>
    <w:rsid w:val="00297E68"/>
    <w:rsid w:val="002A089D"/>
    <w:rsid w:val="002A11C7"/>
    <w:rsid w:val="002A127E"/>
    <w:rsid w:val="002A13A6"/>
    <w:rsid w:val="002A159C"/>
    <w:rsid w:val="002A172C"/>
    <w:rsid w:val="002A19CA"/>
    <w:rsid w:val="002A203C"/>
    <w:rsid w:val="002A212B"/>
    <w:rsid w:val="002A2E24"/>
    <w:rsid w:val="002A32E1"/>
    <w:rsid w:val="002A339A"/>
    <w:rsid w:val="002A3C17"/>
    <w:rsid w:val="002A3D9D"/>
    <w:rsid w:val="002A3ED0"/>
    <w:rsid w:val="002A42C2"/>
    <w:rsid w:val="002A42CD"/>
    <w:rsid w:val="002A42F8"/>
    <w:rsid w:val="002A45B4"/>
    <w:rsid w:val="002A4962"/>
    <w:rsid w:val="002A49A1"/>
    <w:rsid w:val="002A4B7B"/>
    <w:rsid w:val="002A4D5E"/>
    <w:rsid w:val="002A4DA8"/>
    <w:rsid w:val="002A50D2"/>
    <w:rsid w:val="002A52A4"/>
    <w:rsid w:val="002A52C6"/>
    <w:rsid w:val="002A5301"/>
    <w:rsid w:val="002A5B5A"/>
    <w:rsid w:val="002A64DE"/>
    <w:rsid w:val="002A65A4"/>
    <w:rsid w:val="002A66DE"/>
    <w:rsid w:val="002A685B"/>
    <w:rsid w:val="002A6EF7"/>
    <w:rsid w:val="002A70B7"/>
    <w:rsid w:val="002A74D6"/>
    <w:rsid w:val="002A75BB"/>
    <w:rsid w:val="002A78E4"/>
    <w:rsid w:val="002A7DEB"/>
    <w:rsid w:val="002A7EAA"/>
    <w:rsid w:val="002A7F1E"/>
    <w:rsid w:val="002B07E6"/>
    <w:rsid w:val="002B0832"/>
    <w:rsid w:val="002B0C51"/>
    <w:rsid w:val="002B1013"/>
    <w:rsid w:val="002B12B8"/>
    <w:rsid w:val="002B1414"/>
    <w:rsid w:val="002B16E4"/>
    <w:rsid w:val="002B1757"/>
    <w:rsid w:val="002B191A"/>
    <w:rsid w:val="002B1C96"/>
    <w:rsid w:val="002B1E76"/>
    <w:rsid w:val="002B2A0C"/>
    <w:rsid w:val="002B2EA3"/>
    <w:rsid w:val="002B2F85"/>
    <w:rsid w:val="002B3474"/>
    <w:rsid w:val="002B3741"/>
    <w:rsid w:val="002B3949"/>
    <w:rsid w:val="002B3A60"/>
    <w:rsid w:val="002B3E05"/>
    <w:rsid w:val="002B4735"/>
    <w:rsid w:val="002B4F9C"/>
    <w:rsid w:val="002B51C5"/>
    <w:rsid w:val="002B56F3"/>
    <w:rsid w:val="002B58E6"/>
    <w:rsid w:val="002B5C93"/>
    <w:rsid w:val="002B5D55"/>
    <w:rsid w:val="002B5EB9"/>
    <w:rsid w:val="002B5EE2"/>
    <w:rsid w:val="002B5F4A"/>
    <w:rsid w:val="002B66B3"/>
    <w:rsid w:val="002B69E7"/>
    <w:rsid w:val="002B7110"/>
    <w:rsid w:val="002B7396"/>
    <w:rsid w:val="002B75EC"/>
    <w:rsid w:val="002B7C0A"/>
    <w:rsid w:val="002B7D3B"/>
    <w:rsid w:val="002C0000"/>
    <w:rsid w:val="002C0125"/>
    <w:rsid w:val="002C0439"/>
    <w:rsid w:val="002C0B68"/>
    <w:rsid w:val="002C0F89"/>
    <w:rsid w:val="002C125F"/>
    <w:rsid w:val="002C1596"/>
    <w:rsid w:val="002C18C1"/>
    <w:rsid w:val="002C190E"/>
    <w:rsid w:val="002C1DA1"/>
    <w:rsid w:val="002C1DAB"/>
    <w:rsid w:val="002C2195"/>
    <w:rsid w:val="002C25CA"/>
    <w:rsid w:val="002C3538"/>
    <w:rsid w:val="002C39A5"/>
    <w:rsid w:val="002C489C"/>
    <w:rsid w:val="002C49B3"/>
    <w:rsid w:val="002C4E08"/>
    <w:rsid w:val="002C5117"/>
    <w:rsid w:val="002C5165"/>
    <w:rsid w:val="002C51FA"/>
    <w:rsid w:val="002C55F0"/>
    <w:rsid w:val="002C56FD"/>
    <w:rsid w:val="002C6398"/>
    <w:rsid w:val="002C6545"/>
    <w:rsid w:val="002C677C"/>
    <w:rsid w:val="002C6CA0"/>
    <w:rsid w:val="002C7659"/>
    <w:rsid w:val="002C7A55"/>
    <w:rsid w:val="002C7A65"/>
    <w:rsid w:val="002D01DE"/>
    <w:rsid w:val="002D0511"/>
    <w:rsid w:val="002D0774"/>
    <w:rsid w:val="002D0BC7"/>
    <w:rsid w:val="002D1003"/>
    <w:rsid w:val="002D1042"/>
    <w:rsid w:val="002D1148"/>
    <w:rsid w:val="002D1733"/>
    <w:rsid w:val="002D1A5C"/>
    <w:rsid w:val="002D1D60"/>
    <w:rsid w:val="002D1DB3"/>
    <w:rsid w:val="002D1F55"/>
    <w:rsid w:val="002D239A"/>
    <w:rsid w:val="002D2879"/>
    <w:rsid w:val="002D2EB4"/>
    <w:rsid w:val="002D3228"/>
    <w:rsid w:val="002D342B"/>
    <w:rsid w:val="002D344E"/>
    <w:rsid w:val="002D3559"/>
    <w:rsid w:val="002D35D0"/>
    <w:rsid w:val="002D3BA2"/>
    <w:rsid w:val="002D3C3C"/>
    <w:rsid w:val="002D3DBF"/>
    <w:rsid w:val="002D43DF"/>
    <w:rsid w:val="002D49B9"/>
    <w:rsid w:val="002D4BF2"/>
    <w:rsid w:val="002D533C"/>
    <w:rsid w:val="002D57D2"/>
    <w:rsid w:val="002D5816"/>
    <w:rsid w:val="002D58BC"/>
    <w:rsid w:val="002D5A07"/>
    <w:rsid w:val="002D5C80"/>
    <w:rsid w:val="002D5E64"/>
    <w:rsid w:val="002D60F1"/>
    <w:rsid w:val="002D61E2"/>
    <w:rsid w:val="002D6282"/>
    <w:rsid w:val="002D65DD"/>
    <w:rsid w:val="002D65FE"/>
    <w:rsid w:val="002D696B"/>
    <w:rsid w:val="002D6EE1"/>
    <w:rsid w:val="002D6FF9"/>
    <w:rsid w:val="002D71CA"/>
    <w:rsid w:val="002D73A1"/>
    <w:rsid w:val="002D73EF"/>
    <w:rsid w:val="002D7703"/>
    <w:rsid w:val="002E01C1"/>
    <w:rsid w:val="002E0589"/>
    <w:rsid w:val="002E0EC6"/>
    <w:rsid w:val="002E1C26"/>
    <w:rsid w:val="002E1E6B"/>
    <w:rsid w:val="002E24C6"/>
    <w:rsid w:val="002E25B0"/>
    <w:rsid w:val="002E25C3"/>
    <w:rsid w:val="002E265D"/>
    <w:rsid w:val="002E2FE3"/>
    <w:rsid w:val="002E3309"/>
    <w:rsid w:val="002E35F8"/>
    <w:rsid w:val="002E38B9"/>
    <w:rsid w:val="002E3BEF"/>
    <w:rsid w:val="002E3C8A"/>
    <w:rsid w:val="002E42F1"/>
    <w:rsid w:val="002E4371"/>
    <w:rsid w:val="002E49AC"/>
    <w:rsid w:val="002E4B4D"/>
    <w:rsid w:val="002E50D2"/>
    <w:rsid w:val="002E5186"/>
    <w:rsid w:val="002E51A4"/>
    <w:rsid w:val="002E522F"/>
    <w:rsid w:val="002E5398"/>
    <w:rsid w:val="002E5515"/>
    <w:rsid w:val="002E55C6"/>
    <w:rsid w:val="002E5993"/>
    <w:rsid w:val="002E5F75"/>
    <w:rsid w:val="002E6BD0"/>
    <w:rsid w:val="002E7009"/>
    <w:rsid w:val="002E7272"/>
    <w:rsid w:val="002E7688"/>
    <w:rsid w:val="002E776E"/>
    <w:rsid w:val="002E7ABD"/>
    <w:rsid w:val="002E7B7C"/>
    <w:rsid w:val="002E7B9A"/>
    <w:rsid w:val="002F048F"/>
    <w:rsid w:val="002F09B1"/>
    <w:rsid w:val="002F0D3A"/>
    <w:rsid w:val="002F1530"/>
    <w:rsid w:val="002F15BE"/>
    <w:rsid w:val="002F1CA7"/>
    <w:rsid w:val="002F1CBD"/>
    <w:rsid w:val="002F1D71"/>
    <w:rsid w:val="002F205E"/>
    <w:rsid w:val="002F220A"/>
    <w:rsid w:val="002F279F"/>
    <w:rsid w:val="002F290B"/>
    <w:rsid w:val="002F2B37"/>
    <w:rsid w:val="002F2E29"/>
    <w:rsid w:val="002F2F01"/>
    <w:rsid w:val="002F3285"/>
    <w:rsid w:val="002F3B73"/>
    <w:rsid w:val="002F3C8E"/>
    <w:rsid w:val="002F3FBD"/>
    <w:rsid w:val="002F4476"/>
    <w:rsid w:val="002F468E"/>
    <w:rsid w:val="002F4A6E"/>
    <w:rsid w:val="002F5685"/>
    <w:rsid w:val="002F56AE"/>
    <w:rsid w:val="002F589F"/>
    <w:rsid w:val="002F59A7"/>
    <w:rsid w:val="002F59E9"/>
    <w:rsid w:val="002F5A92"/>
    <w:rsid w:val="002F5D6B"/>
    <w:rsid w:val="002F5E7C"/>
    <w:rsid w:val="002F637B"/>
    <w:rsid w:val="002F63EC"/>
    <w:rsid w:val="002F66B8"/>
    <w:rsid w:val="002F6718"/>
    <w:rsid w:val="002F6739"/>
    <w:rsid w:val="002F68AA"/>
    <w:rsid w:val="002F6A27"/>
    <w:rsid w:val="002F6D58"/>
    <w:rsid w:val="002F70A6"/>
    <w:rsid w:val="002F70A7"/>
    <w:rsid w:val="002F7292"/>
    <w:rsid w:val="002F7430"/>
    <w:rsid w:val="002F7941"/>
    <w:rsid w:val="002F7AB3"/>
    <w:rsid w:val="002F7F00"/>
    <w:rsid w:val="0030053B"/>
    <w:rsid w:val="00300867"/>
    <w:rsid w:val="00300918"/>
    <w:rsid w:val="0030094A"/>
    <w:rsid w:val="00300AFB"/>
    <w:rsid w:val="00300F04"/>
    <w:rsid w:val="00300F5F"/>
    <w:rsid w:val="0030154E"/>
    <w:rsid w:val="00301B78"/>
    <w:rsid w:val="00301D82"/>
    <w:rsid w:val="00301E48"/>
    <w:rsid w:val="00302320"/>
    <w:rsid w:val="00302802"/>
    <w:rsid w:val="00302B1A"/>
    <w:rsid w:val="00302E66"/>
    <w:rsid w:val="003034F5"/>
    <w:rsid w:val="00303B62"/>
    <w:rsid w:val="00303C4B"/>
    <w:rsid w:val="003040AB"/>
    <w:rsid w:val="0030414D"/>
    <w:rsid w:val="00304693"/>
    <w:rsid w:val="0030556A"/>
    <w:rsid w:val="00305AE0"/>
    <w:rsid w:val="00305CB4"/>
    <w:rsid w:val="00305D16"/>
    <w:rsid w:val="00305F1A"/>
    <w:rsid w:val="00305F75"/>
    <w:rsid w:val="003062BB"/>
    <w:rsid w:val="00306417"/>
    <w:rsid w:val="00306496"/>
    <w:rsid w:val="003065BB"/>
    <w:rsid w:val="0030692D"/>
    <w:rsid w:val="00306A1E"/>
    <w:rsid w:val="00306B6F"/>
    <w:rsid w:val="00306BD4"/>
    <w:rsid w:val="0030703A"/>
    <w:rsid w:val="00307112"/>
    <w:rsid w:val="0030729D"/>
    <w:rsid w:val="003073D0"/>
    <w:rsid w:val="003074DC"/>
    <w:rsid w:val="00307745"/>
    <w:rsid w:val="00307BC6"/>
    <w:rsid w:val="00307CAD"/>
    <w:rsid w:val="0031001B"/>
    <w:rsid w:val="00310B37"/>
    <w:rsid w:val="00310CB0"/>
    <w:rsid w:val="00311437"/>
    <w:rsid w:val="0031165C"/>
    <w:rsid w:val="00311820"/>
    <w:rsid w:val="00311888"/>
    <w:rsid w:val="00311A26"/>
    <w:rsid w:val="00311C3D"/>
    <w:rsid w:val="003125FC"/>
    <w:rsid w:val="00312FD4"/>
    <w:rsid w:val="00313819"/>
    <w:rsid w:val="00313982"/>
    <w:rsid w:val="00313EC1"/>
    <w:rsid w:val="003140D3"/>
    <w:rsid w:val="00314315"/>
    <w:rsid w:val="00314489"/>
    <w:rsid w:val="0031457F"/>
    <w:rsid w:val="003155B1"/>
    <w:rsid w:val="003156A2"/>
    <w:rsid w:val="00315923"/>
    <w:rsid w:val="003159D0"/>
    <w:rsid w:val="00316B09"/>
    <w:rsid w:val="00316B72"/>
    <w:rsid w:val="00317230"/>
    <w:rsid w:val="00317D65"/>
    <w:rsid w:val="00317EDE"/>
    <w:rsid w:val="0032075B"/>
    <w:rsid w:val="003208EF"/>
    <w:rsid w:val="0032096F"/>
    <w:rsid w:val="00320BEE"/>
    <w:rsid w:val="00320F7D"/>
    <w:rsid w:val="00321228"/>
    <w:rsid w:val="0032128E"/>
    <w:rsid w:val="00321440"/>
    <w:rsid w:val="00321913"/>
    <w:rsid w:val="003219AF"/>
    <w:rsid w:val="003221B8"/>
    <w:rsid w:val="003223B1"/>
    <w:rsid w:val="00322674"/>
    <w:rsid w:val="0032276C"/>
    <w:rsid w:val="003229BA"/>
    <w:rsid w:val="00322C6B"/>
    <w:rsid w:val="00322EFE"/>
    <w:rsid w:val="00322F9D"/>
    <w:rsid w:val="00323202"/>
    <w:rsid w:val="00323A09"/>
    <w:rsid w:val="00325104"/>
    <w:rsid w:val="00325327"/>
    <w:rsid w:val="00325347"/>
    <w:rsid w:val="00325A41"/>
    <w:rsid w:val="00325D01"/>
    <w:rsid w:val="00326287"/>
    <w:rsid w:val="00326415"/>
    <w:rsid w:val="003264C4"/>
    <w:rsid w:val="00326A91"/>
    <w:rsid w:val="00326AF8"/>
    <w:rsid w:val="00326F24"/>
    <w:rsid w:val="003270DA"/>
    <w:rsid w:val="003273A4"/>
    <w:rsid w:val="0032754F"/>
    <w:rsid w:val="0032764A"/>
    <w:rsid w:val="00327809"/>
    <w:rsid w:val="00327823"/>
    <w:rsid w:val="00327A6D"/>
    <w:rsid w:val="00327C9E"/>
    <w:rsid w:val="00330325"/>
    <w:rsid w:val="0033045D"/>
    <w:rsid w:val="003305CF"/>
    <w:rsid w:val="00330666"/>
    <w:rsid w:val="00330846"/>
    <w:rsid w:val="00330CDF"/>
    <w:rsid w:val="00330F18"/>
    <w:rsid w:val="00330FE1"/>
    <w:rsid w:val="003315A2"/>
    <w:rsid w:val="00331A59"/>
    <w:rsid w:val="00331F01"/>
    <w:rsid w:val="003321AC"/>
    <w:rsid w:val="0033224C"/>
    <w:rsid w:val="003322DC"/>
    <w:rsid w:val="003326BB"/>
    <w:rsid w:val="003328B3"/>
    <w:rsid w:val="00332B03"/>
    <w:rsid w:val="00332B2F"/>
    <w:rsid w:val="00332C84"/>
    <w:rsid w:val="0033307B"/>
    <w:rsid w:val="0033307C"/>
    <w:rsid w:val="003337C7"/>
    <w:rsid w:val="00333A49"/>
    <w:rsid w:val="0033402D"/>
    <w:rsid w:val="003343BC"/>
    <w:rsid w:val="003343D7"/>
    <w:rsid w:val="00334898"/>
    <w:rsid w:val="003349C5"/>
    <w:rsid w:val="00334CC5"/>
    <w:rsid w:val="00334F84"/>
    <w:rsid w:val="00335094"/>
    <w:rsid w:val="003351CA"/>
    <w:rsid w:val="00335571"/>
    <w:rsid w:val="003355BB"/>
    <w:rsid w:val="00335672"/>
    <w:rsid w:val="00335919"/>
    <w:rsid w:val="00335FB5"/>
    <w:rsid w:val="003365A8"/>
    <w:rsid w:val="0033688F"/>
    <w:rsid w:val="00336956"/>
    <w:rsid w:val="00336D39"/>
    <w:rsid w:val="00336FB9"/>
    <w:rsid w:val="00337161"/>
    <w:rsid w:val="003371DB"/>
    <w:rsid w:val="003373B5"/>
    <w:rsid w:val="0033745E"/>
    <w:rsid w:val="00337566"/>
    <w:rsid w:val="003375E3"/>
    <w:rsid w:val="003376D8"/>
    <w:rsid w:val="00337B7E"/>
    <w:rsid w:val="00340226"/>
    <w:rsid w:val="0034046B"/>
    <w:rsid w:val="0034048B"/>
    <w:rsid w:val="003404E6"/>
    <w:rsid w:val="00340564"/>
    <w:rsid w:val="003406E7"/>
    <w:rsid w:val="00340868"/>
    <w:rsid w:val="00340952"/>
    <w:rsid w:val="003409F0"/>
    <w:rsid w:val="00340A33"/>
    <w:rsid w:val="003411ED"/>
    <w:rsid w:val="00341481"/>
    <w:rsid w:val="003414B9"/>
    <w:rsid w:val="00341622"/>
    <w:rsid w:val="00341BA4"/>
    <w:rsid w:val="00341BBA"/>
    <w:rsid w:val="00342766"/>
    <w:rsid w:val="003429E1"/>
    <w:rsid w:val="00342D4A"/>
    <w:rsid w:val="00342F9B"/>
    <w:rsid w:val="00343115"/>
    <w:rsid w:val="003432CA"/>
    <w:rsid w:val="00343C4F"/>
    <w:rsid w:val="00343E6D"/>
    <w:rsid w:val="003443C4"/>
    <w:rsid w:val="00344674"/>
    <w:rsid w:val="00344848"/>
    <w:rsid w:val="00344A26"/>
    <w:rsid w:val="00344AC8"/>
    <w:rsid w:val="00344BE1"/>
    <w:rsid w:val="00345683"/>
    <w:rsid w:val="0034577D"/>
    <w:rsid w:val="0034597B"/>
    <w:rsid w:val="00345A33"/>
    <w:rsid w:val="00345D34"/>
    <w:rsid w:val="00345D9B"/>
    <w:rsid w:val="00346125"/>
    <w:rsid w:val="0034665D"/>
    <w:rsid w:val="00346D60"/>
    <w:rsid w:val="0034730D"/>
    <w:rsid w:val="003475C2"/>
    <w:rsid w:val="00347756"/>
    <w:rsid w:val="0034787F"/>
    <w:rsid w:val="00347C07"/>
    <w:rsid w:val="003500B0"/>
    <w:rsid w:val="003501AA"/>
    <w:rsid w:val="0035056B"/>
    <w:rsid w:val="003505BB"/>
    <w:rsid w:val="00350697"/>
    <w:rsid w:val="003507C9"/>
    <w:rsid w:val="00350B49"/>
    <w:rsid w:val="00350D6F"/>
    <w:rsid w:val="00350F6F"/>
    <w:rsid w:val="00350FB5"/>
    <w:rsid w:val="00351BBD"/>
    <w:rsid w:val="00351F8D"/>
    <w:rsid w:val="003520BC"/>
    <w:rsid w:val="00352169"/>
    <w:rsid w:val="003525B6"/>
    <w:rsid w:val="00352894"/>
    <w:rsid w:val="00352DDE"/>
    <w:rsid w:val="003532EE"/>
    <w:rsid w:val="0035475C"/>
    <w:rsid w:val="0035568D"/>
    <w:rsid w:val="003557DA"/>
    <w:rsid w:val="00355ABD"/>
    <w:rsid w:val="00355B5A"/>
    <w:rsid w:val="00355C6B"/>
    <w:rsid w:val="003560A9"/>
    <w:rsid w:val="003562CB"/>
    <w:rsid w:val="00356687"/>
    <w:rsid w:val="0035679A"/>
    <w:rsid w:val="0035680A"/>
    <w:rsid w:val="003568EF"/>
    <w:rsid w:val="00356D33"/>
    <w:rsid w:val="0035703F"/>
    <w:rsid w:val="0035726A"/>
    <w:rsid w:val="00357558"/>
    <w:rsid w:val="0035779B"/>
    <w:rsid w:val="00357C29"/>
    <w:rsid w:val="00357F12"/>
    <w:rsid w:val="00357F78"/>
    <w:rsid w:val="0036007B"/>
    <w:rsid w:val="003600D6"/>
    <w:rsid w:val="00360129"/>
    <w:rsid w:val="00360146"/>
    <w:rsid w:val="00360403"/>
    <w:rsid w:val="0036118F"/>
    <w:rsid w:val="003612FE"/>
    <w:rsid w:val="00361447"/>
    <w:rsid w:val="0036242C"/>
    <w:rsid w:val="0036266F"/>
    <w:rsid w:val="00362670"/>
    <w:rsid w:val="00362764"/>
    <w:rsid w:val="00362772"/>
    <w:rsid w:val="00362938"/>
    <w:rsid w:val="00362D61"/>
    <w:rsid w:val="00362DE3"/>
    <w:rsid w:val="003632E2"/>
    <w:rsid w:val="00363BD2"/>
    <w:rsid w:val="00363CE4"/>
    <w:rsid w:val="00363E53"/>
    <w:rsid w:val="00363E7D"/>
    <w:rsid w:val="003646DB"/>
    <w:rsid w:val="00364A18"/>
    <w:rsid w:val="00364BC1"/>
    <w:rsid w:val="00364ECE"/>
    <w:rsid w:val="00364FB4"/>
    <w:rsid w:val="0036528D"/>
    <w:rsid w:val="00365379"/>
    <w:rsid w:val="00365513"/>
    <w:rsid w:val="00365825"/>
    <w:rsid w:val="00365A9B"/>
    <w:rsid w:val="00365AF3"/>
    <w:rsid w:val="00365CF7"/>
    <w:rsid w:val="00366239"/>
    <w:rsid w:val="00366491"/>
    <w:rsid w:val="003665F3"/>
    <w:rsid w:val="003666A3"/>
    <w:rsid w:val="003666B5"/>
    <w:rsid w:val="00366895"/>
    <w:rsid w:val="00366A49"/>
    <w:rsid w:val="00367117"/>
    <w:rsid w:val="00367572"/>
    <w:rsid w:val="003676DB"/>
    <w:rsid w:val="00367B3C"/>
    <w:rsid w:val="00370122"/>
    <w:rsid w:val="003708CB"/>
    <w:rsid w:val="003708F8"/>
    <w:rsid w:val="00370926"/>
    <w:rsid w:val="00370985"/>
    <w:rsid w:val="00370CD0"/>
    <w:rsid w:val="0037138E"/>
    <w:rsid w:val="003713A1"/>
    <w:rsid w:val="003714B1"/>
    <w:rsid w:val="00371569"/>
    <w:rsid w:val="0037194A"/>
    <w:rsid w:val="00371F29"/>
    <w:rsid w:val="00372392"/>
    <w:rsid w:val="003725F1"/>
    <w:rsid w:val="0037281C"/>
    <w:rsid w:val="00372A1D"/>
    <w:rsid w:val="00372DF0"/>
    <w:rsid w:val="00372E09"/>
    <w:rsid w:val="00372E5D"/>
    <w:rsid w:val="003730BD"/>
    <w:rsid w:val="003732BC"/>
    <w:rsid w:val="003739F0"/>
    <w:rsid w:val="00374117"/>
    <w:rsid w:val="003743DD"/>
    <w:rsid w:val="003748DC"/>
    <w:rsid w:val="00374B15"/>
    <w:rsid w:val="00374DB5"/>
    <w:rsid w:val="00374FB6"/>
    <w:rsid w:val="00374FC4"/>
    <w:rsid w:val="0037508D"/>
    <w:rsid w:val="0037513A"/>
    <w:rsid w:val="0037578C"/>
    <w:rsid w:val="0037578D"/>
    <w:rsid w:val="003757EA"/>
    <w:rsid w:val="00375C17"/>
    <w:rsid w:val="00376105"/>
    <w:rsid w:val="0037645B"/>
    <w:rsid w:val="00376488"/>
    <w:rsid w:val="00376555"/>
    <w:rsid w:val="00376794"/>
    <w:rsid w:val="0037680F"/>
    <w:rsid w:val="0037682B"/>
    <w:rsid w:val="00376969"/>
    <w:rsid w:val="003769B5"/>
    <w:rsid w:val="00376A6B"/>
    <w:rsid w:val="00376A8F"/>
    <w:rsid w:val="00380250"/>
    <w:rsid w:val="00380B8C"/>
    <w:rsid w:val="00380FF1"/>
    <w:rsid w:val="00381085"/>
    <w:rsid w:val="0038132D"/>
    <w:rsid w:val="003815D4"/>
    <w:rsid w:val="00381803"/>
    <w:rsid w:val="00381E7D"/>
    <w:rsid w:val="00382036"/>
    <w:rsid w:val="00382F01"/>
    <w:rsid w:val="00383162"/>
    <w:rsid w:val="0038334F"/>
    <w:rsid w:val="003834A0"/>
    <w:rsid w:val="00383705"/>
    <w:rsid w:val="0038380A"/>
    <w:rsid w:val="00383A47"/>
    <w:rsid w:val="00383AB2"/>
    <w:rsid w:val="00383FA2"/>
    <w:rsid w:val="003847B9"/>
    <w:rsid w:val="00384858"/>
    <w:rsid w:val="00384F0A"/>
    <w:rsid w:val="00385500"/>
    <w:rsid w:val="00385575"/>
    <w:rsid w:val="00385729"/>
    <w:rsid w:val="0038576C"/>
    <w:rsid w:val="00385C05"/>
    <w:rsid w:val="00385F9F"/>
    <w:rsid w:val="003861F9"/>
    <w:rsid w:val="00386451"/>
    <w:rsid w:val="0038664F"/>
    <w:rsid w:val="003869FE"/>
    <w:rsid w:val="00386ACA"/>
    <w:rsid w:val="00386EAE"/>
    <w:rsid w:val="00386F43"/>
    <w:rsid w:val="00387622"/>
    <w:rsid w:val="003878AC"/>
    <w:rsid w:val="003879EE"/>
    <w:rsid w:val="00387A97"/>
    <w:rsid w:val="00387B19"/>
    <w:rsid w:val="00387C08"/>
    <w:rsid w:val="00387C19"/>
    <w:rsid w:val="00387E78"/>
    <w:rsid w:val="003901AD"/>
    <w:rsid w:val="003904A0"/>
    <w:rsid w:val="00390AE3"/>
    <w:rsid w:val="00390B8C"/>
    <w:rsid w:val="00390C07"/>
    <w:rsid w:val="00390C22"/>
    <w:rsid w:val="00390D24"/>
    <w:rsid w:val="00390FBE"/>
    <w:rsid w:val="0039128F"/>
    <w:rsid w:val="00391388"/>
    <w:rsid w:val="0039138A"/>
    <w:rsid w:val="00391585"/>
    <w:rsid w:val="0039159A"/>
    <w:rsid w:val="003915F2"/>
    <w:rsid w:val="0039180A"/>
    <w:rsid w:val="003922EA"/>
    <w:rsid w:val="003927D0"/>
    <w:rsid w:val="00392CA0"/>
    <w:rsid w:val="00392DE3"/>
    <w:rsid w:val="0039361C"/>
    <w:rsid w:val="00393A47"/>
    <w:rsid w:val="00393D3B"/>
    <w:rsid w:val="00393E38"/>
    <w:rsid w:val="00393E69"/>
    <w:rsid w:val="00393E8B"/>
    <w:rsid w:val="003940A0"/>
    <w:rsid w:val="003942B5"/>
    <w:rsid w:val="0039444D"/>
    <w:rsid w:val="00394546"/>
    <w:rsid w:val="003945A4"/>
    <w:rsid w:val="00394B26"/>
    <w:rsid w:val="00394D87"/>
    <w:rsid w:val="00394E28"/>
    <w:rsid w:val="00394EE9"/>
    <w:rsid w:val="00395050"/>
    <w:rsid w:val="0039518A"/>
    <w:rsid w:val="00395422"/>
    <w:rsid w:val="00395AA7"/>
    <w:rsid w:val="003960F9"/>
    <w:rsid w:val="00396294"/>
    <w:rsid w:val="0039642B"/>
    <w:rsid w:val="00396529"/>
    <w:rsid w:val="00396AB7"/>
    <w:rsid w:val="00396DB5"/>
    <w:rsid w:val="00396E0F"/>
    <w:rsid w:val="00396E55"/>
    <w:rsid w:val="00396E6D"/>
    <w:rsid w:val="003970E5"/>
    <w:rsid w:val="00397641"/>
    <w:rsid w:val="003976B2"/>
    <w:rsid w:val="00397A14"/>
    <w:rsid w:val="00397B1F"/>
    <w:rsid w:val="00397E31"/>
    <w:rsid w:val="00397FF9"/>
    <w:rsid w:val="003A00FE"/>
    <w:rsid w:val="003A04C1"/>
    <w:rsid w:val="003A0638"/>
    <w:rsid w:val="003A090E"/>
    <w:rsid w:val="003A0C9B"/>
    <w:rsid w:val="003A0DFC"/>
    <w:rsid w:val="003A0E6C"/>
    <w:rsid w:val="003A10F7"/>
    <w:rsid w:val="003A147B"/>
    <w:rsid w:val="003A167B"/>
    <w:rsid w:val="003A1684"/>
    <w:rsid w:val="003A1828"/>
    <w:rsid w:val="003A182C"/>
    <w:rsid w:val="003A202A"/>
    <w:rsid w:val="003A20A0"/>
    <w:rsid w:val="003A2976"/>
    <w:rsid w:val="003A29F7"/>
    <w:rsid w:val="003A2B52"/>
    <w:rsid w:val="003A2EB3"/>
    <w:rsid w:val="003A2FF6"/>
    <w:rsid w:val="003A32A8"/>
    <w:rsid w:val="003A3418"/>
    <w:rsid w:val="003A3B8F"/>
    <w:rsid w:val="003A3ED4"/>
    <w:rsid w:val="003A4155"/>
    <w:rsid w:val="003A42AD"/>
    <w:rsid w:val="003A48B2"/>
    <w:rsid w:val="003A4C50"/>
    <w:rsid w:val="003A4DD4"/>
    <w:rsid w:val="003A4F8C"/>
    <w:rsid w:val="003A4FE8"/>
    <w:rsid w:val="003A5243"/>
    <w:rsid w:val="003A54DC"/>
    <w:rsid w:val="003A5E58"/>
    <w:rsid w:val="003A6351"/>
    <w:rsid w:val="003A65A9"/>
    <w:rsid w:val="003A65EE"/>
    <w:rsid w:val="003A66E1"/>
    <w:rsid w:val="003A6757"/>
    <w:rsid w:val="003A6E59"/>
    <w:rsid w:val="003A6EE1"/>
    <w:rsid w:val="003A6EFD"/>
    <w:rsid w:val="003A721F"/>
    <w:rsid w:val="003A723E"/>
    <w:rsid w:val="003A7299"/>
    <w:rsid w:val="003A730C"/>
    <w:rsid w:val="003A7623"/>
    <w:rsid w:val="003A7CDF"/>
    <w:rsid w:val="003B0E3C"/>
    <w:rsid w:val="003B1025"/>
    <w:rsid w:val="003B1238"/>
    <w:rsid w:val="003B14C2"/>
    <w:rsid w:val="003B19E2"/>
    <w:rsid w:val="003B1A0B"/>
    <w:rsid w:val="003B1B66"/>
    <w:rsid w:val="003B1F0C"/>
    <w:rsid w:val="003B202E"/>
    <w:rsid w:val="003B215B"/>
    <w:rsid w:val="003B22B9"/>
    <w:rsid w:val="003B2346"/>
    <w:rsid w:val="003B2446"/>
    <w:rsid w:val="003B294E"/>
    <w:rsid w:val="003B2AE1"/>
    <w:rsid w:val="003B2FAD"/>
    <w:rsid w:val="003B2FF1"/>
    <w:rsid w:val="003B3B02"/>
    <w:rsid w:val="003B3B43"/>
    <w:rsid w:val="003B48C2"/>
    <w:rsid w:val="003B4A17"/>
    <w:rsid w:val="003B4BB8"/>
    <w:rsid w:val="003B5505"/>
    <w:rsid w:val="003B56AA"/>
    <w:rsid w:val="003B576A"/>
    <w:rsid w:val="003B5804"/>
    <w:rsid w:val="003B5C5B"/>
    <w:rsid w:val="003B5D4D"/>
    <w:rsid w:val="003B6512"/>
    <w:rsid w:val="003B6C4B"/>
    <w:rsid w:val="003B6CF0"/>
    <w:rsid w:val="003B6E11"/>
    <w:rsid w:val="003B72ED"/>
    <w:rsid w:val="003B75E4"/>
    <w:rsid w:val="003B7657"/>
    <w:rsid w:val="003B76EA"/>
    <w:rsid w:val="003C013F"/>
    <w:rsid w:val="003C0171"/>
    <w:rsid w:val="003C047A"/>
    <w:rsid w:val="003C06A4"/>
    <w:rsid w:val="003C1048"/>
    <w:rsid w:val="003C1354"/>
    <w:rsid w:val="003C1D16"/>
    <w:rsid w:val="003C1FD6"/>
    <w:rsid w:val="003C2004"/>
    <w:rsid w:val="003C20C6"/>
    <w:rsid w:val="003C26B0"/>
    <w:rsid w:val="003C310B"/>
    <w:rsid w:val="003C3170"/>
    <w:rsid w:val="003C326B"/>
    <w:rsid w:val="003C34D7"/>
    <w:rsid w:val="003C4049"/>
    <w:rsid w:val="003C4647"/>
    <w:rsid w:val="003C4658"/>
    <w:rsid w:val="003C49E8"/>
    <w:rsid w:val="003C4AB0"/>
    <w:rsid w:val="003C4B4D"/>
    <w:rsid w:val="003C5183"/>
    <w:rsid w:val="003C550B"/>
    <w:rsid w:val="003C55A1"/>
    <w:rsid w:val="003C5603"/>
    <w:rsid w:val="003C63DD"/>
    <w:rsid w:val="003C6580"/>
    <w:rsid w:val="003C6D9D"/>
    <w:rsid w:val="003C6E5D"/>
    <w:rsid w:val="003C700F"/>
    <w:rsid w:val="003C7644"/>
    <w:rsid w:val="003C7762"/>
    <w:rsid w:val="003C77DC"/>
    <w:rsid w:val="003C7850"/>
    <w:rsid w:val="003C7B33"/>
    <w:rsid w:val="003C7D3C"/>
    <w:rsid w:val="003C7F64"/>
    <w:rsid w:val="003D0022"/>
    <w:rsid w:val="003D016A"/>
    <w:rsid w:val="003D0908"/>
    <w:rsid w:val="003D09B3"/>
    <w:rsid w:val="003D0D24"/>
    <w:rsid w:val="003D0D43"/>
    <w:rsid w:val="003D0D63"/>
    <w:rsid w:val="003D13B4"/>
    <w:rsid w:val="003D153B"/>
    <w:rsid w:val="003D1A08"/>
    <w:rsid w:val="003D1CE5"/>
    <w:rsid w:val="003D1DAF"/>
    <w:rsid w:val="003D1F45"/>
    <w:rsid w:val="003D2019"/>
    <w:rsid w:val="003D240F"/>
    <w:rsid w:val="003D2A6E"/>
    <w:rsid w:val="003D2CCD"/>
    <w:rsid w:val="003D2DA7"/>
    <w:rsid w:val="003D2F60"/>
    <w:rsid w:val="003D3252"/>
    <w:rsid w:val="003D3698"/>
    <w:rsid w:val="003D3927"/>
    <w:rsid w:val="003D4D74"/>
    <w:rsid w:val="003D4DF2"/>
    <w:rsid w:val="003D51AA"/>
    <w:rsid w:val="003D5253"/>
    <w:rsid w:val="003D5394"/>
    <w:rsid w:val="003D5AE5"/>
    <w:rsid w:val="003D602B"/>
    <w:rsid w:val="003D6A78"/>
    <w:rsid w:val="003D70B2"/>
    <w:rsid w:val="003D7984"/>
    <w:rsid w:val="003D7ADD"/>
    <w:rsid w:val="003D7D8D"/>
    <w:rsid w:val="003D7D9E"/>
    <w:rsid w:val="003E0063"/>
    <w:rsid w:val="003E04E1"/>
    <w:rsid w:val="003E05B1"/>
    <w:rsid w:val="003E08A5"/>
    <w:rsid w:val="003E08A8"/>
    <w:rsid w:val="003E0CBE"/>
    <w:rsid w:val="003E0DAC"/>
    <w:rsid w:val="003E0E7A"/>
    <w:rsid w:val="003E0E99"/>
    <w:rsid w:val="003E0F11"/>
    <w:rsid w:val="003E1D5F"/>
    <w:rsid w:val="003E24A6"/>
    <w:rsid w:val="003E26FF"/>
    <w:rsid w:val="003E2915"/>
    <w:rsid w:val="003E30F4"/>
    <w:rsid w:val="003E34C0"/>
    <w:rsid w:val="003E3509"/>
    <w:rsid w:val="003E3955"/>
    <w:rsid w:val="003E3D7B"/>
    <w:rsid w:val="003E4093"/>
    <w:rsid w:val="003E4C9B"/>
    <w:rsid w:val="003E4F72"/>
    <w:rsid w:val="003E5084"/>
    <w:rsid w:val="003E52BE"/>
    <w:rsid w:val="003E5640"/>
    <w:rsid w:val="003E59C8"/>
    <w:rsid w:val="003E615F"/>
    <w:rsid w:val="003E6996"/>
    <w:rsid w:val="003E6AD7"/>
    <w:rsid w:val="003E6C0C"/>
    <w:rsid w:val="003E6DDE"/>
    <w:rsid w:val="003E7908"/>
    <w:rsid w:val="003E792F"/>
    <w:rsid w:val="003E7AF9"/>
    <w:rsid w:val="003E7BF4"/>
    <w:rsid w:val="003E7E99"/>
    <w:rsid w:val="003E7F4A"/>
    <w:rsid w:val="003F00AD"/>
    <w:rsid w:val="003F048E"/>
    <w:rsid w:val="003F0C4E"/>
    <w:rsid w:val="003F0D9E"/>
    <w:rsid w:val="003F0F5D"/>
    <w:rsid w:val="003F11A9"/>
    <w:rsid w:val="003F16C9"/>
    <w:rsid w:val="003F18A0"/>
    <w:rsid w:val="003F1B60"/>
    <w:rsid w:val="003F1BB1"/>
    <w:rsid w:val="003F1FEE"/>
    <w:rsid w:val="003F228D"/>
    <w:rsid w:val="003F265E"/>
    <w:rsid w:val="003F3530"/>
    <w:rsid w:val="003F3640"/>
    <w:rsid w:val="003F3854"/>
    <w:rsid w:val="003F3903"/>
    <w:rsid w:val="003F39BA"/>
    <w:rsid w:val="003F47F1"/>
    <w:rsid w:val="003F48A0"/>
    <w:rsid w:val="003F5717"/>
    <w:rsid w:val="003F58AA"/>
    <w:rsid w:val="003F5994"/>
    <w:rsid w:val="003F5AD4"/>
    <w:rsid w:val="003F5B18"/>
    <w:rsid w:val="003F5B58"/>
    <w:rsid w:val="003F5D6E"/>
    <w:rsid w:val="003F5EDE"/>
    <w:rsid w:val="003F5FAD"/>
    <w:rsid w:val="003F6225"/>
    <w:rsid w:val="003F632A"/>
    <w:rsid w:val="003F6352"/>
    <w:rsid w:val="003F64EC"/>
    <w:rsid w:val="003F6B15"/>
    <w:rsid w:val="003F6EFB"/>
    <w:rsid w:val="003F6FE1"/>
    <w:rsid w:val="003F7024"/>
    <w:rsid w:val="003F737F"/>
    <w:rsid w:val="003F77D7"/>
    <w:rsid w:val="003F7B27"/>
    <w:rsid w:val="003F7BD7"/>
    <w:rsid w:val="00400198"/>
    <w:rsid w:val="0040048F"/>
    <w:rsid w:val="00400D5D"/>
    <w:rsid w:val="00400D6A"/>
    <w:rsid w:val="004010E9"/>
    <w:rsid w:val="00401381"/>
    <w:rsid w:val="00401651"/>
    <w:rsid w:val="00401783"/>
    <w:rsid w:val="004017C3"/>
    <w:rsid w:val="00401B7A"/>
    <w:rsid w:val="00401BA2"/>
    <w:rsid w:val="004021A4"/>
    <w:rsid w:val="00402247"/>
    <w:rsid w:val="004026DC"/>
    <w:rsid w:val="004027F1"/>
    <w:rsid w:val="00402AD5"/>
    <w:rsid w:val="004033D4"/>
    <w:rsid w:val="0040355C"/>
    <w:rsid w:val="004035E3"/>
    <w:rsid w:val="0040391D"/>
    <w:rsid w:val="00403998"/>
    <w:rsid w:val="004039A5"/>
    <w:rsid w:val="00403BE3"/>
    <w:rsid w:val="00403E44"/>
    <w:rsid w:val="00404093"/>
    <w:rsid w:val="00404670"/>
    <w:rsid w:val="00404915"/>
    <w:rsid w:val="00404C81"/>
    <w:rsid w:val="00404D9F"/>
    <w:rsid w:val="004053F8"/>
    <w:rsid w:val="004055DE"/>
    <w:rsid w:val="00405E3E"/>
    <w:rsid w:val="00406215"/>
    <w:rsid w:val="00406298"/>
    <w:rsid w:val="00407026"/>
    <w:rsid w:val="00407561"/>
    <w:rsid w:val="004076E0"/>
    <w:rsid w:val="0040787A"/>
    <w:rsid w:val="0040793D"/>
    <w:rsid w:val="004079BF"/>
    <w:rsid w:val="00407A3D"/>
    <w:rsid w:val="00407B2B"/>
    <w:rsid w:val="00407D82"/>
    <w:rsid w:val="00407F72"/>
    <w:rsid w:val="00410065"/>
    <w:rsid w:val="004108C4"/>
    <w:rsid w:val="00410E0D"/>
    <w:rsid w:val="00411390"/>
    <w:rsid w:val="004116DD"/>
    <w:rsid w:val="004119B2"/>
    <w:rsid w:val="00411B47"/>
    <w:rsid w:val="00411CBF"/>
    <w:rsid w:val="00411DB2"/>
    <w:rsid w:val="0041202B"/>
    <w:rsid w:val="0041207C"/>
    <w:rsid w:val="0041218F"/>
    <w:rsid w:val="0041238B"/>
    <w:rsid w:val="00412504"/>
    <w:rsid w:val="00412699"/>
    <w:rsid w:val="00412771"/>
    <w:rsid w:val="00412892"/>
    <w:rsid w:val="00412966"/>
    <w:rsid w:val="00412EA3"/>
    <w:rsid w:val="00412F06"/>
    <w:rsid w:val="00412F33"/>
    <w:rsid w:val="00412F9C"/>
    <w:rsid w:val="004132F0"/>
    <w:rsid w:val="00413802"/>
    <w:rsid w:val="0041399C"/>
    <w:rsid w:val="00413AA0"/>
    <w:rsid w:val="00413C1D"/>
    <w:rsid w:val="00413EA5"/>
    <w:rsid w:val="00414876"/>
    <w:rsid w:val="00414B35"/>
    <w:rsid w:val="00414D71"/>
    <w:rsid w:val="0041525A"/>
    <w:rsid w:val="004154D0"/>
    <w:rsid w:val="004156A7"/>
    <w:rsid w:val="004159DC"/>
    <w:rsid w:val="00415EE2"/>
    <w:rsid w:val="00415F37"/>
    <w:rsid w:val="00416514"/>
    <w:rsid w:val="00416CAC"/>
    <w:rsid w:val="00416CC2"/>
    <w:rsid w:val="0041701B"/>
    <w:rsid w:val="00417586"/>
    <w:rsid w:val="004175D7"/>
    <w:rsid w:val="0041785F"/>
    <w:rsid w:val="0041798F"/>
    <w:rsid w:val="00417B53"/>
    <w:rsid w:val="00417B88"/>
    <w:rsid w:val="00417EC5"/>
    <w:rsid w:val="00420569"/>
    <w:rsid w:val="00420F9C"/>
    <w:rsid w:val="00421158"/>
    <w:rsid w:val="004216E2"/>
    <w:rsid w:val="00421937"/>
    <w:rsid w:val="00421975"/>
    <w:rsid w:val="00421A07"/>
    <w:rsid w:val="00421B23"/>
    <w:rsid w:val="00421B57"/>
    <w:rsid w:val="00421BF8"/>
    <w:rsid w:val="00421E79"/>
    <w:rsid w:val="004225B3"/>
    <w:rsid w:val="00422E15"/>
    <w:rsid w:val="00422EFB"/>
    <w:rsid w:val="00423011"/>
    <w:rsid w:val="00423121"/>
    <w:rsid w:val="0042314F"/>
    <w:rsid w:val="004235A2"/>
    <w:rsid w:val="004236C1"/>
    <w:rsid w:val="004239F0"/>
    <w:rsid w:val="00423A8D"/>
    <w:rsid w:val="00423CBA"/>
    <w:rsid w:val="00423CC9"/>
    <w:rsid w:val="00423D4D"/>
    <w:rsid w:val="004242FB"/>
    <w:rsid w:val="00424597"/>
    <w:rsid w:val="004245FB"/>
    <w:rsid w:val="00424A30"/>
    <w:rsid w:val="00424CA5"/>
    <w:rsid w:val="00424D13"/>
    <w:rsid w:val="0042554C"/>
    <w:rsid w:val="0042561A"/>
    <w:rsid w:val="00425F05"/>
    <w:rsid w:val="00425F73"/>
    <w:rsid w:val="004264C0"/>
    <w:rsid w:val="00426568"/>
    <w:rsid w:val="00426B20"/>
    <w:rsid w:val="00426B46"/>
    <w:rsid w:val="0042730B"/>
    <w:rsid w:val="004277D9"/>
    <w:rsid w:val="00427895"/>
    <w:rsid w:val="004307A8"/>
    <w:rsid w:val="004308AE"/>
    <w:rsid w:val="004309CB"/>
    <w:rsid w:val="00430D78"/>
    <w:rsid w:val="004315C9"/>
    <w:rsid w:val="004316F2"/>
    <w:rsid w:val="004318E7"/>
    <w:rsid w:val="00431D4B"/>
    <w:rsid w:val="0043286C"/>
    <w:rsid w:val="00433832"/>
    <w:rsid w:val="00433977"/>
    <w:rsid w:val="004341A4"/>
    <w:rsid w:val="00434FF2"/>
    <w:rsid w:val="0043566D"/>
    <w:rsid w:val="00435C0B"/>
    <w:rsid w:val="00435C49"/>
    <w:rsid w:val="00435E88"/>
    <w:rsid w:val="004360B2"/>
    <w:rsid w:val="004363EB"/>
    <w:rsid w:val="004364FF"/>
    <w:rsid w:val="00436509"/>
    <w:rsid w:val="004365DC"/>
    <w:rsid w:val="00436D3B"/>
    <w:rsid w:val="004372C4"/>
    <w:rsid w:val="004374A4"/>
    <w:rsid w:val="00437651"/>
    <w:rsid w:val="00437714"/>
    <w:rsid w:val="00437B21"/>
    <w:rsid w:val="00437DDF"/>
    <w:rsid w:val="00437F80"/>
    <w:rsid w:val="00440099"/>
    <w:rsid w:val="00440502"/>
    <w:rsid w:val="00440B2B"/>
    <w:rsid w:val="00440D1D"/>
    <w:rsid w:val="00440E64"/>
    <w:rsid w:val="00440EB6"/>
    <w:rsid w:val="004410D8"/>
    <w:rsid w:val="004411E7"/>
    <w:rsid w:val="00441416"/>
    <w:rsid w:val="004416B2"/>
    <w:rsid w:val="00441A39"/>
    <w:rsid w:val="00441A78"/>
    <w:rsid w:val="00441B8E"/>
    <w:rsid w:val="00441D4F"/>
    <w:rsid w:val="00441DEF"/>
    <w:rsid w:val="0044261A"/>
    <w:rsid w:val="0044286B"/>
    <w:rsid w:val="00442FA3"/>
    <w:rsid w:val="00443046"/>
    <w:rsid w:val="00443100"/>
    <w:rsid w:val="004439A7"/>
    <w:rsid w:val="00443A26"/>
    <w:rsid w:val="00443D90"/>
    <w:rsid w:val="00444187"/>
    <w:rsid w:val="00444967"/>
    <w:rsid w:val="00444A0E"/>
    <w:rsid w:val="00444AE3"/>
    <w:rsid w:val="00444E06"/>
    <w:rsid w:val="00444ECE"/>
    <w:rsid w:val="00444F3D"/>
    <w:rsid w:val="0044527C"/>
    <w:rsid w:val="00445485"/>
    <w:rsid w:val="00446142"/>
    <w:rsid w:val="0044621B"/>
    <w:rsid w:val="0044621E"/>
    <w:rsid w:val="00446287"/>
    <w:rsid w:val="004465B0"/>
    <w:rsid w:val="0044698B"/>
    <w:rsid w:val="00446C7B"/>
    <w:rsid w:val="00446EC2"/>
    <w:rsid w:val="00446EE3"/>
    <w:rsid w:val="00446F6A"/>
    <w:rsid w:val="00446FD2"/>
    <w:rsid w:val="004471E2"/>
    <w:rsid w:val="004473F7"/>
    <w:rsid w:val="00447849"/>
    <w:rsid w:val="00447A7A"/>
    <w:rsid w:val="00447CA0"/>
    <w:rsid w:val="004501A2"/>
    <w:rsid w:val="004501BC"/>
    <w:rsid w:val="0045067C"/>
    <w:rsid w:val="0045075D"/>
    <w:rsid w:val="004507AA"/>
    <w:rsid w:val="00450BDA"/>
    <w:rsid w:val="00450F1F"/>
    <w:rsid w:val="00450F6F"/>
    <w:rsid w:val="00451614"/>
    <w:rsid w:val="00451BB8"/>
    <w:rsid w:val="00451EA5"/>
    <w:rsid w:val="004522EC"/>
    <w:rsid w:val="00452E8F"/>
    <w:rsid w:val="00452F80"/>
    <w:rsid w:val="004533BE"/>
    <w:rsid w:val="0045381E"/>
    <w:rsid w:val="00453938"/>
    <w:rsid w:val="00453AE9"/>
    <w:rsid w:val="00453E22"/>
    <w:rsid w:val="00453F89"/>
    <w:rsid w:val="004542E7"/>
    <w:rsid w:val="00454A06"/>
    <w:rsid w:val="00454ECA"/>
    <w:rsid w:val="00455008"/>
    <w:rsid w:val="00455493"/>
    <w:rsid w:val="00455541"/>
    <w:rsid w:val="00455555"/>
    <w:rsid w:val="00455763"/>
    <w:rsid w:val="004557A2"/>
    <w:rsid w:val="004558DF"/>
    <w:rsid w:val="00455A42"/>
    <w:rsid w:val="00456038"/>
    <w:rsid w:val="004561BB"/>
    <w:rsid w:val="004561F2"/>
    <w:rsid w:val="0045652F"/>
    <w:rsid w:val="004565CA"/>
    <w:rsid w:val="004567EA"/>
    <w:rsid w:val="00456A73"/>
    <w:rsid w:val="00456AF9"/>
    <w:rsid w:val="00456D96"/>
    <w:rsid w:val="00457305"/>
    <w:rsid w:val="00457401"/>
    <w:rsid w:val="00457640"/>
    <w:rsid w:val="004576C2"/>
    <w:rsid w:val="00457799"/>
    <w:rsid w:val="0045793E"/>
    <w:rsid w:val="0045798E"/>
    <w:rsid w:val="00457ADB"/>
    <w:rsid w:val="004602DB"/>
    <w:rsid w:val="0046071E"/>
    <w:rsid w:val="00460738"/>
    <w:rsid w:val="0046083F"/>
    <w:rsid w:val="00460916"/>
    <w:rsid w:val="00460ADB"/>
    <w:rsid w:val="00460C29"/>
    <w:rsid w:val="00460E2D"/>
    <w:rsid w:val="0046122E"/>
    <w:rsid w:val="00461658"/>
    <w:rsid w:val="00461659"/>
    <w:rsid w:val="004617AE"/>
    <w:rsid w:val="00461CC9"/>
    <w:rsid w:val="00462565"/>
    <w:rsid w:val="00462D83"/>
    <w:rsid w:val="00463A40"/>
    <w:rsid w:val="00463D36"/>
    <w:rsid w:val="00463D89"/>
    <w:rsid w:val="00464097"/>
    <w:rsid w:val="004642DC"/>
    <w:rsid w:val="0046467F"/>
    <w:rsid w:val="004649D8"/>
    <w:rsid w:val="00464B4B"/>
    <w:rsid w:val="00464BC1"/>
    <w:rsid w:val="00464C1C"/>
    <w:rsid w:val="00464E7C"/>
    <w:rsid w:val="00464EDB"/>
    <w:rsid w:val="00465524"/>
    <w:rsid w:val="004656F3"/>
    <w:rsid w:val="0046573B"/>
    <w:rsid w:val="00465FFC"/>
    <w:rsid w:val="0046611E"/>
    <w:rsid w:val="004663F1"/>
    <w:rsid w:val="00466767"/>
    <w:rsid w:val="004667C5"/>
    <w:rsid w:val="00467307"/>
    <w:rsid w:val="004674E4"/>
    <w:rsid w:val="00467571"/>
    <w:rsid w:val="00467613"/>
    <w:rsid w:val="00467762"/>
    <w:rsid w:val="00467995"/>
    <w:rsid w:val="0047011B"/>
    <w:rsid w:val="0047029D"/>
    <w:rsid w:val="004705D2"/>
    <w:rsid w:val="00470D22"/>
    <w:rsid w:val="00470DCC"/>
    <w:rsid w:val="004714E2"/>
    <w:rsid w:val="00471550"/>
    <w:rsid w:val="00471DB5"/>
    <w:rsid w:val="00471E4B"/>
    <w:rsid w:val="004721BD"/>
    <w:rsid w:val="00472221"/>
    <w:rsid w:val="0047222E"/>
    <w:rsid w:val="00473118"/>
    <w:rsid w:val="00473249"/>
    <w:rsid w:val="004735AE"/>
    <w:rsid w:val="004735D1"/>
    <w:rsid w:val="0047388D"/>
    <w:rsid w:val="00473894"/>
    <w:rsid w:val="00473EE4"/>
    <w:rsid w:val="00473F21"/>
    <w:rsid w:val="00474155"/>
    <w:rsid w:val="0047448E"/>
    <w:rsid w:val="00474540"/>
    <w:rsid w:val="00474B6B"/>
    <w:rsid w:val="00474D60"/>
    <w:rsid w:val="00474F54"/>
    <w:rsid w:val="00475070"/>
    <w:rsid w:val="004751C3"/>
    <w:rsid w:val="004753D3"/>
    <w:rsid w:val="00475631"/>
    <w:rsid w:val="00475B9A"/>
    <w:rsid w:val="00475C1D"/>
    <w:rsid w:val="00475C4B"/>
    <w:rsid w:val="00475D45"/>
    <w:rsid w:val="00475F6B"/>
    <w:rsid w:val="00476172"/>
    <w:rsid w:val="00476885"/>
    <w:rsid w:val="0047692F"/>
    <w:rsid w:val="00476A86"/>
    <w:rsid w:val="0047711E"/>
    <w:rsid w:val="004775E3"/>
    <w:rsid w:val="00477F15"/>
    <w:rsid w:val="00480631"/>
    <w:rsid w:val="0048084A"/>
    <w:rsid w:val="00480921"/>
    <w:rsid w:val="00480DBB"/>
    <w:rsid w:val="00480F5D"/>
    <w:rsid w:val="004811A9"/>
    <w:rsid w:val="004813E3"/>
    <w:rsid w:val="0048197A"/>
    <w:rsid w:val="00481CE7"/>
    <w:rsid w:val="004829B6"/>
    <w:rsid w:val="00482D24"/>
    <w:rsid w:val="00483005"/>
    <w:rsid w:val="004831D8"/>
    <w:rsid w:val="00483625"/>
    <w:rsid w:val="004838AD"/>
    <w:rsid w:val="00483C69"/>
    <w:rsid w:val="00483E12"/>
    <w:rsid w:val="0048405F"/>
    <w:rsid w:val="004842B2"/>
    <w:rsid w:val="004842C2"/>
    <w:rsid w:val="00484670"/>
    <w:rsid w:val="004848FC"/>
    <w:rsid w:val="00484B63"/>
    <w:rsid w:val="00484D37"/>
    <w:rsid w:val="00484E41"/>
    <w:rsid w:val="00484F8E"/>
    <w:rsid w:val="004851A3"/>
    <w:rsid w:val="00485212"/>
    <w:rsid w:val="00485946"/>
    <w:rsid w:val="00485CC3"/>
    <w:rsid w:val="00485DEE"/>
    <w:rsid w:val="00486279"/>
    <w:rsid w:val="0048644A"/>
    <w:rsid w:val="00486B55"/>
    <w:rsid w:val="00486FE8"/>
    <w:rsid w:val="004870F5"/>
    <w:rsid w:val="0048726E"/>
    <w:rsid w:val="0048765F"/>
    <w:rsid w:val="0048767A"/>
    <w:rsid w:val="004877C2"/>
    <w:rsid w:val="004878B1"/>
    <w:rsid w:val="004905D8"/>
    <w:rsid w:val="00490932"/>
    <w:rsid w:val="00490D38"/>
    <w:rsid w:val="00490E99"/>
    <w:rsid w:val="004911CA"/>
    <w:rsid w:val="0049127C"/>
    <w:rsid w:val="0049178F"/>
    <w:rsid w:val="00491AAF"/>
    <w:rsid w:val="004921EC"/>
    <w:rsid w:val="00492576"/>
    <w:rsid w:val="00492597"/>
    <w:rsid w:val="004927CE"/>
    <w:rsid w:val="00492859"/>
    <w:rsid w:val="00492DD4"/>
    <w:rsid w:val="00492E7E"/>
    <w:rsid w:val="00492F73"/>
    <w:rsid w:val="004934E4"/>
    <w:rsid w:val="00493E4A"/>
    <w:rsid w:val="0049420C"/>
    <w:rsid w:val="0049483B"/>
    <w:rsid w:val="00494909"/>
    <w:rsid w:val="00494A2A"/>
    <w:rsid w:val="00494C25"/>
    <w:rsid w:val="00495092"/>
    <w:rsid w:val="0049522F"/>
    <w:rsid w:val="004953FE"/>
    <w:rsid w:val="00495606"/>
    <w:rsid w:val="00495D07"/>
    <w:rsid w:val="004961A3"/>
    <w:rsid w:val="00496227"/>
    <w:rsid w:val="0049685C"/>
    <w:rsid w:val="0049695B"/>
    <w:rsid w:val="0049696E"/>
    <w:rsid w:val="004969C7"/>
    <w:rsid w:val="00496EE2"/>
    <w:rsid w:val="004972A9"/>
    <w:rsid w:val="004973A2"/>
    <w:rsid w:val="00497674"/>
    <w:rsid w:val="004979A4"/>
    <w:rsid w:val="00497BAA"/>
    <w:rsid w:val="00497C18"/>
    <w:rsid w:val="004A0356"/>
    <w:rsid w:val="004A0666"/>
    <w:rsid w:val="004A0A94"/>
    <w:rsid w:val="004A0B1F"/>
    <w:rsid w:val="004A0E80"/>
    <w:rsid w:val="004A10D0"/>
    <w:rsid w:val="004A1690"/>
    <w:rsid w:val="004A1787"/>
    <w:rsid w:val="004A2003"/>
    <w:rsid w:val="004A20D3"/>
    <w:rsid w:val="004A2473"/>
    <w:rsid w:val="004A251C"/>
    <w:rsid w:val="004A2B25"/>
    <w:rsid w:val="004A2B60"/>
    <w:rsid w:val="004A2C10"/>
    <w:rsid w:val="004A3180"/>
    <w:rsid w:val="004A3192"/>
    <w:rsid w:val="004A31EE"/>
    <w:rsid w:val="004A3509"/>
    <w:rsid w:val="004A36CA"/>
    <w:rsid w:val="004A3859"/>
    <w:rsid w:val="004A3CFA"/>
    <w:rsid w:val="004A3EEE"/>
    <w:rsid w:val="004A40B5"/>
    <w:rsid w:val="004A4BDC"/>
    <w:rsid w:val="004A4CA1"/>
    <w:rsid w:val="004A4E51"/>
    <w:rsid w:val="004A5383"/>
    <w:rsid w:val="004A58B2"/>
    <w:rsid w:val="004A5B73"/>
    <w:rsid w:val="004A5CCD"/>
    <w:rsid w:val="004A654C"/>
    <w:rsid w:val="004A6788"/>
    <w:rsid w:val="004A6905"/>
    <w:rsid w:val="004A6CA6"/>
    <w:rsid w:val="004A6DF1"/>
    <w:rsid w:val="004A6FEE"/>
    <w:rsid w:val="004A72CA"/>
    <w:rsid w:val="004A7C39"/>
    <w:rsid w:val="004A7EEB"/>
    <w:rsid w:val="004B0240"/>
    <w:rsid w:val="004B02ED"/>
    <w:rsid w:val="004B0441"/>
    <w:rsid w:val="004B1414"/>
    <w:rsid w:val="004B1708"/>
    <w:rsid w:val="004B1B41"/>
    <w:rsid w:val="004B1B52"/>
    <w:rsid w:val="004B2832"/>
    <w:rsid w:val="004B288A"/>
    <w:rsid w:val="004B2BA2"/>
    <w:rsid w:val="004B2BA6"/>
    <w:rsid w:val="004B2E8D"/>
    <w:rsid w:val="004B3042"/>
    <w:rsid w:val="004B3121"/>
    <w:rsid w:val="004B38DB"/>
    <w:rsid w:val="004B3CE8"/>
    <w:rsid w:val="004B3D73"/>
    <w:rsid w:val="004B3F7A"/>
    <w:rsid w:val="004B4195"/>
    <w:rsid w:val="004B4A2B"/>
    <w:rsid w:val="004B4B6A"/>
    <w:rsid w:val="004B5AB9"/>
    <w:rsid w:val="004B6190"/>
    <w:rsid w:val="004B634F"/>
    <w:rsid w:val="004B64B2"/>
    <w:rsid w:val="004B6764"/>
    <w:rsid w:val="004B6A25"/>
    <w:rsid w:val="004B6DEF"/>
    <w:rsid w:val="004B71E7"/>
    <w:rsid w:val="004B7515"/>
    <w:rsid w:val="004B75E3"/>
    <w:rsid w:val="004B7F2F"/>
    <w:rsid w:val="004C04AF"/>
    <w:rsid w:val="004C06E7"/>
    <w:rsid w:val="004C0A4D"/>
    <w:rsid w:val="004C0CD2"/>
    <w:rsid w:val="004C10D4"/>
    <w:rsid w:val="004C11D6"/>
    <w:rsid w:val="004C12B8"/>
    <w:rsid w:val="004C144D"/>
    <w:rsid w:val="004C1CBC"/>
    <w:rsid w:val="004C1D37"/>
    <w:rsid w:val="004C1D62"/>
    <w:rsid w:val="004C2367"/>
    <w:rsid w:val="004C2457"/>
    <w:rsid w:val="004C2627"/>
    <w:rsid w:val="004C2F82"/>
    <w:rsid w:val="004C32C7"/>
    <w:rsid w:val="004C37F0"/>
    <w:rsid w:val="004C3A35"/>
    <w:rsid w:val="004C3A63"/>
    <w:rsid w:val="004C3A8D"/>
    <w:rsid w:val="004C3BE6"/>
    <w:rsid w:val="004C3FB3"/>
    <w:rsid w:val="004C4121"/>
    <w:rsid w:val="004C41B8"/>
    <w:rsid w:val="004C4657"/>
    <w:rsid w:val="004C544B"/>
    <w:rsid w:val="004C5458"/>
    <w:rsid w:val="004C55FB"/>
    <w:rsid w:val="004C5611"/>
    <w:rsid w:val="004C56C0"/>
    <w:rsid w:val="004C5A2B"/>
    <w:rsid w:val="004C602F"/>
    <w:rsid w:val="004C605C"/>
    <w:rsid w:val="004C627C"/>
    <w:rsid w:val="004C66A9"/>
    <w:rsid w:val="004C6C89"/>
    <w:rsid w:val="004C6EF0"/>
    <w:rsid w:val="004C713F"/>
    <w:rsid w:val="004C7170"/>
    <w:rsid w:val="004C72D8"/>
    <w:rsid w:val="004C7B0C"/>
    <w:rsid w:val="004C7C00"/>
    <w:rsid w:val="004C7DE7"/>
    <w:rsid w:val="004C7F66"/>
    <w:rsid w:val="004D00E8"/>
    <w:rsid w:val="004D06FC"/>
    <w:rsid w:val="004D12CE"/>
    <w:rsid w:val="004D1B68"/>
    <w:rsid w:val="004D1D9C"/>
    <w:rsid w:val="004D262C"/>
    <w:rsid w:val="004D2C49"/>
    <w:rsid w:val="004D2F43"/>
    <w:rsid w:val="004D324B"/>
    <w:rsid w:val="004D345D"/>
    <w:rsid w:val="004D35C9"/>
    <w:rsid w:val="004D3766"/>
    <w:rsid w:val="004D434D"/>
    <w:rsid w:val="004D43F5"/>
    <w:rsid w:val="004D443F"/>
    <w:rsid w:val="004D451D"/>
    <w:rsid w:val="004D456B"/>
    <w:rsid w:val="004D491F"/>
    <w:rsid w:val="004D50B4"/>
    <w:rsid w:val="004D53EC"/>
    <w:rsid w:val="004D54BB"/>
    <w:rsid w:val="004D54C0"/>
    <w:rsid w:val="004D5511"/>
    <w:rsid w:val="004D5ACD"/>
    <w:rsid w:val="004D688D"/>
    <w:rsid w:val="004D6B24"/>
    <w:rsid w:val="004D7720"/>
    <w:rsid w:val="004D7737"/>
    <w:rsid w:val="004D77DA"/>
    <w:rsid w:val="004D7881"/>
    <w:rsid w:val="004D7B28"/>
    <w:rsid w:val="004D7BEF"/>
    <w:rsid w:val="004D7C0E"/>
    <w:rsid w:val="004D7CB3"/>
    <w:rsid w:val="004E011C"/>
    <w:rsid w:val="004E0451"/>
    <w:rsid w:val="004E0ABE"/>
    <w:rsid w:val="004E0DEC"/>
    <w:rsid w:val="004E18D9"/>
    <w:rsid w:val="004E1A37"/>
    <w:rsid w:val="004E1CFD"/>
    <w:rsid w:val="004E1E65"/>
    <w:rsid w:val="004E1EF6"/>
    <w:rsid w:val="004E259F"/>
    <w:rsid w:val="004E25DC"/>
    <w:rsid w:val="004E2710"/>
    <w:rsid w:val="004E2AF3"/>
    <w:rsid w:val="004E2FE9"/>
    <w:rsid w:val="004E33BE"/>
    <w:rsid w:val="004E36EF"/>
    <w:rsid w:val="004E37CB"/>
    <w:rsid w:val="004E3B88"/>
    <w:rsid w:val="004E3EE8"/>
    <w:rsid w:val="004E400C"/>
    <w:rsid w:val="004E4017"/>
    <w:rsid w:val="004E45EF"/>
    <w:rsid w:val="004E463C"/>
    <w:rsid w:val="004E49A7"/>
    <w:rsid w:val="004E4A3B"/>
    <w:rsid w:val="004E4E15"/>
    <w:rsid w:val="004E4FDE"/>
    <w:rsid w:val="004E5A3D"/>
    <w:rsid w:val="004E5B02"/>
    <w:rsid w:val="004E5C7C"/>
    <w:rsid w:val="004E5D01"/>
    <w:rsid w:val="004E5D60"/>
    <w:rsid w:val="004E5E93"/>
    <w:rsid w:val="004E5E9C"/>
    <w:rsid w:val="004E5F40"/>
    <w:rsid w:val="004E6398"/>
    <w:rsid w:val="004E6669"/>
    <w:rsid w:val="004E6AD0"/>
    <w:rsid w:val="004E6EF1"/>
    <w:rsid w:val="004E6FE2"/>
    <w:rsid w:val="004E70DA"/>
    <w:rsid w:val="004E7A6E"/>
    <w:rsid w:val="004E7CD7"/>
    <w:rsid w:val="004F02B3"/>
    <w:rsid w:val="004F0458"/>
    <w:rsid w:val="004F0856"/>
    <w:rsid w:val="004F08CE"/>
    <w:rsid w:val="004F09A1"/>
    <w:rsid w:val="004F0E55"/>
    <w:rsid w:val="004F0E7A"/>
    <w:rsid w:val="004F0FCF"/>
    <w:rsid w:val="004F174D"/>
    <w:rsid w:val="004F1B8D"/>
    <w:rsid w:val="004F1E7D"/>
    <w:rsid w:val="004F22C6"/>
    <w:rsid w:val="004F2846"/>
    <w:rsid w:val="004F2912"/>
    <w:rsid w:val="004F2929"/>
    <w:rsid w:val="004F294F"/>
    <w:rsid w:val="004F2B5D"/>
    <w:rsid w:val="004F2BC3"/>
    <w:rsid w:val="004F2C0B"/>
    <w:rsid w:val="004F2D1E"/>
    <w:rsid w:val="004F30C3"/>
    <w:rsid w:val="004F318C"/>
    <w:rsid w:val="004F3463"/>
    <w:rsid w:val="004F3E86"/>
    <w:rsid w:val="004F46DE"/>
    <w:rsid w:val="004F4918"/>
    <w:rsid w:val="004F4990"/>
    <w:rsid w:val="004F4EC2"/>
    <w:rsid w:val="004F536C"/>
    <w:rsid w:val="004F5564"/>
    <w:rsid w:val="004F5567"/>
    <w:rsid w:val="004F5F60"/>
    <w:rsid w:val="004F652C"/>
    <w:rsid w:val="004F6673"/>
    <w:rsid w:val="004F6D9E"/>
    <w:rsid w:val="004F6F20"/>
    <w:rsid w:val="004F717B"/>
    <w:rsid w:val="004F73CC"/>
    <w:rsid w:val="004F7843"/>
    <w:rsid w:val="004F78CE"/>
    <w:rsid w:val="004F7A33"/>
    <w:rsid w:val="004F7BF8"/>
    <w:rsid w:val="004F7CF7"/>
    <w:rsid w:val="00500077"/>
    <w:rsid w:val="005001B3"/>
    <w:rsid w:val="00500343"/>
    <w:rsid w:val="00500798"/>
    <w:rsid w:val="005008BE"/>
    <w:rsid w:val="00500934"/>
    <w:rsid w:val="00500C8F"/>
    <w:rsid w:val="00500EA7"/>
    <w:rsid w:val="005012E9"/>
    <w:rsid w:val="0050161B"/>
    <w:rsid w:val="0050168B"/>
    <w:rsid w:val="00501869"/>
    <w:rsid w:val="00501923"/>
    <w:rsid w:val="00501B53"/>
    <w:rsid w:val="00502091"/>
    <w:rsid w:val="005021E8"/>
    <w:rsid w:val="0050221C"/>
    <w:rsid w:val="00502B41"/>
    <w:rsid w:val="00502F96"/>
    <w:rsid w:val="00503345"/>
    <w:rsid w:val="0050335F"/>
    <w:rsid w:val="005033A5"/>
    <w:rsid w:val="00503469"/>
    <w:rsid w:val="00503914"/>
    <w:rsid w:val="005039F7"/>
    <w:rsid w:val="00503B93"/>
    <w:rsid w:val="00503EBF"/>
    <w:rsid w:val="00503F87"/>
    <w:rsid w:val="005045C5"/>
    <w:rsid w:val="00504613"/>
    <w:rsid w:val="00504740"/>
    <w:rsid w:val="00504A84"/>
    <w:rsid w:val="00504F9A"/>
    <w:rsid w:val="0050540A"/>
    <w:rsid w:val="00505514"/>
    <w:rsid w:val="00505529"/>
    <w:rsid w:val="0050570D"/>
    <w:rsid w:val="00505779"/>
    <w:rsid w:val="005059D9"/>
    <w:rsid w:val="00505A69"/>
    <w:rsid w:val="00505E08"/>
    <w:rsid w:val="005062E7"/>
    <w:rsid w:val="0050632D"/>
    <w:rsid w:val="00506423"/>
    <w:rsid w:val="00506858"/>
    <w:rsid w:val="00506CD3"/>
    <w:rsid w:val="00507215"/>
    <w:rsid w:val="005075C1"/>
    <w:rsid w:val="005075CC"/>
    <w:rsid w:val="005075F0"/>
    <w:rsid w:val="0050769F"/>
    <w:rsid w:val="005079A1"/>
    <w:rsid w:val="00507CC4"/>
    <w:rsid w:val="00507F3F"/>
    <w:rsid w:val="00510006"/>
    <w:rsid w:val="005101A7"/>
    <w:rsid w:val="00510330"/>
    <w:rsid w:val="0051042A"/>
    <w:rsid w:val="0051061E"/>
    <w:rsid w:val="0051113C"/>
    <w:rsid w:val="005112D9"/>
    <w:rsid w:val="005112FE"/>
    <w:rsid w:val="00511C1A"/>
    <w:rsid w:val="00511DC8"/>
    <w:rsid w:val="00512160"/>
    <w:rsid w:val="00512471"/>
    <w:rsid w:val="005130C0"/>
    <w:rsid w:val="00513A34"/>
    <w:rsid w:val="00513ACD"/>
    <w:rsid w:val="00513AFB"/>
    <w:rsid w:val="00513B48"/>
    <w:rsid w:val="00514107"/>
    <w:rsid w:val="005143AE"/>
    <w:rsid w:val="005146A5"/>
    <w:rsid w:val="005149D1"/>
    <w:rsid w:val="00515082"/>
    <w:rsid w:val="00515155"/>
    <w:rsid w:val="005152E4"/>
    <w:rsid w:val="00515428"/>
    <w:rsid w:val="0051542D"/>
    <w:rsid w:val="00515935"/>
    <w:rsid w:val="00515B03"/>
    <w:rsid w:val="00515FBF"/>
    <w:rsid w:val="00516027"/>
    <w:rsid w:val="0051605E"/>
    <w:rsid w:val="00516B5A"/>
    <w:rsid w:val="00516D23"/>
    <w:rsid w:val="005176E7"/>
    <w:rsid w:val="00517A1A"/>
    <w:rsid w:val="00517A47"/>
    <w:rsid w:val="00517AE5"/>
    <w:rsid w:val="00517BA7"/>
    <w:rsid w:val="00517F55"/>
    <w:rsid w:val="00520052"/>
    <w:rsid w:val="0052055A"/>
    <w:rsid w:val="00520B36"/>
    <w:rsid w:val="005217A2"/>
    <w:rsid w:val="005217C0"/>
    <w:rsid w:val="00521893"/>
    <w:rsid w:val="00521AC1"/>
    <w:rsid w:val="00521CD7"/>
    <w:rsid w:val="005227E8"/>
    <w:rsid w:val="005228F2"/>
    <w:rsid w:val="00522A0B"/>
    <w:rsid w:val="00522F54"/>
    <w:rsid w:val="00523022"/>
    <w:rsid w:val="005234DE"/>
    <w:rsid w:val="0052383B"/>
    <w:rsid w:val="005239E9"/>
    <w:rsid w:val="00523D5B"/>
    <w:rsid w:val="0052413F"/>
    <w:rsid w:val="00524193"/>
    <w:rsid w:val="005241BA"/>
    <w:rsid w:val="00524433"/>
    <w:rsid w:val="0052484F"/>
    <w:rsid w:val="00524CE6"/>
    <w:rsid w:val="0052512D"/>
    <w:rsid w:val="00525394"/>
    <w:rsid w:val="0052549C"/>
    <w:rsid w:val="00525903"/>
    <w:rsid w:val="00525BE9"/>
    <w:rsid w:val="00525D19"/>
    <w:rsid w:val="005263DB"/>
    <w:rsid w:val="005264EB"/>
    <w:rsid w:val="00526813"/>
    <w:rsid w:val="00526841"/>
    <w:rsid w:val="00526DD4"/>
    <w:rsid w:val="0052710B"/>
    <w:rsid w:val="00527425"/>
    <w:rsid w:val="005275EA"/>
    <w:rsid w:val="00527820"/>
    <w:rsid w:val="00527986"/>
    <w:rsid w:val="00527E70"/>
    <w:rsid w:val="00530128"/>
    <w:rsid w:val="00530171"/>
    <w:rsid w:val="005301F5"/>
    <w:rsid w:val="00530706"/>
    <w:rsid w:val="005307C7"/>
    <w:rsid w:val="00530A3F"/>
    <w:rsid w:val="00530D78"/>
    <w:rsid w:val="00531774"/>
    <w:rsid w:val="00531EAD"/>
    <w:rsid w:val="00531ED1"/>
    <w:rsid w:val="00532050"/>
    <w:rsid w:val="00532553"/>
    <w:rsid w:val="005335DB"/>
    <w:rsid w:val="00533872"/>
    <w:rsid w:val="005338A9"/>
    <w:rsid w:val="00533CFF"/>
    <w:rsid w:val="0053411D"/>
    <w:rsid w:val="005353EF"/>
    <w:rsid w:val="005356F8"/>
    <w:rsid w:val="00535979"/>
    <w:rsid w:val="005359B3"/>
    <w:rsid w:val="0053609D"/>
    <w:rsid w:val="00536281"/>
    <w:rsid w:val="005367CE"/>
    <w:rsid w:val="00536979"/>
    <w:rsid w:val="00536E39"/>
    <w:rsid w:val="00536E8B"/>
    <w:rsid w:val="0053721C"/>
    <w:rsid w:val="00537266"/>
    <w:rsid w:val="005373EF"/>
    <w:rsid w:val="005374EE"/>
    <w:rsid w:val="0053770B"/>
    <w:rsid w:val="00537ED3"/>
    <w:rsid w:val="005400B2"/>
    <w:rsid w:val="00540424"/>
    <w:rsid w:val="00540A90"/>
    <w:rsid w:val="00541060"/>
    <w:rsid w:val="00541140"/>
    <w:rsid w:val="005417D6"/>
    <w:rsid w:val="00542F6A"/>
    <w:rsid w:val="00543097"/>
    <w:rsid w:val="0054350D"/>
    <w:rsid w:val="0054402B"/>
    <w:rsid w:val="00544090"/>
    <w:rsid w:val="0054468F"/>
    <w:rsid w:val="00544C19"/>
    <w:rsid w:val="00544CD6"/>
    <w:rsid w:val="00544D43"/>
    <w:rsid w:val="00545232"/>
    <w:rsid w:val="0054532B"/>
    <w:rsid w:val="005455E1"/>
    <w:rsid w:val="00545A14"/>
    <w:rsid w:val="00545AE6"/>
    <w:rsid w:val="00545EBB"/>
    <w:rsid w:val="00545FA2"/>
    <w:rsid w:val="005462ED"/>
    <w:rsid w:val="00546441"/>
    <w:rsid w:val="00546BCF"/>
    <w:rsid w:val="00546E4B"/>
    <w:rsid w:val="005472BA"/>
    <w:rsid w:val="00547409"/>
    <w:rsid w:val="005477A3"/>
    <w:rsid w:val="005500F4"/>
    <w:rsid w:val="0055024C"/>
    <w:rsid w:val="005504B3"/>
    <w:rsid w:val="00550553"/>
    <w:rsid w:val="005509FF"/>
    <w:rsid w:val="00550DF2"/>
    <w:rsid w:val="00550FD9"/>
    <w:rsid w:val="005511B2"/>
    <w:rsid w:val="005511C3"/>
    <w:rsid w:val="00551AFA"/>
    <w:rsid w:val="00552009"/>
    <w:rsid w:val="00552335"/>
    <w:rsid w:val="005529ED"/>
    <w:rsid w:val="00552A8C"/>
    <w:rsid w:val="00552D04"/>
    <w:rsid w:val="005530EB"/>
    <w:rsid w:val="00553631"/>
    <w:rsid w:val="005537BB"/>
    <w:rsid w:val="005537E3"/>
    <w:rsid w:val="00553E5D"/>
    <w:rsid w:val="00553EA1"/>
    <w:rsid w:val="005541BB"/>
    <w:rsid w:val="00554254"/>
    <w:rsid w:val="005543D0"/>
    <w:rsid w:val="00554645"/>
    <w:rsid w:val="005548B8"/>
    <w:rsid w:val="005550B5"/>
    <w:rsid w:val="005550BC"/>
    <w:rsid w:val="00555242"/>
    <w:rsid w:val="005553A2"/>
    <w:rsid w:val="00555639"/>
    <w:rsid w:val="005559B8"/>
    <w:rsid w:val="00555B04"/>
    <w:rsid w:val="00555B62"/>
    <w:rsid w:val="00555C05"/>
    <w:rsid w:val="00555ECC"/>
    <w:rsid w:val="00555FD7"/>
    <w:rsid w:val="005560FE"/>
    <w:rsid w:val="00556183"/>
    <w:rsid w:val="005561C9"/>
    <w:rsid w:val="0055662A"/>
    <w:rsid w:val="00556912"/>
    <w:rsid w:val="00556E1C"/>
    <w:rsid w:val="00557267"/>
    <w:rsid w:val="005573F5"/>
    <w:rsid w:val="0055752E"/>
    <w:rsid w:val="00557788"/>
    <w:rsid w:val="00560274"/>
    <w:rsid w:val="00560C0A"/>
    <w:rsid w:val="0056163A"/>
    <w:rsid w:val="005616EE"/>
    <w:rsid w:val="00561739"/>
    <w:rsid w:val="00561A14"/>
    <w:rsid w:val="00561AA6"/>
    <w:rsid w:val="00561CB3"/>
    <w:rsid w:val="00561F0A"/>
    <w:rsid w:val="00562285"/>
    <w:rsid w:val="005629BF"/>
    <w:rsid w:val="005631A6"/>
    <w:rsid w:val="00563274"/>
    <w:rsid w:val="00563599"/>
    <w:rsid w:val="00563770"/>
    <w:rsid w:val="00563AE3"/>
    <w:rsid w:val="00563E50"/>
    <w:rsid w:val="0056445B"/>
    <w:rsid w:val="00564C39"/>
    <w:rsid w:val="00565154"/>
    <w:rsid w:val="00565174"/>
    <w:rsid w:val="00565289"/>
    <w:rsid w:val="005652B0"/>
    <w:rsid w:val="0056536D"/>
    <w:rsid w:val="005653B0"/>
    <w:rsid w:val="005653E0"/>
    <w:rsid w:val="005660D7"/>
    <w:rsid w:val="005662FC"/>
    <w:rsid w:val="00566458"/>
    <w:rsid w:val="0056689B"/>
    <w:rsid w:val="00566A0E"/>
    <w:rsid w:val="00566AEF"/>
    <w:rsid w:val="00566C7D"/>
    <w:rsid w:val="00566F7E"/>
    <w:rsid w:val="0056700B"/>
    <w:rsid w:val="00567E62"/>
    <w:rsid w:val="00567E9C"/>
    <w:rsid w:val="00570087"/>
    <w:rsid w:val="005703D2"/>
    <w:rsid w:val="00570550"/>
    <w:rsid w:val="005707A5"/>
    <w:rsid w:val="005708F5"/>
    <w:rsid w:val="00570A08"/>
    <w:rsid w:val="00571176"/>
    <w:rsid w:val="005716F1"/>
    <w:rsid w:val="00571CD2"/>
    <w:rsid w:val="0057290F"/>
    <w:rsid w:val="005729AB"/>
    <w:rsid w:val="00572D3C"/>
    <w:rsid w:val="00573077"/>
    <w:rsid w:val="00573464"/>
    <w:rsid w:val="00573D81"/>
    <w:rsid w:val="00573F59"/>
    <w:rsid w:val="0057446A"/>
    <w:rsid w:val="0057457F"/>
    <w:rsid w:val="00574A3F"/>
    <w:rsid w:val="00574F1B"/>
    <w:rsid w:val="00574FE5"/>
    <w:rsid w:val="005750E2"/>
    <w:rsid w:val="0057570E"/>
    <w:rsid w:val="0057583F"/>
    <w:rsid w:val="00575CA9"/>
    <w:rsid w:val="00576811"/>
    <w:rsid w:val="005773CD"/>
    <w:rsid w:val="00577EBE"/>
    <w:rsid w:val="0058060B"/>
    <w:rsid w:val="00580A20"/>
    <w:rsid w:val="00580CD0"/>
    <w:rsid w:val="00580D70"/>
    <w:rsid w:val="00580DE4"/>
    <w:rsid w:val="00580F3A"/>
    <w:rsid w:val="005810D9"/>
    <w:rsid w:val="0058115B"/>
    <w:rsid w:val="0058126F"/>
    <w:rsid w:val="00581408"/>
    <w:rsid w:val="00581F29"/>
    <w:rsid w:val="00581F7B"/>
    <w:rsid w:val="00582438"/>
    <w:rsid w:val="00582892"/>
    <w:rsid w:val="005830A9"/>
    <w:rsid w:val="0058377E"/>
    <w:rsid w:val="00583ED0"/>
    <w:rsid w:val="005840F2"/>
    <w:rsid w:val="0058449E"/>
    <w:rsid w:val="005847B2"/>
    <w:rsid w:val="00584E97"/>
    <w:rsid w:val="00585228"/>
    <w:rsid w:val="0058522E"/>
    <w:rsid w:val="00585493"/>
    <w:rsid w:val="0058566A"/>
    <w:rsid w:val="00585846"/>
    <w:rsid w:val="005858F6"/>
    <w:rsid w:val="00585DB6"/>
    <w:rsid w:val="00585E8E"/>
    <w:rsid w:val="005863F3"/>
    <w:rsid w:val="00586495"/>
    <w:rsid w:val="005864F3"/>
    <w:rsid w:val="005866C6"/>
    <w:rsid w:val="00586739"/>
    <w:rsid w:val="0058692E"/>
    <w:rsid w:val="00587078"/>
    <w:rsid w:val="005873F8"/>
    <w:rsid w:val="005876CF"/>
    <w:rsid w:val="00587D4F"/>
    <w:rsid w:val="005906DF"/>
    <w:rsid w:val="00590705"/>
    <w:rsid w:val="00590A24"/>
    <w:rsid w:val="00590B43"/>
    <w:rsid w:val="00590F0E"/>
    <w:rsid w:val="0059124B"/>
    <w:rsid w:val="00591706"/>
    <w:rsid w:val="00591709"/>
    <w:rsid w:val="00591AB0"/>
    <w:rsid w:val="005921A2"/>
    <w:rsid w:val="00592580"/>
    <w:rsid w:val="00592BA0"/>
    <w:rsid w:val="00592F14"/>
    <w:rsid w:val="0059306F"/>
    <w:rsid w:val="0059309B"/>
    <w:rsid w:val="005931BF"/>
    <w:rsid w:val="00593416"/>
    <w:rsid w:val="0059350A"/>
    <w:rsid w:val="00593B87"/>
    <w:rsid w:val="00593F9C"/>
    <w:rsid w:val="0059441F"/>
    <w:rsid w:val="005948B6"/>
    <w:rsid w:val="00594CCF"/>
    <w:rsid w:val="00594D1D"/>
    <w:rsid w:val="00594DFB"/>
    <w:rsid w:val="00594E7E"/>
    <w:rsid w:val="0059507A"/>
    <w:rsid w:val="005953BE"/>
    <w:rsid w:val="005959A6"/>
    <w:rsid w:val="00595B17"/>
    <w:rsid w:val="00595C94"/>
    <w:rsid w:val="00595FEE"/>
    <w:rsid w:val="00596193"/>
    <w:rsid w:val="005964A6"/>
    <w:rsid w:val="0059653D"/>
    <w:rsid w:val="005969E6"/>
    <w:rsid w:val="00596D1A"/>
    <w:rsid w:val="005978D1"/>
    <w:rsid w:val="005A0206"/>
    <w:rsid w:val="005A0455"/>
    <w:rsid w:val="005A07BE"/>
    <w:rsid w:val="005A0935"/>
    <w:rsid w:val="005A106C"/>
    <w:rsid w:val="005A1119"/>
    <w:rsid w:val="005A1271"/>
    <w:rsid w:val="005A2002"/>
    <w:rsid w:val="005A206B"/>
    <w:rsid w:val="005A262D"/>
    <w:rsid w:val="005A317B"/>
    <w:rsid w:val="005A3370"/>
    <w:rsid w:val="005A40A0"/>
    <w:rsid w:val="005A40E8"/>
    <w:rsid w:val="005A42FD"/>
    <w:rsid w:val="005A439F"/>
    <w:rsid w:val="005A4563"/>
    <w:rsid w:val="005A4606"/>
    <w:rsid w:val="005A4742"/>
    <w:rsid w:val="005A474D"/>
    <w:rsid w:val="005A47EA"/>
    <w:rsid w:val="005A4958"/>
    <w:rsid w:val="005A498C"/>
    <w:rsid w:val="005A52D3"/>
    <w:rsid w:val="005A54D5"/>
    <w:rsid w:val="005A558A"/>
    <w:rsid w:val="005A5EF0"/>
    <w:rsid w:val="005A5EF1"/>
    <w:rsid w:val="005A5F0D"/>
    <w:rsid w:val="005A61FA"/>
    <w:rsid w:val="005A6667"/>
    <w:rsid w:val="005A689E"/>
    <w:rsid w:val="005A6D07"/>
    <w:rsid w:val="005A74C7"/>
    <w:rsid w:val="005A759E"/>
    <w:rsid w:val="005B0590"/>
    <w:rsid w:val="005B0750"/>
    <w:rsid w:val="005B07A5"/>
    <w:rsid w:val="005B0EB9"/>
    <w:rsid w:val="005B1353"/>
    <w:rsid w:val="005B1A11"/>
    <w:rsid w:val="005B1CBF"/>
    <w:rsid w:val="005B1CFA"/>
    <w:rsid w:val="005B1D89"/>
    <w:rsid w:val="005B1ED0"/>
    <w:rsid w:val="005B2058"/>
    <w:rsid w:val="005B22BA"/>
    <w:rsid w:val="005B23A9"/>
    <w:rsid w:val="005B2ADA"/>
    <w:rsid w:val="005B2B48"/>
    <w:rsid w:val="005B2DE2"/>
    <w:rsid w:val="005B2F13"/>
    <w:rsid w:val="005B2FE2"/>
    <w:rsid w:val="005B2FF0"/>
    <w:rsid w:val="005B3143"/>
    <w:rsid w:val="005B3310"/>
    <w:rsid w:val="005B3447"/>
    <w:rsid w:val="005B36CC"/>
    <w:rsid w:val="005B37AD"/>
    <w:rsid w:val="005B399D"/>
    <w:rsid w:val="005B39F5"/>
    <w:rsid w:val="005B3D56"/>
    <w:rsid w:val="005B40E1"/>
    <w:rsid w:val="005B4B6C"/>
    <w:rsid w:val="005B51FA"/>
    <w:rsid w:val="005B53BD"/>
    <w:rsid w:val="005B53EC"/>
    <w:rsid w:val="005B5EF6"/>
    <w:rsid w:val="005B6016"/>
    <w:rsid w:val="005B68EA"/>
    <w:rsid w:val="005B6B51"/>
    <w:rsid w:val="005B6EC1"/>
    <w:rsid w:val="005B767B"/>
    <w:rsid w:val="005B7EEF"/>
    <w:rsid w:val="005C0034"/>
    <w:rsid w:val="005C0342"/>
    <w:rsid w:val="005C08AB"/>
    <w:rsid w:val="005C0D9A"/>
    <w:rsid w:val="005C1544"/>
    <w:rsid w:val="005C1839"/>
    <w:rsid w:val="005C19DB"/>
    <w:rsid w:val="005C1E47"/>
    <w:rsid w:val="005C2747"/>
    <w:rsid w:val="005C2ABB"/>
    <w:rsid w:val="005C2B51"/>
    <w:rsid w:val="005C2C07"/>
    <w:rsid w:val="005C2D77"/>
    <w:rsid w:val="005C2E76"/>
    <w:rsid w:val="005C2FB8"/>
    <w:rsid w:val="005C308F"/>
    <w:rsid w:val="005C3375"/>
    <w:rsid w:val="005C37B6"/>
    <w:rsid w:val="005C3969"/>
    <w:rsid w:val="005C3B6E"/>
    <w:rsid w:val="005C3E0C"/>
    <w:rsid w:val="005C423B"/>
    <w:rsid w:val="005C460C"/>
    <w:rsid w:val="005C4731"/>
    <w:rsid w:val="005C49D4"/>
    <w:rsid w:val="005C4A4C"/>
    <w:rsid w:val="005C4C18"/>
    <w:rsid w:val="005C4FBA"/>
    <w:rsid w:val="005C56AE"/>
    <w:rsid w:val="005C577C"/>
    <w:rsid w:val="005C5888"/>
    <w:rsid w:val="005C5C1A"/>
    <w:rsid w:val="005C5C2F"/>
    <w:rsid w:val="005C5F7F"/>
    <w:rsid w:val="005C606E"/>
    <w:rsid w:val="005C60A7"/>
    <w:rsid w:val="005C636F"/>
    <w:rsid w:val="005C6510"/>
    <w:rsid w:val="005C674A"/>
    <w:rsid w:val="005C6CCE"/>
    <w:rsid w:val="005C6CF4"/>
    <w:rsid w:val="005C721B"/>
    <w:rsid w:val="005D05FF"/>
    <w:rsid w:val="005D086A"/>
    <w:rsid w:val="005D0998"/>
    <w:rsid w:val="005D0B86"/>
    <w:rsid w:val="005D0D8D"/>
    <w:rsid w:val="005D14D7"/>
    <w:rsid w:val="005D167C"/>
    <w:rsid w:val="005D16AF"/>
    <w:rsid w:val="005D1860"/>
    <w:rsid w:val="005D199D"/>
    <w:rsid w:val="005D1D5A"/>
    <w:rsid w:val="005D25C6"/>
    <w:rsid w:val="005D2D4F"/>
    <w:rsid w:val="005D2DBA"/>
    <w:rsid w:val="005D2EFF"/>
    <w:rsid w:val="005D2FC7"/>
    <w:rsid w:val="005D3221"/>
    <w:rsid w:val="005D3298"/>
    <w:rsid w:val="005D3387"/>
    <w:rsid w:val="005D3552"/>
    <w:rsid w:val="005D35BD"/>
    <w:rsid w:val="005D3AA5"/>
    <w:rsid w:val="005D3AB6"/>
    <w:rsid w:val="005D3B85"/>
    <w:rsid w:val="005D3D57"/>
    <w:rsid w:val="005D3E98"/>
    <w:rsid w:val="005D41C3"/>
    <w:rsid w:val="005D43BB"/>
    <w:rsid w:val="005D44C8"/>
    <w:rsid w:val="005D468F"/>
    <w:rsid w:val="005D4CB1"/>
    <w:rsid w:val="005D4DCB"/>
    <w:rsid w:val="005D4FEB"/>
    <w:rsid w:val="005D53F9"/>
    <w:rsid w:val="005D5426"/>
    <w:rsid w:val="005D573A"/>
    <w:rsid w:val="005D58C2"/>
    <w:rsid w:val="005D5911"/>
    <w:rsid w:val="005D5E27"/>
    <w:rsid w:val="005D5F2D"/>
    <w:rsid w:val="005D6BDF"/>
    <w:rsid w:val="005D7271"/>
    <w:rsid w:val="005D7414"/>
    <w:rsid w:val="005D7775"/>
    <w:rsid w:val="005D7828"/>
    <w:rsid w:val="005D78FD"/>
    <w:rsid w:val="005D7C5F"/>
    <w:rsid w:val="005D7D99"/>
    <w:rsid w:val="005D7DE1"/>
    <w:rsid w:val="005E1844"/>
    <w:rsid w:val="005E1EF3"/>
    <w:rsid w:val="005E1F6C"/>
    <w:rsid w:val="005E260D"/>
    <w:rsid w:val="005E2DC9"/>
    <w:rsid w:val="005E3532"/>
    <w:rsid w:val="005E35F8"/>
    <w:rsid w:val="005E3712"/>
    <w:rsid w:val="005E3845"/>
    <w:rsid w:val="005E42A2"/>
    <w:rsid w:val="005E4473"/>
    <w:rsid w:val="005E476B"/>
    <w:rsid w:val="005E4B27"/>
    <w:rsid w:val="005E4F05"/>
    <w:rsid w:val="005E5135"/>
    <w:rsid w:val="005E5227"/>
    <w:rsid w:val="005E546B"/>
    <w:rsid w:val="005E55F2"/>
    <w:rsid w:val="005E56C6"/>
    <w:rsid w:val="005E5754"/>
    <w:rsid w:val="005E5908"/>
    <w:rsid w:val="005E59F4"/>
    <w:rsid w:val="005E5F5F"/>
    <w:rsid w:val="005E601D"/>
    <w:rsid w:val="005E60A7"/>
    <w:rsid w:val="005E635C"/>
    <w:rsid w:val="005E635D"/>
    <w:rsid w:val="005E636B"/>
    <w:rsid w:val="005E685E"/>
    <w:rsid w:val="005E69CA"/>
    <w:rsid w:val="005E6B32"/>
    <w:rsid w:val="005E718A"/>
    <w:rsid w:val="005E758B"/>
    <w:rsid w:val="005E7899"/>
    <w:rsid w:val="005E7E10"/>
    <w:rsid w:val="005E7F3B"/>
    <w:rsid w:val="005E7F4B"/>
    <w:rsid w:val="005F0109"/>
    <w:rsid w:val="005F060C"/>
    <w:rsid w:val="005F074F"/>
    <w:rsid w:val="005F1126"/>
    <w:rsid w:val="005F1962"/>
    <w:rsid w:val="005F1B93"/>
    <w:rsid w:val="005F1C76"/>
    <w:rsid w:val="005F1CDA"/>
    <w:rsid w:val="005F2CB0"/>
    <w:rsid w:val="005F2FB1"/>
    <w:rsid w:val="005F302E"/>
    <w:rsid w:val="005F32D4"/>
    <w:rsid w:val="005F3EB4"/>
    <w:rsid w:val="005F40E3"/>
    <w:rsid w:val="005F4177"/>
    <w:rsid w:val="005F425D"/>
    <w:rsid w:val="005F43D4"/>
    <w:rsid w:val="005F4EE9"/>
    <w:rsid w:val="005F5637"/>
    <w:rsid w:val="005F56A9"/>
    <w:rsid w:val="005F5D1A"/>
    <w:rsid w:val="005F6452"/>
    <w:rsid w:val="005F64BC"/>
    <w:rsid w:val="005F67FA"/>
    <w:rsid w:val="005F6FAA"/>
    <w:rsid w:val="005F786A"/>
    <w:rsid w:val="005F7AD7"/>
    <w:rsid w:val="005F7B15"/>
    <w:rsid w:val="005F7B5B"/>
    <w:rsid w:val="00600B50"/>
    <w:rsid w:val="006015FB"/>
    <w:rsid w:val="006017B6"/>
    <w:rsid w:val="00601843"/>
    <w:rsid w:val="006018B6"/>
    <w:rsid w:val="00601D42"/>
    <w:rsid w:val="00601FD4"/>
    <w:rsid w:val="00602147"/>
    <w:rsid w:val="00602397"/>
    <w:rsid w:val="00602523"/>
    <w:rsid w:val="0060257C"/>
    <w:rsid w:val="00602827"/>
    <w:rsid w:val="00602854"/>
    <w:rsid w:val="00602AA7"/>
    <w:rsid w:val="00602AF7"/>
    <w:rsid w:val="00603D8D"/>
    <w:rsid w:val="00604566"/>
    <w:rsid w:val="006045EB"/>
    <w:rsid w:val="0060484C"/>
    <w:rsid w:val="00604B79"/>
    <w:rsid w:val="00604CE3"/>
    <w:rsid w:val="006053CA"/>
    <w:rsid w:val="0060541A"/>
    <w:rsid w:val="00605A6B"/>
    <w:rsid w:val="00605E56"/>
    <w:rsid w:val="00605EF0"/>
    <w:rsid w:val="00605F62"/>
    <w:rsid w:val="006068F4"/>
    <w:rsid w:val="006069B0"/>
    <w:rsid w:val="00606B90"/>
    <w:rsid w:val="00606ED9"/>
    <w:rsid w:val="00606F41"/>
    <w:rsid w:val="00607129"/>
    <w:rsid w:val="00607347"/>
    <w:rsid w:val="0060794C"/>
    <w:rsid w:val="00610189"/>
    <w:rsid w:val="00610372"/>
    <w:rsid w:val="00610CA4"/>
    <w:rsid w:val="00611459"/>
    <w:rsid w:val="006115CB"/>
    <w:rsid w:val="0061182C"/>
    <w:rsid w:val="00611C1A"/>
    <w:rsid w:val="00612119"/>
    <w:rsid w:val="0061245D"/>
    <w:rsid w:val="00613060"/>
    <w:rsid w:val="00613087"/>
    <w:rsid w:val="006131A5"/>
    <w:rsid w:val="00613700"/>
    <w:rsid w:val="00613AE7"/>
    <w:rsid w:val="00613BB2"/>
    <w:rsid w:val="00613C8F"/>
    <w:rsid w:val="006140A6"/>
    <w:rsid w:val="00614233"/>
    <w:rsid w:val="006144AC"/>
    <w:rsid w:val="00614CCA"/>
    <w:rsid w:val="00614E80"/>
    <w:rsid w:val="006150A1"/>
    <w:rsid w:val="00615350"/>
    <w:rsid w:val="006154DB"/>
    <w:rsid w:val="006155E3"/>
    <w:rsid w:val="00615B4E"/>
    <w:rsid w:val="00615F64"/>
    <w:rsid w:val="0061679B"/>
    <w:rsid w:val="00616A24"/>
    <w:rsid w:val="00616D45"/>
    <w:rsid w:val="0061730D"/>
    <w:rsid w:val="0061755D"/>
    <w:rsid w:val="00617592"/>
    <w:rsid w:val="00617BB6"/>
    <w:rsid w:val="00617D1F"/>
    <w:rsid w:val="00617FDF"/>
    <w:rsid w:val="00620E91"/>
    <w:rsid w:val="00621879"/>
    <w:rsid w:val="00621DA9"/>
    <w:rsid w:val="00621E9C"/>
    <w:rsid w:val="00621EDE"/>
    <w:rsid w:val="00622805"/>
    <w:rsid w:val="006228EE"/>
    <w:rsid w:val="006229D1"/>
    <w:rsid w:val="00622D6E"/>
    <w:rsid w:val="00622F4A"/>
    <w:rsid w:val="00623461"/>
    <w:rsid w:val="00623547"/>
    <w:rsid w:val="00623641"/>
    <w:rsid w:val="00623985"/>
    <w:rsid w:val="00623C82"/>
    <w:rsid w:val="00623F55"/>
    <w:rsid w:val="006240FD"/>
    <w:rsid w:val="0062464E"/>
    <w:rsid w:val="00624763"/>
    <w:rsid w:val="00624A22"/>
    <w:rsid w:val="00624DE6"/>
    <w:rsid w:val="00624E8F"/>
    <w:rsid w:val="00625334"/>
    <w:rsid w:val="00625533"/>
    <w:rsid w:val="00625850"/>
    <w:rsid w:val="00625A68"/>
    <w:rsid w:val="00625E87"/>
    <w:rsid w:val="006262CF"/>
    <w:rsid w:val="00626362"/>
    <w:rsid w:val="0062640E"/>
    <w:rsid w:val="00626A11"/>
    <w:rsid w:val="006301F4"/>
    <w:rsid w:val="0063075D"/>
    <w:rsid w:val="00630950"/>
    <w:rsid w:val="00630BC1"/>
    <w:rsid w:val="00630E1F"/>
    <w:rsid w:val="00631733"/>
    <w:rsid w:val="00631BBD"/>
    <w:rsid w:val="00631CE3"/>
    <w:rsid w:val="0063232F"/>
    <w:rsid w:val="00632B33"/>
    <w:rsid w:val="00633053"/>
    <w:rsid w:val="0063311F"/>
    <w:rsid w:val="006333EA"/>
    <w:rsid w:val="006333F9"/>
    <w:rsid w:val="006337E7"/>
    <w:rsid w:val="00633854"/>
    <w:rsid w:val="0063387B"/>
    <w:rsid w:val="00633C01"/>
    <w:rsid w:val="00633E38"/>
    <w:rsid w:val="00634349"/>
    <w:rsid w:val="0063484A"/>
    <w:rsid w:val="00634AF0"/>
    <w:rsid w:val="00634ECA"/>
    <w:rsid w:val="00634F79"/>
    <w:rsid w:val="00635478"/>
    <w:rsid w:val="006355D7"/>
    <w:rsid w:val="006355F0"/>
    <w:rsid w:val="00635742"/>
    <w:rsid w:val="00635969"/>
    <w:rsid w:val="00635F87"/>
    <w:rsid w:val="00636336"/>
    <w:rsid w:val="00636351"/>
    <w:rsid w:val="00636577"/>
    <w:rsid w:val="00637051"/>
    <w:rsid w:val="00637171"/>
    <w:rsid w:val="006373EF"/>
    <w:rsid w:val="00637500"/>
    <w:rsid w:val="006375AC"/>
    <w:rsid w:val="00637B96"/>
    <w:rsid w:val="00637E06"/>
    <w:rsid w:val="00637F3E"/>
    <w:rsid w:val="00640112"/>
    <w:rsid w:val="00640353"/>
    <w:rsid w:val="00640499"/>
    <w:rsid w:val="0064052C"/>
    <w:rsid w:val="00640996"/>
    <w:rsid w:val="00640C2C"/>
    <w:rsid w:val="00641034"/>
    <w:rsid w:val="00641311"/>
    <w:rsid w:val="00641388"/>
    <w:rsid w:val="00641B5F"/>
    <w:rsid w:val="00641C4E"/>
    <w:rsid w:val="00641C50"/>
    <w:rsid w:val="00641EE5"/>
    <w:rsid w:val="00641F74"/>
    <w:rsid w:val="00642ADE"/>
    <w:rsid w:val="00643072"/>
    <w:rsid w:val="006433B5"/>
    <w:rsid w:val="006436EE"/>
    <w:rsid w:val="00643782"/>
    <w:rsid w:val="00643E43"/>
    <w:rsid w:val="00644177"/>
    <w:rsid w:val="006445A6"/>
    <w:rsid w:val="00644ABB"/>
    <w:rsid w:val="00644B6C"/>
    <w:rsid w:val="006456E8"/>
    <w:rsid w:val="0064573E"/>
    <w:rsid w:val="00645D50"/>
    <w:rsid w:val="00645F0B"/>
    <w:rsid w:val="00645FCA"/>
    <w:rsid w:val="006460E1"/>
    <w:rsid w:val="00646353"/>
    <w:rsid w:val="00646601"/>
    <w:rsid w:val="00646662"/>
    <w:rsid w:val="0064670F"/>
    <w:rsid w:val="00646886"/>
    <w:rsid w:val="00646C2D"/>
    <w:rsid w:val="00646D8D"/>
    <w:rsid w:val="00647774"/>
    <w:rsid w:val="006479CF"/>
    <w:rsid w:val="006479E6"/>
    <w:rsid w:val="00647AE6"/>
    <w:rsid w:val="00647BBE"/>
    <w:rsid w:val="006501B9"/>
    <w:rsid w:val="006503C5"/>
    <w:rsid w:val="006505C1"/>
    <w:rsid w:val="00650848"/>
    <w:rsid w:val="00650BD2"/>
    <w:rsid w:val="00650DF3"/>
    <w:rsid w:val="006510A8"/>
    <w:rsid w:val="00651365"/>
    <w:rsid w:val="006518D6"/>
    <w:rsid w:val="00652398"/>
    <w:rsid w:val="006528DB"/>
    <w:rsid w:val="00652A31"/>
    <w:rsid w:val="00652D4F"/>
    <w:rsid w:val="00652DD5"/>
    <w:rsid w:val="00652F2D"/>
    <w:rsid w:val="0065355A"/>
    <w:rsid w:val="0065373C"/>
    <w:rsid w:val="00653AE6"/>
    <w:rsid w:val="00653B46"/>
    <w:rsid w:val="006541DA"/>
    <w:rsid w:val="006543FC"/>
    <w:rsid w:val="00654767"/>
    <w:rsid w:val="0065490E"/>
    <w:rsid w:val="0065495A"/>
    <w:rsid w:val="006549DE"/>
    <w:rsid w:val="00654A6D"/>
    <w:rsid w:val="006554B0"/>
    <w:rsid w:val="00655689"/>
    <w:rsid w:val="006557C3"/>
    <w:rsid w:val="00655965"/>
    <w:rsid w:val="006559A4"/>
    <w:rsid w:val="00655B32"/>
    <w:rsid w:val="00655CC7"/>
    <w:rsid w:val="006565AE"/>
    <w:rsid w:val="00656BB1"/>
    <w:rsid w:val="00656C18"/>
    <w:rsid w:val="0065700D"/>
    <w:rsid w:val="00657AA3"/>
    <w:rsid w:val="00657E92"/>
    <w:rsid w:val="006600A9"/>
    <w:rsid w:val="006602C5"/>
    <w:rsid w:val="00660509"/>
    <w:rsid w:val="00660798"/>
    <w:rsid w:val="006607D3"/>
    <w:rsid w:val="00660E7E"/>
    <w:rsid w:val="00660EBE"/>
    <w:rsid w:val="00661506"/>
    <w:rsid w:val="00661747"/>
    <w:rsid w:val="0066176B"/>
    <w:rsid w:val="006617CE"/>
    <w:rsid w:val="0066180E"/>
    <w:rsid w:val="0066237F"/>
    <w:rsid w:val="00662FE2"/>
    <w:rsid w:val="00663246"/>
    <w:rsid w:val="00663541"/>
    <w:rsid w:val="0066369F"/>
    <w:rsid w:val="0066377A"/>
    <w:rsid w:val="00663B7A"/>
    <w:rsid w:val="00663C1E"/>
    <w:rsid w:val="00663C61"/>
    <w:rsid w:val="0066416C"/>
    <w:rsid w:val="006642B8"/>
    <w:rsid w:val="006645A9"/>
    <w:rsid w:val="00664903"/>
    <w:rsid w:val="00664A7D"/>
    <w:rsid w:val="00664A8E"/>
    <w:rsid w:val="00664FF7"/>
    <w:rsid w:val="006651EF"/>
    <w:rsid w:val="006653A9"/>
    <w:rsid w:val="0066623E"/>
    <w:rsid w:val="0066641D"/>
    <w:rsid w:val="00666809"/>
    <w:rsid w:val="0066685F"/>
    <w:rsid w:val="0066691F"/>
    <w:rsid w:val="00666B6E"/>
    <w:rsid w:val="00666D07"/>
    <w:rsid w:val="00666EA6"/>
    <w:rsid w:val="00667DC8"/>
    <w:rsid w:val="00667E30"/>
    <w:rsid w:val="00667FE7"/>
    <w:rsid w:val="006701D0"/>
    <w:rsid w:val="0067041B"/>
    <w:rsid w:val="006704B5"/>
    <w:rsid w:val="006705F7"/>
    <w:rsid w:val="0067099B"/>
    <w:rsid w:val="00670CDF"/>
    <w:rsid w:val="00670FC3"/>
    <w:rsid w:val="00671076"/>
    <w:rsid w:val="006714C5"/>
    <w:rsid w:val="00671848"/>
    <w:rsid w:val="00671AD4"/>
    <w:rsid w:val="00672E9C"/>
    <w:rsid w:val="00672F15"/>
    <w:rsid w:val="006732E1"/>
    <w:rsid w:val="0067348E"/>
    <w:rsid w:val="00673705"/>
    <w:rsid w:val="00673795"/>
    <w:rsid w:val="0067424E"/>
    <w:rsid w:val="00674279"/>
    <w:rsid w:val="00674334"/>
    <w:rsid w:val="00674363"/>
    <w:rsid w:val="00674415"/>
    <w:rsid w:val="006757D0"/>
    <w:rsid w:val="00675A31"/>
    <w:rsid w:val="00675C80"/>
    <w:rsid w:val="00675DD4"/>
    <w:rsid w:val="00675FDF"/>
    <w:rsid w:val="006761CA"/>
    <w:rsid w:val="00676245"/>
    <w:rsid w:val="006765D7"/>
    <w:rsid w:val="00676B4E"/>
    <w:rsid w:val="00676FB5"/>
    <w:rsid w:val="0067714A"/>
    <w:rsid w:val="00677710"/>
    <w:rsid w:val="006778AA"/>
    <w:rsid w:val="006801F4"/>
    <w:rsid w:val="00680383"/>
    <w:rsid w:val="00680584"/>
    <w:rsid w:val="00680FF3"/>
    <w:rsid w:val="006811F5"/>
    <w:rsid w:val="0068123D"/>
    <w:rsid w:val="006815BC"/>
    <w:rsid w:val="006818AC"/>
    <w:rsid w:val="00681B27"/>
    <w:rsid w:val="00681D17"/>
    <w:rsid w:val="00682168"/>
    <w:rsid w:val="0068265F"/>
    <w:rsid w:val="00682707"/>
    <w:rsid w:val="006834F0"/>
    <w:rsid w:val="0068384F"/>
    <w:rsid w:val="0068396C"/>
    <w:rsid w:val="0068408E"/>
    <w:rsid w:val="0068410F"/>
    <w:rsid w:val="006843A7"/>
    <w:rsid w:val="0068457C"/>
    <w:rsid w:val="006845B9"/>
    <w:rsid w:val="006845C6"/>
    <w:rsid w:val="00684773"/>
    <w:rsid w:val="00684CBB"/>
    <w:rsid w:val="00684DAE"/>
    <w:rsid w:val="006850C0"/>
    <w:rsid w:val="006856B1"/>
    <w:rsid w:val="00685E4B"/>
    <w:rsid w:val="00686278"/>
    <w:rsid w:val="006863BF"/>
    <w:rsid w:val="006872CF"/>
    <w:rsid w:val="006878AE"/>
    <w:rsid w:val="00687CD8"/>
    <w:rsid w:val="0069019C"/>
    <w:rsid w:val="00690657"/>
    <w:rsid w:val="00690777"/>
    <w:rsid w:val="006907E8"/>
    <w:rsid w:val="0069081F"/>
    <w:rsid w:val="00690D06"/>
    <w:rsid w:val="006917CD"/>
    <w:rsid w:val="00691926"/>
    <w:rsid w:val="006920BC"/>
    <w:rsid w:val="00692116"/>
    <w:rsid w:val="0069223F"/>
    <w:rsid w:val="00692418"/>
    <w:rsid w:val="00692541"/>
    <w:rsid w:val="00692934"/>
    <w:rsid w:val="00692DD4"/>
    <w:rsid w:val="006938CF"/>
    <w:rsid w:val="00694076"/>
    <w:rsid w:val="0069482D"/>
    <w:rsid w:val="00694A90"/>
    <w:rsid w:val="00694D64"/>
    <w:rsid w:val="006955C0"/>
    <w:rsid w:val="00695A25"/>
    <w:rsid w:val="00695DAD"/>
    <w:rsid w:val="006962E2"/>
    <w:rsid w:val="006967AA"/>
    <w:rsid w:val="006967C4"/>
    <w:rsid w:val="0069686C"/>
    <w:rsid w:val="00697658"/>
    <w:rsid w:val="00697855"/>
    <w:rsid w:val="0069786D"/>
    <w:rsid w:val="00697EAE"/>
    <w:rsid w:val="006A0074"/>
    <w:rsid w:val="006A0352"/>
    <w:rsid w:val="006A0997"/>
    <w:rsid w:val="006A1162"/>
    <w:rsid w:val="006A150D"/>
    <w:rsid w:val="006A15AE"/>
    <w:rsid w:val="006A1741"/>
    <w:rsid w:val="006A1D1B"/>
    <w:rsid w:val="006A1F4C"/>
    <w:rsid w:val="006A20AF"/>
    <w:rsid w:val="006A2283"/>
    <w:rsid w:val="006A23AC"/>
    <w:rsid w:val="006A2C19"/>
    <w:rsid w:val="006A2C96"/>
    <w:rsid w:val="006A36FA"/>
    <w:rsid w:val="006A3A07"/>
    <w:rsid w:val="006A3DC5"/>
    <w:rsid w:val="006A4175"/>
    <w:rsid w:val="006A41B4"/>
    <w:rsid w:val="006A4431"/>
    <w:rsid w:val="006A46BC"/>
    <w:rsid w:val="006A4BB1"/>
    <w:rsid w:val="006A56F1"/>
    <w:rsid w:val="006A57D5"/>
    <w:rsid w:val="006A5862"/>
    <w:rsid w:val="006A59B7"/>
    <w:rsid w:val="006A59FE"/>
    <w:rsid w:val="006A5D89"/>
    <w:rsid w:val="006A6546"/>
    <w:rsid w:val="006A6617"/>
    <w:rsid w:val="006A67A5"/>
    <w:rsid w:val="006A6A56"/>
    <w:rsid w:val="006A6F85"/>
    <w:rsid w:val="006A71B1"/>
    <w:rsid w:val="006A735B"/>
    <w:rsid w:val="006A7591"/>
    <w:rsid w:val="006A7DDF"/>
    <w:rsid w:val="006B035D"/>
    <w:rsid w:val="006B07C9"/>
    <w:rsid w:val="006B0903"/>
    <w:rsid w:val="006B0A90"/>
    <w:rsid w:val="006B0AB2"/>
    <w:rsid w:val="006B0B36"/>
    <w:rsid w:val="006B11E9"/>
    <w:rsid w:val="006B2766"/>
    <w:rsid w:val="006B2847"/>
    <w:rsid w:val="006B2F7F"/>
    <w:rsid w:val="006B30BF"/>
    <w:rsid w:val="006B330C"/>
    <w:rsid w:val="006B359E"/>
    <w:rsid w:val="006B3C3E"/>
    <w:rsid w:val="006B41D5"/>
    <w:rsid w:val="006B4591"/>
    <w:rsid w:val="006B4643"/>
    <w:rsid w:val="006B495B"/>
    <w:rsid w:val="006B4B24"/>
    <w:rsid w:val="006B4F62"/>
    <w:rsid w:val="006B5046"/>
    <w:rsid w:val="006B506C"/>
    <w:rsid w:val="006B5195"/>
    <w:rsid w:val="006B559A"/>
    <w:rsid w:val="006B55DC"/>
    <w:rsid w:val="006B626A"/>
    <w:rsid w:val="006B641C"/>
    <w:rsid w:val="006B66D1"/>
    <w:rsid w:val="006B6B0B"/>
    <w:rsid w:val="006B6BF5"/>
    <w:rsid w:val="006B7175"/>
    <w:rsid w:val="006B71B4"/>
    <w:rsid w:val="006B7440"/>
    <w:rsid w:val="006B7548"/>
    <w:rsid w:val="006B7782"/>
    <w:rsid w:val="006B7FE7"/>
    <w:rsid w:val="006C0325"/>
    <w:rsid w:val="006C0389"/>
    <w:rsid w:val="006C040B"/>
    <w:rsid w:val="006C04F9"/>
    <w:rsid w:val="006C0603"/>
    <w:rsid w:val="006C07C1"/>
    <w:rsid w:val="006C098B"/>
    <w:rsid w:val="006C0A80"/>
    <w:rsid w:val="006C0E39"/>
    <w:rsid w:val="006C0ED5"/>
    <w:rsid w:val="006C0F0A"/>
    <w:rsid w:val="006C11A3"/>
    <w:rsid w:val="006C15D5"/>
    <w:rsid w:val="006C15E5"/>
    <w:rsid w:val="006C2273"/>
    <w:rsid w:val="006C2291"/>
    <w:rsid w:val="006C22A3"/>
    <w:rsid w:val="006C23F6"/>
    <w:rsid w:val="006C295D"/>
    <w:rsid w:val="006C29AA"/>
    <w:rsid w:val="006C29D9"/>
    <w:rsid w:val="006C2BF6"/>
    <w:rsid w:val="006C2DF2"/>
    <w:rsid w:val="006C2FF2"/>
    <w:rsid w:val="006C301D"/>
    <w:rsid w:val="006C3488"/>
    <w:rsid w:val="006C3691"/>
    <w:rsid w:val="006C37C8"/>
    <w:rsid w:val="006C3AC1"/>
    <w:rsid w:val="006C3B7A"/>
    <w:rsid w:val="006C3BCE"/>
    <w:rsid w:val="006C4CFB"/>
    <w:rsid w:val="006C4FB3"/>
    <w:rsid w:val="006C522F"/>
    <w:rsid w:val="006C53CC"/>
    <w:rsid w:val="006C54DA"/>
    <w:rsid w:val="006C555A"/>
    <w:rsid w:val="006C5582"/>
    <w:rsid w:val="006C55EA"/>
    <w:rsid w:val="006C5817"/>
    <w:rsid w:val="006C594C"/>
    <w:rsid w:val="006C6160"/>
    <w:rsid w:val="006C6E58"/>
    <w:rsid w:val="006C6EDA"/>
    <w:rsid w:val="006C79CF"/>
    <w:rsid w:val="006C7C61"/>
    <w:rsid w:val="006C7CCE"/>
    <w:rsid w:val="006C7F18"/>
    <w:rsid w:val="006D031B"/>
    <w:rsid w:val="006D034A"/>
    <w:rsid w:val="006D09AD"/>
    <w:rsid w:val="006D0A33"/>
    <w:rsid w:val="006D1547"/>
    <w:rsid w:val="006D20FD"/>
    <w:rsid w:val="006D260A"/>
    <w:rsid w:val="006D2C8E"/>
    <w:rsid w:val="006D2E07"/>
    <w:rsid w:val="006D3248"/>
    <w:rsid w:val="006D3619"/>
    <w:rsid w:val="006D40A2"/>
    <w:rsid w:val="006D4297"/>
    <w:rsid w:val="006D4626"/>
    <w:rsid w:val="006D46B0"/>
    <w:rsid w:val="006D52CF"/>
    <w:rsid w:val="006D53C1"/>
    <w:rsid w:val="006D58B1"/>
    <w:rsid w:val="006D5BF2"/>
    <w:rsid w:val="006D5CF0"/>
    <w:rsid w:val="006D5EBB"/>
    <w:rsid w:val="006D5F78"/>
    <w:rsid w:val="006D6078"/>
    <w:rsid w:val="006D6471"/>
    <w:rsid w:val="006D66FD"/>
    <w:rsid w:val="006D67C7"/>
    <w:rsid w:val="006D697C"/>
    <w:rsid w:val="006D6CFA"/>
    <w:rsid w:val="006D6DD1"/>
    <w:rsid w:val="006D744A"/>
    <w:rsid w:val="006D7617"/>
    <w:rsid w:val="006D7713"/>
    <w:rsid w:val="006D77D5"/>
    <w:rsid w:val="006D7937"/>
    <w:rsid w:val="006D7B63"/>
    <w:rsid w:val="006D7B78"/>
    <w:rsid w:val="006D7BDE"/>
    <w:rsid w:val="006D7C66"/>
    <w:rsid w:val="006E015D"/>
    <w:rsid w:val="006E05C1"/>
    <w:rsid w:val="006E0947"/>
    <w:rsid w:val="006E0F9A"/>
    <w:rsid w:val="006E1A4D"/>
    <w:rsid w:val="006E1A7B"/>
    <w:rsid w:val="006E242C"/>
    <w:rsid w:val="006E25FD"/>
    <w:rsid w:val="006E27F9"/>
    <w:rsid w:val="006E2C3C"/>
    <w:rsid w:val="006E2E10"/>
    <w:rsid w:val="006E32B2"/>
    <w:rsid w:val="006E351B"/>
    <w:rsid w:val="006E368E"/>
    <w:rsid w:val="006E383C"/>
    <w:rsid w:val="006E3B64"/>
    <w:rsid w:val="006E3D7A"/>
    <w:rsid w:val="006E45EA"/>
    <w:rsid w:val="006E48B3"/>
    <w:rsid w:val="006E49ED"/>
    <w:rsid w:val="006E4B27"/>
    <w:rsid w:val="006E4C27"/>
    <w:rsid w:val="006E4C9A"/>
    <w:rsid w:val="006E4D71"/>
    <w:rsid w:val="006E5065"/>
    <w:rsid w:val="006E5184"/>
    <w:rsid w:val="006E5308"/>
    <w:rsid w:val="006E554D"/>
    <w:rsid w:val="006E5721"/>
    <w:rsid w:val="006E6040"/>
    <w:rsid w:val="006E61E7"/>
    <w:rsid w:val="006E62C4"/>
    <w:rsid w:val="006E633D"/>
    <w:rsid w:val="006E6390"/>
    <w:rsid w:val="006E63A4"/>
    <w:rsid w:val="006E64B2"/>
    <w:rsid w:val="006E6651"/>
    <w:rsid w:val="006E68A3"/>
    <w:rsid w:val="006E69E9"/>
    <w:rsid w:val="006E6DE9"/>
    <w:rsid w:val="006E6F3E"/>
    <w:rsid w:val="006E70E6"/>
    <w:rsid w:val="006E7C8B"/>
    <w:rsid w:val="006E7E19"/>
    <w:rsid w:val="006F001A"/>
    <w:rsid w:val="006F0123"/>
    <w:rsid w:val="006F02EC"/>
    <w:rsid w:val="006F0641"/>
    <w:rsid w:val="006F06BC"/>
    <w:rsid w:val="006F098F"/>
    <w:rsid w:val="006F0DE8"/>
    <w:rsid w:val="006F1003"/>
    <w:rsid w:val="006F129D"/>
    <w:rsid w:val="006F15D3"/>
    <w:rsid w:val="006F1968"/>
    <w:rsid w:val="006F19F7"/>
    <w:rsid w:val="006F1DAF"/>
    <w:rsid w:val="006F1DBF"/>
    <w:rsid w:val="006F20E1"/>
    <w:rsid w:val="006F2115"/>
    <w:rsid w:val="006F266E"/>
    <w:rsid w:val="006F26E5"/>
    <w:rsid w:val="006F2D43"/>
    <w:rsid w:val="006F31D6"/>
    <w:rsid w:val="006F3681"/>
    <w:rsid w:val="006F3917"/>
    <w:rsid w:val="006F3ADC"/>
    <w:rsid w:val="006F3ECD"/>
    <w:rsid w:val="006F3EDA"/>
    <w:rsid w:val="006F47DC"/>
    <w:rsid w:val="006F4A99"/>
    <w:rsid w:val="006F4C57"/>
    <w:rsid w:val="006F4C62"/>
    <w:rsid w:val="006F4CCE"/>
    <w:rsid w:val="006F4DF6"/>
    <w:rsid w:val="006F5020"/>
    <w:rsid w:val="006F5A62"/>
    <w:rsid w:val="006F5C61"/>
    <w:rsid w:val="006F613C"/>
    <w:rsid w:val="006F65FE"/>
    <w:rsid w:val="006F6657"/>
    <w:rsid w:val="006F6668"/>
    <w:rsid w:val="006F6A09"/>
    <w:rsid w:val="006F7241"/>
    <w:rsid w:val="006F73D4"/>
    <w:rsid w:val="006F7599"/>
    <w:rsid w:val="006F770A"/>
    <w:rsid w:val="006F7B5E"/>
    <w:rsid w:val="006F7FB4"/>
    <w:rsid w:val="0070060E"/>
    <w:rsid w:val="00700AC0"/>
    <w:rsid w:val="00700F5C"/>
    <w:rsid w:val="00700FCB"/>
    <w:rsid w:val="00701142"/>
    <w:rsid w:val="00701148"/>
    <w:rsid w:val="0070122F"/>
    <w:rsid w:val="00701524"/>
    <w:rsid w:val="00701652"/>
    <w:rsid w:val="00701818"/>
    <w:rsid w:val="00701A4A"/>
    <w:rsid w:val="00701B5B"/>
    <w:rsid w:val="00701B89"/>
    <w:rsid w:val="00701C29"/>
    <w:rsid w:val="0070297A"/>
    <w:rsid w:val="00702A12"/>
    <w:rsid w:val="00702A7E"/>
    <w:rsid w:val="00703250"/>
    <w:rsid w:val="0070356E"/>
    <w:rsid w:val="00704159"/>
    <w:rsid w:val="00704231"/>
    <w:rsid w:val="007046DB"/>
    <w:rsid w:val="00705146"/>
    <w:rsid w:val="007051E1"/>
    <w:rsid w:val="00706653"/>
    <w:rsid w:val="0070678F"/>
    <w:rsid w:val="00707102"/>
    <w:rsid w:val="00707164"/>
    <w:rsid w:val="00707870"/>
    <w:rsid w:val="00707A24"/>
    <w:rsid w:val="00710082"/>
    <w:rsid w:val="007104AD"/>
    <w:rsid w:val="00710C72"/>
    <w:rsid w:val="00711294"/>
    <w:rsid w:val="007112AA"/>
    <w:rsid w:val="007112C1"/>
    <w:rsid w:val="00711B0B"/>
    <w:rsid w:val="007121F5"/>
    <w:rsid w:val="007123A1"/>
    <w:rsid w:val="00712913"/>
    <w:rsid w:val="00712A7A"/>
    <w:rsid w:val="00712C22"/>
    <w:rsid w:val="00712D37"/>
    <w:rsid w:val="00712F25"/>
    <w:rsid w:val="00712F83"/>
    <w:rsid w:val="007131E1"/>
    <w:rsid w:val="00713251"/>
    <w:rsid w:val="00713468"/>
    <w:rsid w:val="00713B50"/>
    <w:rsid w:val="00713D8B"/>
    <w:rsid w:val="00713DB6"/>
    <w:rsid w:val="00714348"/>
    <w:rsid w:val="0071460A"/>
    <w:rsid w:val="00714E5E"/>
    <w:rsid w:val="00714EE5"/>
    <w:rsid w:val="00714F2B"/>
    <w:rsid w:val="007153D9"/>
    <w:rsid w:val="00715990"/>
    <w:rsid w:val="00715CF9"/>
    <w:rsid w:val="00715DD5"/>
    <w:rsid w:val="00716345"/>
    <w:rsid w:val="0071646F"/>
    <w:rsid w:val="00716F05"/>
    <w:rsid w:val="0071704B"/>
    <w:rsid w:val="0071754E"/>
    <w:rsid w:val="00717708"/>
    <w:rsid w:val="00717730"/>
    <w:rsid w:val="007177F8"/>
    <w:rsid w:val="00717BC7"/>
    <w:rsid w:val="00717F72"/>
    <w:rsid w:val="00720419"/>
    <w:rsid w:val="0072138B"/>
    <w:rsid w:val="007213D9"/>
    <w:rsid w:val="00721A70"/>
    <w:rsid w:val="00721CBC"/>
    <w:rsid w:val="00722364"/>
    <w:rsid w:val="007226BE"/>
    <w:rsid w:val="0072293A"/>
    <w:rsid w:val="00722B5E"/>
    <w:rsid w:val="00722BE9"/>
    <w:rsid w:val="00722D55"/>
    <w:rsid w:val="00722DEA"/>
    <w:rsid w:val="00722F5F"/>
    <w:rsid w:val="007231FB"/>
    <w:rsid w:val="00723242"/>
    <w:rsid w:val="00723FD5"/>
    <w:rsid w:val="007241D3"/>
    <w:rsid w:val="007248D2"/>
    <w:rsid w:val="00724C75"/>
    <w:rsid w:val="00724CBB"/>
    <w:rsid w:val="00724CEB"/>
    <w:rsid w:val="00725048"/>
    <w:rsid w:val="0072561A"/>
    <w:rsid w:val="0072564E"/>
    <w:rsid w:val="00725731"/>
    <w:rsid w:val="00725B61"/>
    <w:rsid w:val="0072678D"/>
    <w:rsid w:val="007268F3"/>
    <w:rsid w:val="00726FD2"/>
    <w:rsid w:val="00727342"/>
    <w:rsid w:val="00727349"/>
    <w:rsid w:val="00727579"/>
    <w:rsid w:val="007277F1"/>
    <w:rsid w:val="00727AF9"/>
    <w:rsid w:val="00727CF3"/>
    <w:rsid w:val="00727FBC"/>
    <w:rsid w:val="00730482"/>
    <w:rsid w:val="0073053E"/>
    <w:rsid w:val="0073057E"/>
    <w:rsid w:val="00730639"/>
    <w:rsid w:val="00730732"/>
    <w:rsid w:val="0073074F"/>
    <w:rsid w:val="007309FB"/>
    <w:rsid w:val="00730CEA"/>
    <w:rsid w:val="00730DEA"/>
    <w:rsid w:val="00730F74"/>
    <w:rsid w:val="0073103A"/>
    <w:rsid w:val="0073151E"/>
    <w:rsid w:val="00731762"/>
    <w:rsid w:val="00731CE4"/>
    <w:rsid w:val="00731E65"/>
    <w:rsid w:val="00732427"/>
    <w:rsid w:val="007327DF"/>
    <w:rsid w:val="00732B28"/>
    <w:rsid w:val="00732DBA"/>
    <w:rsid w:val="00733320"/>
    <w:rsid w:val="00733656"/>
    <w:rsid w:val="00733958"/>
    <w:rsid w:val="00733C39"/>
    <w:rsid w:val="00733E2D"/>
    <w:rsid w:val="00734649"/>
    <w:rsid w:val="007347A7"/>
    <w:rsid w:val="007349FC"/>
    <w:rsid w:val="00734F63"/>
    <w:rsid w:val="00735308"/>
    <w:rsid w:val="00735341"/>
    <w:rsid w:val="00735563"/>
    <w:rsid w:val="00735666"/>
    <w:rsid w:val="00735A66"/>
    <w:rsid w:val="00735B29"/>
    <w:rsid w:val="00735D73"/>
    <w:rsid w:val="00735E55"/>
    <w:rsid w:val="0073629F"/>
    <w:rsid w:val="00736A75"/>
    <w:rsid w:val="00736D86"/>
    <w:rsid w:val="00736E2C"/>
    <w:rsid w:val="0073775E"/>
    <w:rsid w:val="0073781D"/>
    <w:rsid w:val="007379D1"/>
    <w:rsid w:val="00737B29"/>
    <w:rsid w:val="00737C5A"/>
    <w:rsid w:val="00740361"/>
    <w:rsid w:val="00741754"/>
    <w:rsid w:val="00741A46"/>
    <w:rsid w:val="00741F52"/>
    <w:rsid w:val="0074204D"/>
    <w:rsid w:val="00742057"/>
    <w:rsid w:val="00742599"/>
    <w:rsid w:val="007428B5"/>
    <w:rsid w:val="00742A70"/>
    <w:rsid w:val="00742A7A"/>
    <w:rsid w:val="00742AB7"/>
    <w:rsid w:val="00742ACF"/>
    <w:rsid w:val="00742BCD"/>
    <w:rsid w:val="00742D71"/>
    <w:rsid w:val="0074303D"/>
    <w:rsid w:val="007435C8"/>
    <w:rsid w:val="00743B09"/>
    <w:rsid w:val="00743DBA"/>
    <w:rsid w:val="00744594"/>
    <w:rsid w:val="00744D8E"/>
    <w:rsid w:val="00745062"/>
    <w:rsid w:val="007452D1"/>
    <w:rsid w:val="007453E4"/>
    <w:rsid w:val="00745478"/>
    <w:rsid w:val="00745801"/>
    <w:rsid w:val="00745B3F"/>
    <w:rsid w:val="00745B74"/>
    <w:rsid w:val="00745DB6"/>
    <w:rsid w:val="00745E69"/>
    <w:rsid w:val="007463C5"/>
    <w:rsid w:val="00746638"/>
    <w:rsid w:val="0074670A"/>
    <w:rsid w:val="0074686D"/>
    <w:rsid w:val="00746936"/>
    <w:rsid w:val="00746D53"/>
    <w:rsid w:val="007470D1"/>
    <w:rsid w:val="00747240"/>
    <w:rsid w:val="007474AB"/>
    <w:rsid w:val="007474DB"/>
    <w:rsid w:val="00747DEF"/>
    <w:rsid w:val="00747E16"/>
    <w:rsid w:val="007511F6"/>
    <w:rsid w:val="00751576"/>
    <w:rsid w:val="007515E7"/>
    <w:rsid w:val="007517DD"/>
    <w:rsid w:val="00751A62"/>
    <w:rsid w:val="00751B35"/>
    <w:rsid w:val="00751C15"/>
    <w:rsid w:val="00751C5D"/>
    <w:rsid w:val="00751CF3"/>
    <w:rsid w:val="00752028"/>
    <w:rsid w:val="00752185"/>
    <w:rsid w:val="0075240C"/>
    <w:rsid w:val="00752737"/>
    <w:rsid w:val="007528AC"/>
    <w:rsid w:val="00752996"/>
    <w:rsid w:val="00753066"/>
    <w:rsid w:val="0075330D"/>
    <w:rsid w:val="00753320"/>
    <w:rsid w:val="00753534"/>
    <w:rsid w:val="007536DA"/>
    <w:rsid w:val="007537C8"/>
    <w:rsid w:val="00753C91"/>
    <w:rsid w:val="00753F04"/>
    <w:rsid w:val="00753F18"/>
    <w:rsid w:val="00753F51"/>
    <w:rsid w:val="00753F59"/>
    <w:rsid w:val="00754271"/>
    <w:rsid w:val="00754305"/>
    <w:rsid w:val="00754496"/>
    <w:rsid w:val="007544AE"/>
    <w:rsid w:val="00754776"/>
    <w:rsid w:val="00755275"/>
    <w:rsid w:val="00755999"/>
    <w:rsid w:val="00755F11"/>
    <w:rsid w:val="0075641F"/>
    <w:rsid w:val="00756497"/>
    <w:rsid w:val="0075672E"/>
    <w:rsid w:val="00756A07"/>
    <w:rsid w:val="00756A26"/>
    <w:rsid w:val="00756AEF"/>
    <w:rsid w:val="0075746E"/>
    <w:rsid w:val="00757538"/>
    <w:rsid w:val="00757746"/>
    <w:rsid w:val="007600A7"/>
    <w:rsid w:val="00760599"/>
    <w:rsid w:val="007608FD"/>
    <w:rsid w:val="00760A88"/>
    <w:rsid w:val="00760BEB"/>
    <w:rsid w:val="00760E28"/>
    <w:rsid w:val="00760EB4"/>
    <w:rsid w:val="00760F66"/>
    <w:rsid w:val="007617A6"/>
    <w:rsid w:val="00761AFD"/>
    <w:rsid w:val="00761E11"/>
    <w:rsid w:val="00761E1E"/>
    <w:rsid w:val="007623ED"/>
    <w:rsid w:val="00762933"/>
    <w:rsid w:val="00762BE0"/>
    <w:rsid w:val="00762CD7"/>
    <w:rsid w:val="00762E6C"/>
    <w:rsid w:val="00763171"/>
    <w:rsid w:val="00763517"/>
    <w:rsid w:val="007639D9"/>
    <w:rsid w:val="00763B32"/>
    <w:rsid w:val="00763BC3"/>
    <w:rsid w:val="00763C8D"/>
    <w:rsid w:val="007643CA"/>
    <w:rsid w:val="0076493D"/>
    <w:rsid w:val="00765129"/>
    <w:rsid w:val="007651D9"/>
    <w:rsid w:val="0076547C"/>
    <w:rsid w:val="007656E9"/>
    <w:rsid w:val="00765725"/>
    <w:rsid w:val="00765B37"/>
    <w:rsid w:val="00765C8F"/>
    <w:rsid w:val="00766028"/>
    <w:rsid w:val="007664CB"/>
    <w:rsid w:val="00766801"/>
    <w:rsid w:val="00766AFE"/>
    <w:rsid w:val="00766D3D"/>
    <w:rsid w:val="00766D8F"/>
    <w:rsid w:val="00767163"/>
    <w:rsid w:val="0076719C"/>
    <w:rsid w:val="007675BC"/>
    <w:rsid w:val="00767726"/>
    <w:rsid w:val="00767A6C"/>
    <w:rsid w:val="00767B61"/>
    <w:rsid w:val="00767E82"/>
    <w:rsid w:val="00770467"/>
    <w:rsid w:val="0077046B"/>
    <w:rsid w:val="007705A3"/>
    <w:rsid w:val="0077068C"/>
    <w:rsid w:val="007708C4"/>
    <w:rsid w:val="007709F2"/>
    <w:rsid w:val="00770BAC"/>
    <w:rsid w:val="00770DC3"/>
    <w:rsid w:val="00771107"/>
    <w:rsid w:val="00771125"/>
    <w:rsid w:val="007717A0"/>
    <w:rsid w:val="00771893"/>
    <w:rsid w:val="00771A5F"/>
    <w:rsid w:val="00771A6C"/>
    <w:rsid w:val="00771FE7"/>
    <w:rsid w:val="0077210C"/>
    <w:rsid w:val="007725D3"/>
    <w:rsid w:val="0077261A"/>
    <w:rsid w:val="00772975"/>
    <w:rsid w:val="00772CAC"/>
    <w:rsid w:val="00772F5E"/>
    <w:rsid w:val="007730F2"/>
    <w:rsid w:val="007735B2"/>
    <w:rsid w:val="00773EA8"/>
    <w:rsid w:val="00773ED5"/>
    <w:rsid w:val="00774980"/>
    <w:rsid w:val="00774BC0"/>
    <w:rsid w:val="007751B6"/>
    <w:rsid w:val="0077532E"/>
    <w:rsid w:val="007753C0"/>
    <w:rsid w:val="0077544E"/>
    <w:rsid w:val="0077560A"/>
    <w:rsid w:val="007757CF"/>
    <w:rsid w:val="00775CE4"/>
    <w:rsid w:val="00775FA4"/>
    <w:rsid w:val="007760DE"/>
    <w:rsid w:val="00776137"/>
    <w:rsid w:val="0077656C"/>
    <w:rsid w:val="007765C3"/>
    <w:rsid w:val="0077690B"/>
    <w:rsid w:val="0077693C"/>
    <w:rsid w:val="00776B10"/>
    <w:rsid w:val="00776CBD"/>
    <w:rsid w:val="00776CD1"/>
    <w:rsid w:val="00776FAF"/>
    <w:rsid w:val="00777112"/>
    <w:rsid w:val="007771CA"/>
    <w:rsid w:val="0077725A"/>
    <w:rsid w:val="0077767B"/>
    <w:rsid w:val="00777DA5"/>
    <w:rsid w:val="00777DF5"/>
    <w:rsid w:val="007802EE"/>
    <w:rsid w:val="0078031F"/>
    <w:rsid w:val="007803A0"/>
    <w:rsid w:val="00780746"/>
    <w:rsid w:val="007807B8"/>
    <w:rsid w:val="00780974"/>
    <w:rsid w:val="00780B02"/>
    <w:rsid w:val="00780FC9"/>
    <w:rsid w:val="007810DA"/>
    <w:rsid w:val="007819A1"/>
    <w:rsid w:val="00781A80"/>
    <w:rsid w:val="00781B5D"/>
    <w:rsid w:val="00781B87"/>
    <w:rsid w:val="00781C45"/>
    <w:rsid w:val="00781DBF"/>
    <w:rsid w:val="00781EA4"/>
    <w:rsid w:val="00781FA7"/>
    <w:rsid w:val="00781FFD"/>
    <w:rsid w:val="00782197"/>
    <w:rsid w:val="007821C7"/>
    <w:rsid w:val="00782D16"/>
    <w:rsid w:val="00783209"/>
    <w:rsid w:val="007832DD"/>
    <w:rsid w:val="00783764"/>
    <w:rsid w:val="0078424C"/>
    <w:rsid w:val="007846EF"/>
    <w:rsid w:val="00784788"/>
    <w:rsid w:val="0078491E"/>
    <w:rsid w:val="00784E5A"/>
    <w:rsid w:val="00785419"/>
    <w:rsid w:val="007854C5"/>
    <w:rsid w:val="00785E02"/>
    <w:rsid w:val="00786519"/>
    <w:rsid w:val="0078664A"/>
    <w:rsid w:val="00786AFC"/>
    <w:rsid w:val="00786C54"/>
    <w:rsid w:val="00786DA1"/>
    <w:rsid w:val="00786F37"/>
    <w:rsid w:val="0078702C"/>
    <w:rsid w:val="00787165"/>
    <w:rsid w:val="0079035F"/>
    <w:rsid w:val="00790540"/>
    <w:rsid w:val="0079056C"/>
    <w:rsid w:val="0079065E"/>
    <w:rsid w:val="007908E7"/>
    <w:rsid w:val="007909C2"/>
    <w:rsid w:val="00790A62"/>
    <w:rsid w:val="00790BE1"/>
    <w:rsid w:val="00790CC0"/>
    <w:rsid w:val="00790D28"/>
    <w:rsid w:val="00790D4D"/>
    <w:rsid w:val="00790DA5"/>
    <w:rsid w:val="00790EF3"/>
    <w:rsid w:val="00790F3D"/>
    <w:rsid w:val="0079155C"/>
    <w:rsid w:val="00791921"/>
    <w:rsid w:val="007923B1"/>
    <w:rsid w:val="00792735"/>
    <w:rsid w:val="007928B5"/>
    <w:rsid w:val="00792F1D"/>
    <w:rsid w:val="00792F44"/>
    <w:rsid w:val="00793051"/>
    <w:rsid w:val="007934A1"/>
    <w:rsid w:val="007937E8"/>
    <w:rsid w:val="007937FE"/>
    <w:rsid w:val="00793E18"/>
    <w:rsid w:val="00793E8E"/>
    <w:rsid w:val="00793EC6"/>
    <w:rsid w:val="00793FA5"/>
    <w:rsid w:val="007945CF"/>
    <w:rsid w:val="00794702"/>
    <w:rsid w:val="00794842"/>
    <w:rsid w:val="007948FB"/>
    <w:rsid w:val="00794E4C"/>
    <w:rsid w:val="00795019"/>
    <w:rsid w:val="007951B7"/>
    <w:rsid w:val="0079534E"/>
    <w:rsid w:val="00795AB6"/>
    <w:rsid w:val="00795C62"/>
    <w:rsid w:val="00796817"/>
    <w:rsid w:val="0079685E"/>
    <w:rsid w:val="00796D68"/>
    <w:rsid w:val="00797063"/>
    <w:rsid w:val="00797A35"/>
    <w:rsid w:val="00797A6B"/>
    <w:rsid w:val="00797B8C"/>
    <w:rsid w:val="00797CE3"/>
    <w:rsid w:val="00797D89"/>
    <w:rsid w:val="00797E27"/>
    <w:rsid w:val="007A0423"/>
    <w:rsid w:val="007A06E7"/>
    <w:rsid w:val="007A09D9"/>
    <w:rsid w:val="007A0C82"/>
    <w:rsid w:val="007A0F26"/>
    <w:rsid w:val="007A128A"/>
    <w:rsid w:val="007A1343"/>
    <w:rsid w:val="007A1A39"/>
    <w:rsid w:val="007A1B4E"/>
    <w:rsid w:val="007A1CF6"/>
    <w:rsid w:val="007A2065"/>
    <w:rsid w:val="007A2336"/>
    <w:rsid w:val="007A241E"/>
    <w:rsid w:val="007A2972"/>
    <w:rsid w:val="007A2C6D"/>
    <w:rsid w:val="007A2D51"/>
    <w:rsid w:val="007A358D"/>
    <w:rsid w:val="007A35D7"/>
    <w:rsid w:val="007A3637"/>
    <w:rsid w:val="007A36D6"/>
    <w:rsid w:val="007A37B1"/>
    <w:rsid w:val="007A3869"/>
    <w:rsid w:val="007A39F3"/>
    <w:rsid w:val="007A3BBF"/>
    <w:rsid w:val="007A3E00"/>
    <w:rsid w:val="007A3E9F"/>
    <w:rsid w:val="007A4A9E"/>
    <w:rsid w:val="007A4DE1"/>
    <w:rsid w:val="007A5B97"/>
    <w:rsid w:val="007A5BB8"/>
    <w:rsid w:val="007A60A7"/>
    <w:rsid w:val="007A6881"/>
    <w:rsid w:val="007A6CFB"/>
    <w:rsid w:val="007A7245"/>
    <w:rsid w:val="007A755C"/>
    <w:rsid w:val="007A7B2E"/>
    <w:rsid w:val="007A7B43"/>
    <w:rsid w:val="007A7BC5"/>
    <w:rsid w:val="007B0235"/>
    <w:rsid w:val="007B09AF"/>
    <w:rsid w:val="007B0C05"/>
    <w:rsid w:val="007B1700"/>
    <w:rsid w:val="007B1787"/>
    <w:rsid w:val="007B17CA"/>
    <w:rsid w:val="007B1D7A"/>
    <w:rsid w:val="007B1DF9"/>
    <w:rsid w:val="007B21C2"/>
    <w:rsid w:val="007B2CA0"/>
    <w:rsid w:val="007B384C"/>
    <w:rsid w:val="007B3D38"/>
    <w:rsid w:val="007B3DB3"/>
    <w:rsid w:val="007B406D"/>
    <w:rsid w:val="007B4469"/>
    <w:rsid w:val="007B480F"/>
    <w:rsid w:val="007B4FFF"/>
    <w:rsid w:val="007B5038"/>
    <w:rsid w:val="007B5154"/>
    <w:rsid w:val="007B5CFE"/>
    <w:rsid w:val="007B6171"/>
    <w:rsid w:val="007B648B"/>
    <w:rsid w:val="007B6679"/>
    <w:rsid w:val="007B66F2"/>
    <w:rsid w:val="007B6763"/>
    <w:rsid w:val="007B6E55"/>
    <w:rsid w:val="007B7211"/>
    <w:rsid w:val="007B7411"/>
    <w:rsid w:val="007B7BEC"/>
    <w:rsid w:val="007C015D"/>
    <w:rsid w:val="007C03CC"/>
    <w:rsid w:val="007C056B"/>
    <w:rsid w:val="007C096C"/>
    <w:rsid w:val="007C0E5B"/>
    <w:rsid w:val="007C0EA5"/>
    <w:rsid w:val="007C0F5C"/>
    <w:rsid w:val="007C0FD3"/>
    <w:rsid w:val="007C102F"/>
    <w:rsid w:val="007C123F"/>
    <w:rsid w:val="007C16D1"/>
    <w:rsid w:val="007C16D4"/>
    <w:rsid w:val="007C176A"/>
    <w:rsid w:val="007C18E7"/>
    <w:rsid w:val="007C19C0"/>
    <w:rsid w:val="007C1BD4"/>
    <w:rsid w:val="007C1D6A"/>
    <w:rsid w:val="007C1D82"/>
    <w:rsid w:val="007C1E0C"/>
    <w:rsid w:val="007C2238"/>
    <w:rsid w:val="007C23BC"/>
    <w:rsid w:val="007C2499"/>
    <w:rsid w:val="007C3770"/>
    <w:rsid w:val="007C3938"/>
    <w:rsid w:val="007C3EBE"/>
    <w:rsid w:val="007C4A6C"/>
    <w:rsid w:val="007C4B78"/>
    <w:rsid w:val="007C4ED9"/>
    <w:rsid w:val="007C520B"/>
    <w:rsid w:val="007C52D1"/>
    <w:rsid w:val="007C5666"/>
    <w:rsid w:val="007C59ED"/>
    <w:rsid w:val="007C60EC"/>
    <w:rsid w:val="007C713E"/>
    <w:rsid w:val="007C7832"/>
    <w:rsid w:val="007C78FD"/>
    <w:rsid w:val="007C7A07"/>
    <w:rsid w:val="007D024F"/>
    <w:rsid w:val="007D02A7"/>
    <w:rsid w:val="007D11B9"/>
    <w:rsid w:val="007D198F"/>
    <w:rsid w:val="007D21A7"/>
    <w:rsid w:val="007D27D7"/>
    <w:rsid w:val="007D28EC"/>
    <w:rsid w:val="007D2AE9"/>
    <w:rsid w:val="007D2C6E"/>
    <w:rsid w:val="007D2D78"/>
    <w:rsid w:val="007D33AB"/>
    <w:rsid w:val="007D34DD"/>
    <w:rsid w:val="007D3CBE"/>
    <w:rsid w:val="007D3E2F"/>
    <w:rsid w:val="007D3E77"/>
    <w:rsid w:val="007D3FA0"/>
    <w:rsid w:val="007D40B2"/>
    <w:rsid w:val="007D41C9"/>
    <w:rsid w:val="007D42E8"/>
    <w:rsid w:val="007D448C"/>
    <w:rsid w:val="007D4642"/>
    <w:rsid w:val="007D4765"/>
    <w:rsid w:val="007D4869"/>
    <w:rsid w:val="007D498F"/>
    <w:rsid w:val="007D4BEA"/>
    <w:rsid w:val="007D4F7B"/>
    <w:rsid w:val="007D5B7E"/>
    <w:rsid w:val="007D5DB5"/>
    <w:rsid w:val="007D622C"/>
    <w:rsid w:val="007D652C"/>
    <w:rsid w:val="007D6AAA"/>
    <w:rsid w:val="007D6C61"/>
    <w:rsid w:val="007D6D6E"/>
    <w:rsid w:val="007D6F87"/>
    <w:rsid w:val="007D78F4"/>
    <w:rsid w:val="007D7914"/>
    <w:rsid w:val="007D79FD"/>
    <w:rsid w:val="007E04D5"/>
    <w:rsid w:val="007E0C9D"/>
    <w:rsid w:val="007E0D96"/>
    <w:rsid w:val="007E0ED5"/>
    <w:rsid w:val="007E0F95"/>
    <w:rsid w:val="007E10C8"/>
    <w:rsid w:val="007E13D0"/>
    <w:rsid w:val="007E1462"/>
    <w:rsid w:val="007E15AF"/>
    <w:rsid w:val="007E16DE"/>
    <w:rsid w:val="007E16F8"/>
    <w:rsid w:val="007E16FC"/>
    <w:rsid w:val="007E17A2"/>
    <w:rsid w:val="007E17CC"/>
    <w:rsid w:val="007E1ABF"/>
    <w:rsid w:val="007E1CFF"/>
    <w:rsid w:val="007E2007"/>
    <w:rsid w:val="007E2383"/>
    <w:rsid w:val="007E2494"/>
    <w:rsid w:val="007E26BD"/>
    <w:rsid w:val="007E2D94"/>
    <w:rsid w:val="007E36B5"/>
    <w:rsid w:val="007E3C0B"/>
    <w:rsid w:val="007E3ED3"/>
    <w:rsid w:val="007E4723"/>
    <w:rsid w:val="007E5134"/>
    <w:rsid w:val="007E517D"/>
    <w:rsid w:val="007E51E4"/>
    <w:rsid w:val="007E56A0"/>
    <w:rsid w:val="007E58F2"/>
    <w:rsid w:val="007E5A44"/>
    <w:rsid w:val="007E5B41"/>
    <w:rsid w:val="007E5DB8"/>
    <w:rsid w:val="007E5E5B"/>
    <w:rsid w:val="007E6317"/>
    <w:rsid w:val="007E65CF"/>
    <w:rsid w:val="007E6D05"/>
    <w:rsid w:val="007E7CF4"/>
    <w:rsid w:val="007F05C2"/>
    <w:rsid w:val="007F0609"/>
    <w:rsid w:val="007F09F9"/>
    <w:rsid w:val="007F0C15"/>
    <w:rsid w:val="007F0DEF"/>
    <w:rsid w:val="007F13BF"/>
    <w:rsid w:val="007F14B9"/>
    <w:rsid w:val="007F159F"/>
    <w:rsid w:val="007F16DC"/>
    <w:rsid w:val="007F17D1"/>
    <w:rsid w:val="007F18E7"/>
    <w:rsid w:val="007F199B"/>
    <w:rsid w:val="007F1A42"/>
    <w:rsid w:val="007F1D8F"/>
    <w:rsid w:val="007F1F54"/>
    <w:rsid w:val="007F2123"/>
    <w:rsid w:val="007F21D9"/>
    <w:rsid w:val="007F301F"/>
    <w:rsid w:val="007F31FE"/>
    <w:rsid w:val="007F3D44"/>
    <w:rsid w:val="007F3E88"/>
    <w:rsid w:val="007F4206"/>
    <w:rsid w:val="007F4225"/>
    <w:rsid w:val="007F4895"/>
    <w:rsid w:val="007F497E"/>
    <w:rsid w:val="007F4D96"/>
    <w:rsid w:val="007F5255"/>
    <w:rsid w:val="007F54E1"/>
    <w:rsid w:val="007F5601"/>
    <w:rsid w:val="007F5AD7"/>
    <w:rsid w:val="007F5EA8"/>
    <w:rsid w:val="007F5FDD"/>
    <w:rsid w:val="007F608C"/>
    <w:rsid w:val="007F663E"/>
    <w:rsid w:val="007F6A7E"/>
    <w:rsid w:val="007F6C06"/>
    <w:rsid w:val="007F6D8A"/>
    <w:rsid w:val="007F6E94"/>
    <w:rsid w:val="007F6F12"/>
    <w:rsid w:val="007F6FCA"/>
    <w:rsid w:val="007F718E"/>
    <w:rsid w:val="007F7192"/>
    <w:rsid w:val="007F7660"/>
    <w:rsid w:val="007F78F9"/>
    <w:rsid w:val="007F7E7C"/>
    <w:rsid w:val="00800128"/>
    <w:rsid w:val="0080012F"/>
    <w:rsid w:val="008001E8"/>
    <w:rsid w:val="00800816"/>
    <w:rsid w:val="00800C81"/>
    <w:rsid w:val="00800C82"/>
    <w:rsid w:val="00800D20"/>
    <w:rsid w:val="0080137A"/>
    <w:rsid w:val="00801489"/>
    <w:rsid w:val="0080175F"/>
    <w:rsid w:val="00801AB4"/>
    <w:rsid w:val="00801B81"/>
    <w:rsid w:val="0080273B"/>
    <w:rsid w:val="0080277F"/>
    <w:rsid w:val="0080286D"/>
    <w:rsid w:val="00802B61"/>
    <w:rsid w:val="00802E21"/>
    <w:rsid w:val="0080335F"/>
    <w:rsid w:val="008034FB"/>
    <w:rsid w:val="00803BAD"/>
    <w:rsid w:val="00803E9F"/>
    <w:rsid w:val="00804777"/>
    <w:rsid w:val="00805222"/>
    <w:rsid w:val="00805298"/>
    <w:rsid w:val="008054F6"/>
    <w:rsid w:val="008056F9"/>
    <w:rsid w:val="00805A0E"/>
    <w:rsid w:val="00805C91"/>
    <w:rsid w:val="00805E58"/>
    <w:rsid w:val="008061DD"/>
    <w:rsid w:val="0080620A"/>
    <w:rsid w:val="00806394"/>
    <w:rsid w:val="00806AEB"/>
    <w:rsid w:val="00806DDA"/>
    <w:rsid w:val="008073A3"/>
    <w:rsid w:val="00807C0A"/>
    <w:rsid w:val="00807DE2"/>
    <w:rsid w:val="008102C4"/>
    <w:rsid w:val="00810894"/>
    <w:rsid w:val="00810C5D"/>
    <w:rsid w:val="00810CAC"/>
    <w:rsid w:val="00811184"/>
    <w:rsid w:val="0081140E"/>
    <w:rsid w:val="0081165E"/>
    <w:rsid w:val="00811E13"/>
    <w:rsid w:val="00811FC3"/>
    <w:rsid w:val="00812374"/>
    <w:rsid w:val="00812C22"/>
    <w:rsid w:val="008131BC"/>
    <w:rsid w:val="0081344F"/>
    <w:rsid w:val="00813A05"/>
    <w:rsid w:val="00813B0E"/>
    <w:rsid w:val="00813DE3"/>
    <w:rsid w:val="00813E12"/>
    <w:rsid w:val="0081435B"/>
    <w:rsid w:val="0081454F"/>
    <w:rsid w:val="00814956"/>
    <w:rsid w:val="008158A1"/>
    <w:rsid w:val="00815978"/>
    <w:rsid w:val="00815979"/>
    <w:rsid w:val="00815C58"/>
    <w:rsid w:val="00815D76"/>
    <w:rsid w:val="00815DBD"/>
    <w:rsid w:val="00816193"/>
    <w:rsid w:val="008165EA"/>
    <w:rsid w:val="00816621"/>
    <w:rsid w:val="0081681A"/>
    <w:rsid w:val="00816C12"/>
    <w:rsid w:val="00816D67"/>
    <w:rsid w:val="0081767E"/>
    <w:rsid w:val="00817CC4"/>
    <w:rsid w:val="00820088"/>
    <w:rsid w:val="00820346"/>
    <w:rsid w:val="008205A1"/>
    <w:rsid w:val="0082090D"/>
    <w:rsid w:val="00820929"/>
    <w:rsid w:val="00820A50"/>
    <w:rsid w:val="00820DA2"/>
    <w:rsid w:val="0082105A"/>
    <w:rsid w:val="0082106E"/>
    <w:rsid w:val="008211EC"/>
    <w:rsid w:val="008217FC"/>
    <w:rsid w:val="00821847"/>
    <w:rsid w:val="00821E11"/>
    <w:rsid w:val="008221A6"/>
    <w:rsid w:val="008224E3"/>
    <w:rsid w:val="008225CC"/>
    <w:rsid w:val="00822BB6"/>
    <w:rsid w:val="00822D81"/>
    <w:rsid w:val="008238A7"/>
    <w:rsid w:val="00823AEA"/>
    <w:rsid w:val="00823EBA"/>
    <w:rsid w:val="00824FBC"/>
    <w:rsid w:val="008255E4"/>
    <w:rsid w:val="00825ABE"/>
    <w:rsid w:val="00825F80"/>
    <w:rsid w:val="00826D59"/>
    <w:rsid w:val="00826E74"/>
    <w:rsid w:val="008273F7"/>
    <w:rsid w:val="00827406"/>
    <w:rsid w:val="008278E8"/>
    <w:rsid w:val="008279AE"/>
    <w:rsid w:val="00827A15"/>
    <w:rsid w:val="00827B9E"/>
    <w:rsid w:val="00827CB3"/>
    <w:rsid w:val="00827FED"/>
    <w:rsid w:val="008306D5"/>
    <w:rsid w:val="008307C1"/>
    <w:rsid w:val="0083082B"/>
    <w:rsid w:val="00830836"/>
    <w:rsid w:val="0083153A"/>
    <w:rsid w:val="0083171A"/>
    <w:rsid w:val="00832061"/>
    <w:rsid w:val="00832866"/>
    <w:rsid w:val="00832B55"/>
    <w:rsid w:val="00832CB4"/>
    <w:rsid w:val="008333A6"/>
    <w:rsid w:val="00833452"/>
    <w:rsid w:val="00833749"/>
    <w:rsid w:val="00833A84"/>
    <w:rsid w:val="00833D0C"/>
    <w:rsid w:val="00833E2B"/>
    <w:rsid w:val="00833F1A"/>
    <w:rsid w:val="00833FC4"/>
    <w:rsid w:val="008341B2"/>
    <w:rsid w:val="00834422"/>
    <w:rsid w:val="00834A61"/>
    <w:rsid w:val="00835256"/>
    <w:rsid w:val="0083559D"/>
    <w:rsid w:val="00835730"/>
    <w:rsid w:val="00835A2F"/>
    <w:rsid w:val="00835B67"/>
    <w:rsid w:val="00835C19"/>
    <w:rsid w:val="00835D5C"/>
    <w:rsid w:val="00835F32"/>
    <w:rsid w:val="00835F86"/>
    <w:rsid w:val="00836971"/>
    <w:rsid w:val="00836BE4"/>
    <w:rsid w:val="00836F01"/>
    <w:rsid w:val="00837133"/>
    <w:rsid w:val="008371C6"/>
    <w:rsid w:val="00837580"/>
    <w:rsid w:val="00837970"/>
    <w:rsid w:val="00837B2A"/>
    <w:rsid w:val="00837D00"/>
    <w:rsid w:val="00837F14"/>
    <w:rsid w:val="00840155"/>
    <w:rsid w:val="008401EC"/>
    <w:rsid w:val="0084021E"/>
    <w:rsid w:val="0084059E"/>
    <w:rsid w:val="008405DE"/>
    <w:rsid w:val="008407AE"/>
    <w:rsid w:val="00840B29"/>
    <w:rsid w:val="008410EE"/>
    <w:rsid w:val="00842028"/>
    <w:rsid w:val="0084209D"/>
    <w:rsid w:val="0084260B"/>
    <w:rsid w:val="00842613"/>
    <w:rsid w:val="00842A1B"/>
    <w:rsid w:val="00842BFC"/>
    <w:rsid w:val="00842E1C"/>
    <w:rsid w:val="00843012"/>
    <w:rsid w:val="00843684"/>
    <w:rsid w:val="0084389F"/>
    <w:rsid w:val="008438B3"/>
    <w:rsid w:val="008438FC"/>
    <w:rsid w:val="00843D2D"/>
    <w:rsid w:val="00844A43"/>
    <w:rsid w:val="00844DBF"/>
    <w:rsid w:val="008450C2"/>
    <w:rsid w:val="0084513C"/>
    <w:rsid w:val="00845966"/>
    <w:rsid w:val="008459DB"/>
    <w:rsid w:val="00845A48"/>
    <w:rsid w:val="00845C02"/>
    <w:rsid w:val="008468EA"/>
    <w:rsid w:val="008471C3"/>
    <w:rsid w:val="00847312"/>
    <w:rsid w:val="008474F6"/>
    <w:rsid w:val="00847C93"/>
    <w:rsid w:val="008503B7"/>
    <w:rsid w:val="008504B2"/>
    <w:rsid w:val="008507DD"/>
    <w:rsid w:val="00850A53"/>
    <w:rsid w:val="00850EBA"/>
    <w:rsid w:val="0085114D"/>
    <w:rsid w:val="00851D52"/>
    <w:rsid w:val="00851EB1"/>
    <w:rsid w:val="008520CC"/>
    <w:rsid w:val="00852639"/>
    <w:rsid w:val="00852ACA"/>
    <w:rsid w:val="00852C61"/>
    <w:rsid w:val="00852CBC"/>
    <w:rsid w:val="00852D11"/>
    <w:rsid w:val="00852D19"/>
    <w:rsid w:val="00853B47"/>
    <w:rsid w:val="00853DD7"/>
    <w:rsid w:val="00853E36"/>
    <w:rsid w:val="0085425C"/>
    <w:rsid w:val="00854445"/>
    <w:rsid w:val="008544EC"/>
    <w:rsid w:val="008544F2"/>
    <w:rsid w:val="00854A41"/>
    <w:rsid w:val="00854DDD"/>
    <w:rsid w:val="00855132"/>
    <w:rsid w:val="0085561D"/>
    <w:rsid w:val="00855C98"/>
    <w:rsid w:val="00856223"/>
    <w:rsid w:val="008566B6"/>
    <w:rsid w:val="008567C4"/>
    <w:rsid w:val="00856E65"/>
    <w:rsid w:val="00856EFF"/>
    <w:rsid w:val="008572DB"/>
    <w:rsid w:val="00857370"/>
    <w:rsid w:val="0085751D"/>
    <w:rsid w:val="00857AEC"/>
    <w:rsid w:val="00860E8B"/>
    <w:rsid w:val="00860F74"/>
    <w:rsid w:val="00861277"/>
    <w:rsid w:val="00861E37"/>
    <w:rsid w:val="00861E63"/>
    <w:rsid w:val="00861F0D"/>
    <w:rsid w:val="00862681"/>
    <w:rsid w:val="0086288B"/>
    <w:rsid w:val="00862A29"/>
    <w:rsid w:val="00862A75"/>
    <w:rsid w:val="00862F55"/>
    <w:rsid w:val="00863BFE"/>
    <w:rsid w:val="008643C8"/>
    <w:rsid w:val="00864756"/>
    <w:rsid w:val="008648EA"/>
    <w:rsid w:val="00864F99"/>
    <w:rsid w:val="00865037"/>
    <w:rsid w:val="00865E80"/>
    <w:rsid w:val="00866097"/>
    <w:rsid w:val="00866588"/>
    <w:rsid w:val="00866C88"/>
    <w:rsid w:val="00866D25"/>
    <w:rsid w:val="00866F10"/>
    <w:rsid w:val="00866F4B"/>
    <w:rsid w:val="008670C3"/>
    <w:rsid w:val="008673D9"/>
    <w:rsid w:val="0086765D"/>
    <w:rsid w:val="00867859"/>
    <w:rsid w:val="008678CE"/>
    <w:rsid w:val="00867E66"/>
    <w:rsid w:val="00867EBD"/>
    <w:rsid w:val="00867FE2"/>
    <w:rsid w:val="00870890"/>
    <w:rsid w:val="0087099A"/>
    <w:rsid w:val="00870A43"/>
    <w:rsid w:val="00870D3E"/>
    <w:rsid w:val="008711FE"/>
    <w:rsid w:val="008712D4"/>
    <w:rsid w:val="00871E25"/>
    <w:rsid w:val="00871ED7"/>
    <w:rsid w:val="00872BF2"/>
    <w:rsid w:val="0087363E"/>
    <w:rsid w:val="008737D4"/>
    <w:rsid w:val="00873CB1"/>
    <w:rsid w:val="00873F4C"/>
    <w:rsid w:val="008740E8"/>
    <w:rsid w:val="008743B4"/>
    <w:rsid w:val="008743CF"/>
    <w:rsid w:val="00874798"/>
    <w:rsid w:val="00874C9D"/>
    <w:rsid w:val="00874F7A"/>
    <w:rsid w:val="008750B7"/>
    <w:rsid w:val="008752E5"/>
    <w:rsid w:val="00875382"/>
    <w:rsid w:val="008756BC"/>
    <w:rsid w:val="00875958"/>
    <w:rsid w:val="0087597C"/>
    <w:rsid w:val="008759B7"/>
    <w:rsid w:val="00875B78"/>
    <w:rsid w:val="0087604D"/>
    <w:rsid w:val="0087684F"/>
    <w:rsid w:val="00876B5D"/>
    <w:rsid w:val="00876D64"/>
    <w:rsid w:val="00876EF5"/>
    <w:rsid w:val="0087702A"/>
    <w:rsid w:val="00877174"/>
    <w:rsid w:val="008772B6"/>
    <w:rsid w:val="00877368"/>
    <w:rsid w:val="00877781"/>
    <w:rsid w:val="00880748"/>
    <w:rsid w:val="00880B97"/>
    <w:rsid w:val="00880CA2"/>
    <w:rsid w:val="008813B3"/>
    <w:rsid w:val="0088144C"/>
    <w:rsid w:val="0088177B"/>
    <w:rsid w:val="00882042"/>
    <w:rsid w:val="008822C9"/>
    <w:rsid w:val="00882725"/>
    <w:rsid w:val="008827A0"/>
    <w:rsid w:val="00882A02"/>
    <w:rsid w:val="00882BF2"/>
    <w:rsid w:val="00883046"/>
    <w:rsid w:val="00883A32"/>
    <w:rsid w:val="00883DDC"/>
    <w:rsid w:val="00883E1E"/>
    <w:rsid w:val="00884219"/>
    <w:rsid w:val="00884381"/>
    <w:rsid w:val="00885011"/>
    <w:rsid w:val="008852F7"/>
    <w:rsid w:val="008858FB"/>
    <w:rsid w:val="00885AAE"/>
    <w:rsid w:val="00885AEE"/>
    <w:rsid w:val="00885BC5"/>
    <w:rsid w:val="00885C01"/>
    <w:rsid w:val="0088633F"/>
    <w:rsid w:val="0088638C"/>
    <w:rsid w:val="008865BC"/>
    <w:rsid w:val="008865DD"/>
    <w:rsid w:val="00886604"/>
    <w:rsid w:val="00886690"/>
    <w:rsid w:val="00886DE7"/>
    <w:rsid w:val="0088734E"/>
    <w:rsid w:val="0088789C"/>
    <w:rsid w:val="00887CB7"/>
    <w:rsid w:val="0089094E"/>
    <w:rsid w:val="00890D57"/>
    <w:rsid w:val="00890EF7"/>
    <w:rsid w:val="00890F22"/>
    <w:rsid w:val="00890FB3"/>
    <w:rsid w:val="008911E0"/>
    <w:rsid w:val="0089122E"/>
    <w:rsid w:val="0089165B"/>
    <w:rsid w:val="00891716"/>
    <w:rsid w:val="00891CCF"/>
    <w:rsid w:val="00891FBC"/>
    <w:rsid w:val="008921A2"/>
    <w:rsid w:val="008922DA"/>
    <w:rsid w:val="00892595"/>
    <w:rsid w:val="00892B4F"/>
    <w:rsid w:val="00892F6E"/>
    <w:rsid w:val="0089306C"/>
    <w:rsid w:val="00893351"/>
    <w:rsid w:val="008937B7"/>
    <w:rsid w:val="00893AB4"/>
    <w:rsid w:val="00893C83"/>
    <w:rsid w:val="00893EC0"/>
    <w:rsid w:val="00894461"/>
    <w:rsid w:val="0089452D"/>
    <w:rsid w:val="008946EC"/>
    <w:rsid w:val="00894929"/>
    <w:rsid w:val="00894AFC"/>
    <w:rsid w:val="00894B35"/>
    <w:rsid w:val="00894C9D"/>
    <w:rsid w:val="008954D0"/>
    <w:rsid w:val="00895589"/>
    <w:rsid w:val="00895651"/>
    <w:rsid w:val="00895821"/>
    <w:rsid w:val="0089636B"/>
    <w:rsid w:val="00896594"/>
    <w:rsid w:val="00896923"/>
    <w:rsid w:val="00896A6B"/>
    <w:rsid w:val="00896BF1"/>
    <w:rsid w:val="00897067"/>
    <w:rsid w:val="0089781C"/>
    <w:rsid w:val="00897A98"/>
    <w:rsid w:val="00897D34"/>
    <w:rsid w:val="00897DFC"/>
    <w:rsid w:val="008A0194"/>
    <w:rsid w:val="008A0266"/>
    <w:rsid w:val="008A0283"/>
    <w:rsid w:val="008A02F6"/>
    <w:rsid w:val="008A0695"/>
    <w:rsid w:val="008A0D8B"/>
    <w:rsid w:val="008A0E98"/>
    <w:rsid w:val="008A0F24"/>
    <w:rsid w:val="008A1902"/>
    <w:rsid w:val="008A1996"/>
    <w:rsid w:val="008A1A7A"/>
    <w:rsid w:val="008A22B6"/>
    <w:rsid w:val="008A23C8"/>
    <w:rsid w:val="008A2933"/>
    <w:rsid w:val="008A30EC"/>
    <w:rsid w:val="008A313E"/>
    <w:rsid w:val="008A3CB6"/>
    <w:rsid w:val="008A3DC1"/>
    <w:rsid w:val="008A3E7B"/>
    <w:rsid w:val="008A3EBF"/>
    <w:rsid w:val="008A4314"/>
    <w:rsid w:val="008A4692"/>
    <w:rsid w:val="008A4828"/>
    <w:rsid w:val="008A4F24"/>
    <w:rsid w:val="008A50E7"/>
    <w:rsid w:val="008A52BC"/>
    <w:rsid w:val="008A570E"/>
    <w:rsid w:val="008A5966"/>
    <w:rsid w:val="008A5BB1"/>
    <w:rsid w:val="008A5D60"/>
    <w:rsid w:val="008A62E2"/>
    <w:rsid w:val="008A63D5"/>
    <w:rsid w:val="008A648A"/>
    <w:rsid w:val="008A65D2"/>
    <w:rsid w:val="008A662E"/>
    <w:rsid w:val="008A69F8"/>
    <w:rsid w:val="008A6A20"/>
    <w:rsid w:val="008A6DA6"/>
    <w:rsid w:val="008A71C9"/>
    <w:rsid w:val="008A73E1"/>
    <w:rsid w:val="008A780B"/>
    <w:rsid w:val="008A7B49"/>
    <w:rsid w:val="008A7E94"/>
    <w:rsid w:val="008A7ED2"/>
    <w:rsid w:val="008B02CF"/>
    <w:rsid w:val="008B03A1"/>
    <w:rsid w:val="008B0448"/>
    <w:rsid w:val="008B0928"/>
    <w:rsid w:val="008B098A"/>
    <w:rsid w:val="008B0FFF"/>
    <w:rsid w:val="008B11C2"/>
    <w:rsid w:val="008B138A"/>
    <w:rsid w:val="008B141C"/>
    <w:rsid w:val="008B196D"/>
    <w:rsid w:val="008B1C35"/>
    <w:rsid w:val="008B1CC9"/>
    <w:rsid w:val="008B1E74"/>
    <w:rsid w:val="008B1F1D"/>
    <w:rsid w:val="008B20FA"/>
    <w:rsid w:val="008B21A6"/>
    <w:rsid w:val="008B2516"/>
    <w:rsid w:val="008B2644"/>
    <w:rsid w:val="008B2C9A"/>
    <w:rsid w:val="008B2D46"/>
    <w:rsid w:val="008B2F4A"/>
    <w:rsid w:val="008B328D"/>
    <w:rsid w:val="008B3481"/>
    <w:rsid w:val="008B3B66"/>
    <w:rsid w:val="008B3C95"/>
    <w:rsid w:val="008B3CF4"/>
    <w:rsid w:val="008B44FD"/>
    <w:rsid w:val="008B4CB5"/>
    <w:rsid w:val="008B4D16"/>
    <w:rsid w:val="008B4F3E"/>
    <w:rsid w:val="008B5444"/>
    <w:rsid w:val="008B554F"/>
    <w:rsid w:val="008B587B"/>
    <w:rsid w:val="008B5967"/>
    <w:rsid w:val="008B5AFF"/>
    <w:rsid w:val="008B5B5E"/>
    <w:rsid w:val="008B5B8C"/>
    <w:rsid w:val="008B5B8F"/>
    <w:rsid w:val="008B5C58"/>
    <w:rsid w:val="008B648C"/>
    <w:rsid w:val="008B6709"/>
    <w:rsid w:val="008B6783"/>
    <w:rsid w:val="008B67C2"/>
    <w:rsid w:val="008B6C85"/>
    <w:rsid w:val="008B6D78"/>
    <w:rsid w:val="008B6F7A"/>
    <w:rsid w:val="008B702F"/>
    <w:rsid w:val="008B7062"/>
    <w:rsid w:val="008B7277"/>
    <w:rsid w:val="008B72BE"/>
    <w:rsid w:val="008B7533"/>
    <w:rsid w:val="008B7D0C"/>
    <w:rsid w:val="008B7EA9"/>
    <w:rsid w:val="008C01D7"/>
    <w:rsid w:val="008C0446"/>
    <w:rsid w:val="008C068D"/>
    <w:rsid w:val="008C086F"/>
    <w:rsid w:val="008C1448"/>
    <w:rsid w:val="008C1616"/>
    <w:rsid w:val="008C1A0B"/>
    <w:rsid w:val="008C1E41"/>
    <w:rsid w:val="008C22D5"/>
    <w:rsid w:val="008C23A3"/>
    <w:rsid w:val="008C2543"/>
    <w:rsid w:val="008C2607"/>
    <w:rsid w:val="008C29D1"/>
    <w:rsid w:val="008C2C43"/>
    <w:rsid w:val="008C2D8F"/>
    <w:rsid w:val="008C3236"/>
    <w:rsid w:val="008C3485"/>
    <w:rsid w:val="008C3555"/>
    <w:rsid w:val="008C38BB"/>
    <w:rsid w:val="008C3C58"/>
    <w:rsid w:val="008C4191"/>
    <w:rsid w:val="008C4657"/>
    <w:rsid w:val="008C46E3"/>
    <w:rsid w:val="008C472B"/>
    <w:rsid w:val="008C4A28"/>
    <w:rsid w:val="008C4D00"/>
    <w:rsid w:val="008C5404"/>
    <w:rsid w:val="008C5823"/>
    <w:rsid w:val="008C5A9B"/>
    <w:rsid w:val="008C6845"/>
    <w:rsid w:val="008C6DF6"/>
    <w:rsid w:val="008C6F7A"/>
    <w:rsid w:val="008C7148"/>
    <w:rsid w:val="008C7192"/>
    <w:rsid w:val="008C7455"/>
    <w:rsid w:val="008C7546"/>
    <w:rsid w:val="008C7869"/>
    <w:rsid w:val="008C7A72"/>
    <w:rsid w:val="008C7A7A"/>
    <w:rsid w:val="008D0028"/>
    <w:rsid w:val="008D0195"/>
    <w:rsid w:val="008D0515"/>
    <w:rsid w:val="008D09E8"/>
    <w:rsid w:val="008D0FBE"/>
    <w:rsid w:val="008D12B6"/>
    <w:rsid w:val="008D1348"/>
    <w:rsid w:val="008D13D0"/>
    <w:rsid w:val="008D141F"/>
    <w:rsid w:val="008D1441"/>
    <w:rsid w:val="008D17BE"/>
    <w:rsid w:val="008D182E"/>
    <w:rsid w:val="008D1FF2"/>
    <w:rsid w:val="008D20E7"/>
    <w:rsid w:val="008D2160"/>
    <w:rsid w:val="008D23DB"/>
    <w:rsid w:val="008D2430"/>
    <w:rsid w:val="008D2456"/>
    <w:rsid w:val="008D2B63"/>
    <w:rsid w:val="008D2E8C"/>
    <w:rsid w:val="008D2ED2"/>
    <w:rsid w:val="008D2FB8"/>
    <w:rsid w:val="008D3C6B"/>
    <w:rsid w:val="008D402F"/>
    <w:rsid w:val="008D41D7"/>
    <w:rsid w:val="008D42A4"/>
    <w:rsid w:val="008D44F6"/>
    <w:rsid w:val="008D4AFE"/>
    <w:rsid w:val="008D4B88"/>
    <w:rsid w:val="008D4CFA"/>
    <w:rsid w:val="008D4FD8"/>
    <w:rsid w:val="008D52FB"/>
    <w:rsid w:val="008D537D"/>
    <w:rsid w:val="008D547B"/>
    <w:rsid w:val="008D5617"/>
    <w:rsid w:val="008D5681"/>
    <w:rsid w:val="008D56D3"/>
    <w:rsid w:val="008D66D2"/>
    <w:rsid w:val="008D6804"/>
    <w:rsid w:val="008D6935"/>
    <w:rsid w:val="008D6A96"/>
    <w:rsid w:val="008D6D2B"/>
    <w:rsid w:val="008D77C7"/>
    <w:rsid w:val="008D798A"/>
    <w:rsid w:val="008D7A2B"/>
    <w:rsid w:val="008D7A6B"/>
    <w:rsid w:val="008D7D35"/>
    <w:rsid w:val="008E0503"/>
    <w:rsid w:val="008E08DA"/>
    <w:rsid w:val="008E0A2D"/>
    <w:rsid w:val="008E0A6B"/>
    <w:rsid w:val="008E12AD"/>
    <w:rsid w:val="008E1785"/>
    <w:rsid w:val="008E1793"/>
    <w:rsid w:val="008E19A3"/>
    <w:rsid w:val="008E2110"/>
    <w:rsid w:val="008E2914"/>
    <w:rsid w:val="008E2AA3"/>
    <w:rsid w:val="008E2BFB"/>
    <w:rsid w:val="008E2D81"/>
    <w:rsid w:val="008E3105"/>
    <w:rsid w:val="008E320F"/>
    <w:rsid w:val="008E3211"/>
    <w:rsid w:val="008E325C"/>
    <w:rsid w:val="008E3569"/>
    <w:rsid w:val="008E3721"/>
    <w:rsid w:val="008E3F5C"/>
    <w:rsid w:val="008E450B"/>
    <w:rsid w:val="008E479B"/>
    <w:rsid w:val="008E47C5"/>
    <w:rsid w:val="008E4F4E"/>
    <w:rsid w:val="008E5161"/>
    <w:rsid w:val="008E5361"/>
    <w:rsid w:val="008E5504"/>
    <w:rsid w:val="008E55C3"/>
    <w:rsid w:val="008E5C9D"/>
    <w:rsid w:val="008E6283"/>
    <w:rsid w:val="008E660F"/>
    <w:rsid w:val="008E6694"/>
    <w:rsid w:val="008E6772"/>
    <w:rsid w:val="008E6D7F"/>
    <w:rsid w:val="008E73C2"/>
    <w:rsid w:val="008E7485"/>
    <w:rsid w:val="008E7A5E"/>
    <w:rsid w:val="008E7B85"/>
    <w:rsid w:val="008E7CF7"/>
    <w:rsid w:val="008F0311"/>
    <w:rsid w:val="008F0353"/>
    <w:rsid w:val="008F0514"/>
    <w:rsid w:val="008F051E"/>
    <w:rsid w:val="008F062A"/>
    <w:rsid w:val="008F0834"/>
    <w:rsid w:val="008F0D86"/>
    <w:rsid w:val="008F0ED5"/>
    <w:rsid w:val="008F0F6B"/>
    <w:rsid w:val="008F14DC"/>
    <w:rsid w:val="008F1506"/>
    <w:rsid w:val="008F1537"/>
    <w:rsid w:val="008F1E55"/>
    <w:rsid w:val="008F1E76"/>
    <w:rsid w:val="008F1FAA"/>
    <w:rsid w:val="008F2C06"/>
    <w:rsid w:val="008F2ED5"/>
    <w:rsid w:val="008F2FAC"/>
    <w:rsid w:val="008F2FF5"/>
    <w:rsid w:val="008F342A"/>
    <w:rsid w:val="008F35D7"/>
    <w:rsid w:val="008F3BBD"/>
    <w:rsid w:val="008F3ECD"/>
    <w:rsid w:val="008F45B4"/>
    <w:rsid w:val="008F4784"/>
    <w:rsid w:val="008F4ACE"/>
    <w:rsid w:val="008F5516"/>
    <w:rsid w:val="008F56A3"/>
    <w:rsid w:val="008F58B4"/>
    <w:rsid w:val="008F5A11"/>
    <w:rsid w:val="008F6045"/>
    <w:rsid w:val="008F6B91"/>
    <w:rsid w:val="008F7022"/>
    <w:rsid w:val="008F70E4"/>
    <w:rsid w:val="008F7136"/>
    <w:rsid w:val="008F79AF"/>
    <w:rsid w:val="008F7D66"/>
    <w:rsid w:val="008F7E30"/>
    <w:rsid w:val="009001FC"/>
    <w:rsid w:val="0090031C"/>
    <w:rsid w:val="009005B0"/>
    <w:rsid w:val="009006CC"/>
    <w:rsid w:val="009009AF"/>
    <w:rsid w:val="00900E38"/>
    <w:rsid w:val="00900FFF"/>
    <w:rsid w:val="00901051"/>
    <w:rsid w:val="009010B8"/>
    <w:rsid w:val="00901271"/>
    <w:rsid w:val="0090173E"/>
    <w:rsid w:val="00901CF9"/>
    <w:rsid w:val="00901E9C"/>
    <w:rsid w:val="00902732"/>
    <w:rsid w:val="00902733"/>
    <w:rsid w:val="00902944"/>
    <w:rsid w:val="0090297A"/>
    <w:rsid w:val="00902BB1"/>
    <w:rsid w:val="00902DDD"/>
    <w:rsid w:val="00902E26"/>
    <w:rsid w:val="00903030"/>
    <w:rsid w:val="0090356D"/>
    <w:rsid w:val="0090356E"/>
    <w:rsid w:val="00903761"/>
    <w:rsid w:val="009037A0"/>
    <w:rsid w:val="00903AA6"/>
    <w:rsid w:val="00904C38"/>
    <w:rsid w:val="00905074"/>
    <w:rsid w:val="00905078"/>
    <w:rsid w:val="009051AC"/>
    <w:rsid w:val="009052E2"/>
    <w:rsid w:val="0090595B"/>
    <w:rsid w:val="00905EAB"/>
    <w:rsid w:val="00906122"/>
    <w:rsid w:val="009061C4"/>
    <w:rsid w:val="0090671C"/>
    <w:rsid w:val="00906A13"/>
    <w:rsid w:val="00906A6B"/>
    <w:rsid w:val="00906D14"/>
    <w:rsid w:val="00906EB1"/>
    <w:rsid w:val="0090765A"/>
    <w:rsid w:val="00907CE5"/>
    <w:rsid w:val="00907FF1"/>
    <w:rsid w:val="00910298"/>
    <w:rsid w:val="00910448"/>
    <w:rsid w:val="00910819"/>
    <w:rsid w:val="0091086C"/>
    <w:rsid w:val="00910D5E"/>
    <w:rsid w:val="009110C9"/>
    <w:rsid w:val="0091110C"/>
    <w:rsid w:val="00912151"/>
    <w:rsid w:val="00912AF1"/>
    <w:rsid w:val="0091386F"/>
    <w:rsid w:val="00913D99"/>
    <w:rsid w:val="00913EF6"/>
    <w:rsid w:val="0091425E"/>
    <w:rsid w:val="00914E39"/>
    <w:rsid w:val="00914EEF"/>
    <w:rsid w:val="00914F04"/>
    <w:rsid w:val="009156F6"/>
    <w:rsid w:val="009159D6"/>
    <w:rsid w:val="00915B26"/>
    <w:rsid w:val="00915D68"/>
    <w:rsid w:val="00915EAD"/>
    <w:rsid w:val="0091605F"/>
    <w:rsid w:val="009164A4"/>
    <w:rsid w:val="009165A9"/>
    <w:rsid w:val="009166A2"/>
    <w:rsid w:val="00916A8D"/>
    <w:rsid w:val="00916D03"/>
    <w:rsid w:val="00916FF0"/>
    <w:rsid w:val="00917426"/>
    <w:rsid w:val="009179FE"/>
    <w:rsid w:val="009202EF"/>
    <w:rsid w:val="009206C5"/>
    <w:rsid w:val="0092092A"/>
    <w:rsid w:val="00920AF5"/>
    <w:rsid w:val="00920B09"/>
    <w:rsid w:val="0092117A"/>
    <w:rsid w:val="009215D4"/>
    <w:rsid w:val="009216E4"/>
    <w:rsid w:val="00921D4E"/>
    <w:rsid w:val="00921D95"/>
    <w:rsid w:val="00921E51"/>
    <w:rsid w:val="009220A4"/>
    <w:rsid w:val="00922517"/>
    <w:rsid w:val="00922736"/>
    <w:rsid w:val="00922A10"/>
    <w:rsid w:val="00922E41"/>
    <w:rsid w:val="00923158"/>
    <w:rsid w:val="009232C1"/>
    <w:rsid w:val="009235B7"/>
    <w:rsid w:val="009235CF"/>
    <w:rsid w:val="00923704"/>
    <w:rsid w:val="0092483D"/>
    <w:rsid w:val="009249A6"/>
    <w:rsid w:val="00924A32"/>
    <w:rsid w:val="00924AA5"/>
    <w:rsid w:val="00925975"/>
    <w:rsid w:val="009259BC"/>
    <w:rsid w:val="00925BA4"/>
    <w:rsid w:val="00925C2F"/>
    <w:rsid w:val="00925DB2"/>
    <w:rsid w:val="00926359"/>
    <w:rsid w:val="00926A2E"/>
    <w:rsid w:val="00926DF1"/>
    <w:rsid w:val="00926DF3"/>
    <w:rsid w:val="00926E17"/>
    <w:rsid w:val="00927362"/>
    <w:rsid w:val="00927909"/>
    <w:rsid w:val="00927C92"/>
    <w:rsid w:val="009309B4"/>
    <w:rsid w:val="00930B66"/>
    <w:rsid w:val="009312A5"/>
    <w:rsid w:val="00931A0B"/>
    <w:rsid w:val="00932270"/>
    <w:rsid w:val="00932517"/>
    <w:rsid w:val="00932740"/>
    <w:rsid w:val="00932884"/>
    <w:rsid w:val="00932939"/>
    <w:rsid w:val="0093293B"/>
    <w:rsid w:val="00932B94"/>
    <w:rsid w:val="00932CA0"/>
    <w:rsid w:val="0093329A"/>
    <w:rsid w:val="009334D4"/>
    <w:rsid w:val="00933B07"/>
    <w:rsid w:val="00933B64"/>
    <w:rsid w:val="00933F04"/>
    <w:rsid w:val="0093403C"/>
    <w:rsid w:val="0093406E"/>
    <w:rsid w:val="009342BF"/>
    <w:rsid w:val="009345A3"/>
    <w:rsid w:val="009345F2"/>
    <w:rsid w:val="00934C9D"/>
    <w:rsid w:val="00935500"/>
    <w:rsid w:val="00935613"/>
    <w:rsid w:val="009356C5"/>
    <w:rsid w:val="00936CF5"/>
    <w:rsid w:val="00937114"/>
    <w:rsid w:val="00937199"/>
    <w:rsid w:val="009373B7"/>
    <w:rsid w:val="0093741B"/>
    <w:rsid w:val="009375A7"/>
    <w:rsid w:val="0093789C"/>
    <w:rsid w:val="00937D20"/>
    <w:rsid w:val="00937D6D"/>
    <w:rsid w:val="0094039B"/>
    <w:rsid w:val="009404E9"/>
    <w:rsid w:val="00940894"/>
    <w:rsid w:val="0094094E"/>
    <w:rsid w:val="00941237"/>
    <w:rsid w:val="009415F8"/>
    <w:rsid w:val="00941B4B"/>
    <w:rsid w:val="00942070"/>
    <w:rsid w:val="00942301"/>
    <w:rsid w:val="009427E5"/>
    <w:rsid w:val="00942A87"/>
    <w:rsid w:val="00942AE7"/>
    <w:rsid w:val="00942B57"/>
    <w:rsid w:val="00942C21"/>
    <w:rsid w:val="00942E1F"/>
    <w:rsid w:val="00942E9A"/>
    <w:rsid w:val="00942F58"/>
    <w:rsid w:val="0094355B"/>
    <w:rsid w:val="00943919"/>
    <w:rsid w:val="00943DCF"/>
    <w:rsid w:val="00944106"/>
    <w:rsid w:val="009442B9"/>
    <w:rsid w:val="00944E4B"/>
    <w:rsid w:val="00944F36"/>
    <w:rsid w:val="009450D3"/>
    <w:rsid w:val="00945569"/>
    <w:rsid w:val="0094561F"/>
    <w:rsid w:val="009457D5"/>
    <w:rsid w:val="0094594C"/>
    <w:rsid w:val="00945980"/>
    <w:rsid w:val="009459CB"/>
    <w:rsid w:val="0094631C"/>
    <w:rsid w:val="009464FF"/>
    <w:rsid w:val="00946567"/>
    <w:rsid w:val="00946B4D"/>
    <w:rsid w:val="00946DAC"/>
    <w:rsid w:val="00947255"/>
    <w:rsid w:val="009473D9"/>
    <w:rsid w:val="00947AAD"/>
    <w:rsid w:val="00947B12"/>
    <w:rsid w:val="00947DD5"/>
    <w:rsid w:val="009502C4"/>
    <w:rsid w:val="0095036B"/>
    <w:rsid w:val="00950847"/>
    <w:rsid w:val="00951443"/>
    <w:rsid w:val="00951479"/>
    <w:rsid w:val="00951532"/>
    <w:rsid w:val="00951621"/>
    <w:rsid w:val="00951918"/>
    <w:rsid w:val="00951C78"/>
    <w:rsid w:val="00951DC8"/>
    <w:rsid w:val="009522FE"/>
    <w:rsid w:val="00952B17"/>
    <w:rsid w:val="00952DF8"/>
    <w:rsid w:val="009534F5"/>
    <w:rsid w:val="009537DA"/>
    <w:rsid w:val="00953B12"/>
    <w:rsid w:val="00954131"/>
    <w:rsid w:val="0095422B"/>
    <w:rsid w:val="00954B14"/>
    <w:rsid w:val="00954CFE"/>
    <w:rsid w:val="00955091"/>
    <w:rsid w:val="009552C4"/>
    <w:rsid w:val="0095546F"/>
    <w:rsid w:val="00955576"/>
    <w:rsid w:val="00955D42"/>
    <w:rsid w:val="0095689A"/>
    <w:rsid w:val="00956942"/>
    <w:rsid w:val="00956AFC"/>
    <w:rsid w:val="00957028"/>
    <w:rsid w:val="00957040"/>
    <w:rsid w:val="00957193"/>
    <w:rsid w:val="00957BA2"/>
    <w:rsid w:val="00957C06"/>
    <w:rsid w:val="00957FCB"/>
    <w:rsid w:val="0096018C"/>
    <w:rsid w:val="0096070F"/>
    <w:rsid w:val="00960D37"/>
    <w:rsid w:val="0096111B"/>
    <w:rsid w:val="0096126E"/>
    <w:rsid w:val="00962166"/>
    <w:rsid w:val="00962474"/>
    <w:rsid w:val="00962535"/>
    <w:rsid w:val="00962BAB"/>
    <w:rsid w:val="00962D8E"/>
    <w:rsid w:val="00962EE5"/>
    <w:rsid w:val="00963E75"/>
    <w:rsid w:val="00963FB5"/>
    <w:rsid w:val="009642E7"/>
    <w:rsid w:val="009643BF"/>
    <w:rsid w:val="0096473F"/>
    <w:rsid w:val="00964A97"/>
    <w:rsid w:val="00964B99"/>
    <w:rsid w:val="00965136"/>
    <w:rsid w:val="009654A4"/>
    <w:rsid w:val="00965ADB"/>
    <w:rsid w:val="00965AF5"/>
    <w:rsid w:val="00965D78"/>
    <w:rsid w:val="00965F98"/>
    <w:rsid w:val="00966536"/>
    <w:rsid w:val="0096667F"/>
    <w:rsid w:val="009668B4"/>
    <w:rsid w:val="00966B5D"/>
    <w:rsid w:val="00966F66"/>
    <w:rsid w:val="009671E4"/>
    <w:rsid w:val="00967214"/>
    <w:rsid w:val="00967286"/>
    <w:rsid w:val="009676A4"/>
    <w:rsid w:val="00967AEE"/>
    <w:rsid w:val="00967F0A"/>
    <w:rsid w:val="009703E9"/>
    <w:rsid w:val="00970641"/>
    <w:rsid w:val="00970F82"/>
    <w:rsid w:val="009710DD"/>
    <w:rsid w:val="00971577"/>
    <w:rsid w:val="00971A4F"/>
    <w:rsid w:val="00971C63"/>
    <w:rsid w:val="00971DAF"/>
    <w:rsid w:val="00971F7E"/>
    <w:rsid w:val="00972403"/>
    <w:rsid w:val="0097249D"/>
    <w:rsid w:val="0097255D"/>
    <w:rsid w:val="00972615"/>
    <w:rsid w:val="00972D03"/>
    <w:rsid w:val="009733F7"/>
    <w:rsid w:val="009734DE"/>
    <w:rsid w:val="00973A38"/>
    <w:rsid w:val="00973C41"/>
    <w:rsid w:val="00973D26"/>
    <w:rsid w:val="00973EA3"/>
    <w:rsid w:val="0097425A"/>
    <w:rsid w:val="0097432D"/>
    <w:rsid w:val="00974943"/>
    <w:rsid w:val="0097495E"/>
    <w:rsid w:val="00974D5C"/>
    <w:rsid w:val="00975387"/>
    <w:rsid w:val="0097577A"/>
    <w:rsid w:val="00976089"/>
    <w:rsid w:val="00976D8C"/>
    <w:rsid w:val="009770ED"/>
    <w:rsid w:val="009772B3"/>
    <w:rsid w:val="00977573"/>
    <w:rsid w:val="00977788"/>
    <w:rsid w:val="00977960"/>
    <w:rsid w:val="00977F68"/>
    <w:rsid w:val="009805A4"/>
    <w:rsid w:val="009806CD"/>
    <w:rsid w:val="009808CF"/>
    <w:rsid w:val="00980A4A"/>
    <w:rsid w:val="00981054"/>
    <w:rsid w:val="0098138A"/>
    <w:rsid w:val="00981593"/>
    <w:rsid w:val="00981635"/>
    <w:rsid w:val="009817B5"/>
    <w:rsid w:val="00981C1D"/>
    <w:rsid w:val="00981CA1"/>
    <w:rsid w:val="00981CB8"/>
    <w:rsid w:val="00981D38"/>
    <w:rsid w:val="009825C4"/>
    <w:rsid w:val="009827B9"/>
    <w:rsid w:val="00982CEC"/>
    <w:rsid w:val="00982DE5"/>
    <w:rsid w:val="00983017"/>
    <w:rsid w:val="00983624"/>
    <w:rsid w:val="009837F2"/>
    <w:rsid w:val="00983B54"/>
    <w:rsid w:val="00983C7D"/>
    <w:rsid w:val="0098429E"/>
    <w:rsid w:val="00984D7A"/>
    <w:rsid w:val="00984FD8"/>
    <w:rsid w:val="009856DB"/>
    <w:rsid w:val="00985864"/>
    <w:rsid w:val="0098591B"/>
    <w:rsid w:val="009859D0"/>
    <w:rsid w:val="00985B7E"/>
    <w:rsid w:val="00985BBE"/>
    <w:rsid w:val="00985CCA"/>
    <w:rsid w:val="00985E0E"/>
    <w:rsid w:val="00985ECA"/>
    <w:rsid w:val="0098650E"/>
    <w:rsid w:val="0098650F"/>
    <w:rsid w:val="00986793"/>
    <w:rsid w:val="00986AE9"/>
    <w:rsid w:val="00986B18"/>
    <w:rsid w:val="0098715E"/>
    <w:rsid w:val="009872C5"/>
    <w:rsid w:val="00987CA6"/>
    <w:rsid w:val="00987CAB"/>
    <w:rsid w:val="00987CBA"/>
    <w:rsid w:val="00987DB3"/>
    <w:rsid w:val="00990012"/>
    <w:rsid w:val="009905B2"/>
    <w:rsid w:val="00990628"/>
    <w:rsid w:val="00990788"/>
    <w:rsid w:val="00990826"/>
    <w:rsid w:val="009909DE"/>
    <w:rsid w:val="00990E04"/>
    <w:rsid w:val="009910A3"/>
    <w:rsid w:val="009910E2"/>
    <w:rsid w:val="009911D6"/>
    <w:rsid w:val="00991317"/>
    <w:rsid w:val="0099169B"/>
    <w:rsid w:val="00991719"/>
    <w:rsid w:val="009917CA"/>
    <w:rsid w:val="009918D3"/>
    <w:rsid w:val="00991D8F"/>
    <w:rsid w:val="00992678"/>
    <w:rsid w:val="00992BE4"/>
    <w:rsid w:val="00992EA0"/>
    <w:rsid w:val="0099356E"/>
    <w:rsid w:val="009938FB"/>
    <w:rsid w:val="00993F4B"/>
    <w:rsid w:val="00994884"/>
    <w:rsid w:val="009949EB"/>
    <w:rsid w:val="00994AC8"/>
    <w:rsid w:val="00994BAE"/>
    <w:rsid w:val="009959DC"/>
    <w:rsid w:val="00995F0C"/>
    <w:rsid w:val="00995F93"/>
    <w:rsid w:val="00996320"/>
    <w:rsid w:val="00996379"/>
    <w:rsid w:val="009965C2"/>
    <w:rsid w:val="00996827"/>
    <w:rsid w:val="00996858"/>
    <w:rsid w:val="00996A2B"/>
    <w:rsid w:val="00996B6A"/>
    <w:rsid w:val="0099765F"/>
    <w:rsid w:val="00997F9B"/>
    <w:rsid w:val="00997FBF"/>
    <w:rsid w:val="009A0166"/>
    <w:rsid w:val="009A02EE"/>
    <w:rsid w:val="009A044C"/>
    <w:rsid w:val="009A065F"/>
    <w:rsid w:val="009A09B6"/>
    <w:rsid w:val="009A0AAD"/>
    <w:rsid w:val="009A0C9C"/>
    <w:rsid w:val="009A0DCE"/>
    <w:rsid w:val="009A106A"/>
    <w:rsid w:val="009A1EBC"/>
    <w:rsid w:val="009A1FF9"/>
    <w:rsid w:val="009A205D"/>
    <w:rsid w:val="009A21C5"/>
    <w:rsid w:val="009A21E4"/>
    <w:rsid w:val="009A2267"/>
    <w:rsid w:val="009A2436"/>
    <w:rsid w:val="009A259A"/>
    <w:rsid w:val="009A2987"/>
    <w:rsid w:val="009A29A4"/>
    <w:rsid w:val="009A2AFB"/>
    <w:rsid w:val="009A3037"/>
    <w:rsid w:val="009A3277"/>
    <w:rsid w:val="009A33DB"/>
    <w:rsid w:val="009A3643"/>
    <w:rsid w:val="009A3EAB"/>
    <w:rsid w:val="009A409F"/>
    <w:rsid w:val="009A43B2"/>
    <w:rsid w:val="009A45F6"/>
    <w:rsid w:val="009A49A9"/>
    <w:rsid w:val="009A49E3"/>
    <w:rsid w:val="009A4C44"/>
    <w:rsid w:val="009A5109"/>
    <w:rsid w:val="009A5218"/>
    <w:rsid w:val="009A53A3"/>
    <w:rsid w:val="009A5470"/>
    <w:rsid w:val="009A58A1"/>
    <w:rsid w:val="009A5DF4"/>
    <w:rsid w:val="009A5F61"/>
    <w:rsid w:val="009A63B7"/>
    <w:rsid w:val="009A6468"/>
    <w:rsid w:val="009A68C3"/>
    <w:rsid w:val="009A6BBD"/>
    <w:rsid w:val="009A6C6B"/>
    <w:rsid w:val="009A6F3A"/>
    <w:rsid w:val="009A702F"/>
    <w:rsid w:val="009A7191"/>
    <w:rsid w:val="009A72A4"/>
    <w:rsid w:val="009A7454"/>
    <w:rsid w:val="009A7776"/>
    <w:rsid w:val="009A7BC7"/>
    <w:rsid w:val="009A7C76"/>
    <w:rsid w:val="009A7D36"/>
    <w:rsid w:val="009B0210"/>
    <w:rsid w:val="009B0CEB"/>
    <w:rsid w:val="009B118F"/>
    <w:rsid w:val="009B13C1"/>
    <w:rsid w:val="009B211F"/>
    <w:rsid w:val="009B26B8"/>
    <w:rsid w:val="009B2813"/>
    <w:rsid w:val="009B28EB"/>
    <w:rsid w:val="009B2971"/>
    <w:rsid w:val="009B2A2E"/>
    <w:rsid w:val="009B2C47"/>
    <w:rsid w:val="009B2DB3"/>
    <w:rsid w:val="009B35E6"/>
    <w:rsid w:val="009B3AA4"/>
    <w:rsid w:val="009B3C5C"/>
    <w:rsid w:val="009B3CF6"/>
    <w:rsid w:val="009B3E1C"/>
    <w:rsid w:val="009B3E8A"/>
    <w:rsid w:val="009B415D"/>
    <w:rsid w:val="009B4B09"/>
    <w:rsid w:val="009B4DEE"/>
    <w:rsid w:val="009B4E0F"/>
    <w:rsid w:val="009B4FF3"/>
    <w:rsid w:val="009B572B"/>
    <w:rsid w:val="009B5938"/>
    <w:rsid w:val="009B5A1D"/>
    <w:rsid w:val="009B5B5B"/>
    <w:rsid w:val="009B6260"/>
    <w:rsid w:val="009B632E"/>
    <w:rsid w:val="009B6C5C"/>
    <w:rsid w:val="009B6FA2"/>
    <w:rsid w:val="009B7096"/>
    <w:rsid w:val="009B7416"/>
    <w:rsid w:val="009C078F"/>
    <w:rsid w:val="009C07DD"/>
    <w:rsid w:val="009C088B"/>
    <w:rsid w:val="009C0B15"/>
    <w:rsid w:val="009C1301"/>
    <w:rsid w:val="009C14AF"/>
    <w:rsid w:val="009C14F9"/>
    <w:rsid w:val="009C16FC"/>
    <w:rsid w:val="009C1F9C"/>
    <w:rsid w:val="009C2576"/>
    <w:rsid w:val="009C2780"/>
    <w:rsid w:val="009C2816"/>
    <w:rsid w:val="009C295A"/>
    <w:rsid w:val="009C402B"/>
    <w:rsid w:val="009C43CC"/>
    <w:rsid w:val="009C4A1B"/>
    <w:rsid w:val="009C4A8C"/>
    <w:rsid w:val="009C5062"/>
    <w:rsid w:val="009C5096"/>
    <w:rsid w:val="009C5655"/>
    <w:rsid w:val="009C5D3D"/>
    <w:rsid w:val="009C616E"/>
    <w:rsid w:val="009C6BD9"/>
    <w:rsid w:val="009C6F25"/>
    <w:rsid w:val="009C717D"/>
    <w:rsid w:val="009C7340"/>
    <w:rsid w:val="009C764F"/>
    <w:rsid w:val="009C7AF8"/>
    <w:rsid w:val="009C7D51"/>
    <w:rsid w:val="009C7EC9"/>
    <w:rsid w:val="009D068F"/>
    <w:rsid w:val="009D108C"/>
    <w:rsid w:val="009D1437"/>
    <w:rsid w:val="009D1446"/>
    <w:rsid w:val="009D1C6B"/>
    <w:rsid w:val="009D23D0"/>
    <w:rsid w:val="009D23F4"/>
    <w:rsid w:val="009D25E7"/>
    <w:rsid w:val="009D2706"/>
    <w:rsid w:val="009D291C"/>
    <w:rsid w:val="009D2C42"/>
    <w:rsid w:val="009D2E86"/>
    <w:rsid w:val="009D333E"/>
    <w:rsid w:val="009D3E30"/>
    <w:rsid w:val="009D4572"/>
    <w:rsid w:val="009D4857"/>
    <w:rsid w:val="009D4A60"/>
    <w:rsid w:val="009D4C97"/>
    <w:rsid w:val="009D4D50"/>
    <w:rsid w:val="009D50E3"/>
    <w:rsid w:val="009D53F7"/>
    <w:rsid w:val="009D5E34"/>
    <w:rsid w:val="009D63B7"/>
    <w:rsid w:val="009D63F5"/>
    <w:rsid w:val="009D6FC7"/>
    <w:rsid w:val="009D6FE7"/>
    <w:rsid w:val="009D723E"/>
    <w:rsid w:val="009D756D"/>
    <w:rsid w:val="009D77C8"/>
    <w:rsid w:val="009D7BB6"/>
    <w:rsid w:val="009E005C"/>
    <w:rsid w:val="009E0518"/>
    <w:rsid w:val="009E0790"/>
    <w:rsid w:val="009E085E"/>
    <w:rsid w:val="009E1646"/>
    <w:rsid w:val="009E1BD0"/>
    <w:rsid w:val="009E1FD5"/>
    <w:rsid w:val="009E239C"/>
    <w:rsid w:val="009E256D"/>
    <w:rsid w:val="009E2669"/>
    <w:rsid w:val="009E27EE"/>
    <w:rsid w:val="009E2881"/>
    <w:rsid w:val="009E2C4A"/>
    <w:rsid w:val="009E300B"/>
    <w:rsid w:val="009E30AE"/>
    <w:rsid w:val="009E3407"/>
    <w:rsid w:val="009E3557"/>
    <w:rsid w:val="009E38D1"/>
    <w:rsid w:val="009E3DF7"/>
    <w:rsid w:val="009E3F2D"/>
    <w:rsid w:val="009E4321"/>
    <w:rsid w:val="009E4322"/>
    <w:rsid w:val="009E4355"/>
    <w:rsid w:val="009E444F"/>
    <w:rsid w:val="009E45A5"/>
    <w:rsid w:val="009E468D"/>
    <w:rsid w:val="009E4745"/>
    <w:rsid w:val="009E4760"/>
    <w:rsid w:val="009E4C45"/>
    <w:rsid w:val="009E51CE"/>
    <w:rsid w:val="009E51E6"/>
    <w:rsid w:val="009E5414"/>
    <w:rsid w:val="009E5443"/>
    <w:rsid w:val="009E573F"/>
    <w:rsid w:val="009E5750"/>
    <w:rsid w:val="009E5B55"/>
    <w:rsid w:val="009E5DAD"/>
    <w:rsid w:val="009E6315"/>
    <w:rsid w:val="009E642A"/>
    <w:rsid w:val="009E6813"/>
    <w:rsid w:val="009E68AB"/>
    <w:rsid w:val="009E6D3F"/>
    <w:rsid w:val="009E6E81"/>
    <w:rsid w:val="009E70A7"/>
    <w:rsid w:val="009E7545"/>
    <w:rsid w:val="009E7C43"/>
    <w:rsid w:val="009E7F24"/>
    <w:rsid w:val="009E7FD1"/>
    <w:rsid w:val="009F00E1"/>
    <w:rsid w:val="009F02A0"/>
    <w:rsid w:val="009F0587"/>
    <w:rsid w:val="009F0745"/>
    <w:rsid w:val="009F0ABA"/>
    <w:rsid w:val="009F0B0B"/>
    <w:rsid w:val="009F0BB9"/>
    <w:rsid w:val="009F0D06"/>
    <w:rsid w:val="009F0D6D"/>
    <w:rsid w:val="009F1291"/>
    <w:rsid w:val="009F14A8"/>
    <w:rsid w:val="009F1732"/>
    <w:rsid w:val="009F17D3"/>
    <w:rsid w:val="009F1A16"/>
    <w:rsid w:val="009F1FCC"/>
    <w:rsid w:val="009F2039"/>
    <w:rsid w:val="009F2601"/>
    <w:rsid w:val="009F2D27"/>
    <w:rsid w:val="009F3304"/>
    <w:rsid w:val="009F38E0"/>
    <w:rsid w:val="009F3911"/>
    <w:rsid w:val="009F3A2A"/>
    <w:rsid w:val="009F3C84"/>
    <w:rsid w:val="009F3E26"/>
    <w:rsid w:val="009F4075"/>
    <w:rsid w:val="009F50A4"/>
    <w:rsid w:val="009F52C1"/>
    <w:rsid w:val="009F59D9"/>
    <w:rsid w:val="009F5C5F"/>
    <w:rsid w:val="009F5E3D"/>
    <w:rsid w:val="009F5ECA"/>
    <w:rsid w:val="009F5F05"/>
    <w:rsid w:val="009F633A"/>
    <w:rsid w:val="009F634A"/>
    <w:rsid w:val="009F6716"/>
    <w:rsid w:val="009F6889"/>
    <w:rsid w:val="009F6A86"/>
    <w:rsid w:val="009F6E2B"/>
    <w:rsid w:val="009F73B4"/>
    <w:rsid w:val="009F77CB"/>
    <w:rsid w:val="009F7B7E"/>
    <w:rsid w:val="009F7C58"/>
    <w:rsid w:val="009F7D31"/>
    <w:rsid w:val="00A00292"/>
    <w:rsid w:val="00A002B0"/>
    <w:rsid w:val="00A00DDF"/>
    <w:rsid w:val="00A010FE"/>
    <w:rsid w:val="00A0115B"/>
    <w:rsid w:val="00A01B53"/>
    <w:rsid w:val="00A01C9D"/>
    <w:rsid w:val="00A01F58"/>
    <w:rsid w:val="00A02375"/>
    <w:rsid w:val="00A02D96"/>
    <w:rsid w:val="00A0340C"/>
    <w:rsid w:val="00A037E1"/>
    <w:rsid w:val="00A03D88"/>
    <w:rsid w:val="00A04297"/>
    <w:rsid w:val="00A04306"/>
    <w:rsid w:val="00A04782"/>
    <w:rsid w:val="00A048F5"/>
    <w:rsid w:val="00A049C2"/>
    <w:rsid w:val="00A04CB9"/>
    <w:rsid w:val="00A04D4C"/>
    <w:rsid w:val="00A04F2B"/>
    <w:rsid w:val="00A050AC"/>
    <w:rsid w:val="00A05819"/>
    <w:rsid w:val="00A05CC0"/>
    <w:rsid w:val="00A05FD6"/>
    <w:rsid w:val="00A06041"/>
    <w:rsid w:val="00A0645D"/>
    <w:rsid w:val="00A06817"/>
    <w:rsid w:val="00A07327"/>
    <w:rsid w:val="00A07405"/>
    <w:rsid w:val="00A07923"/>
    <w:rsid w:val="00A10643"/>
    <w:rsid w:val="00A10742"/>
    <w:rsid w:val="00A109FE"/>
    <w:rsid w:val="00A10D72"/>
    <w:rsid w:val="00A10DC1"/>
    <w:rsid w:val="00A11116"/>
    <w:rsid w:val="00A1133E"/>
    <w:rsid w:val="00A1161E"/>
    <w:rsid w:val="00A11DA6"/>
    <w:rsid w:val="00A11E6A"/>
    <w:rsid w:val="00A126A9"/>
    <w:rsid w:val="00A12AED"/>
    <w:rsid w:val="00A12AFA"/>
    <w:rsid w:val="00A12C34"/>
    <w:rsid w:val="00A12D83"/>
    <w:rsid w:val="00A12F71"/>
    <w:rsid w:val="00A1307E"/>
    <w:rsid w:val="00A1337A"/>
    <w:rsid w:val="00A133F1"/>
    <w:rsid w:val="00A13B00"/>
    <w:rsid w:val="00A13CBD"/>
    <w:rsid w:val="00A13FDD"/>
    <w:rsid w:val="00A14365"/>
    <w:rsid w:val="00A1439C"/>
    <w:rsid w:val="00A1440B"/>
    <w:rsid w:val="00A14423"/>
    <w:rsid w:val="00A1494C"/>
    <w:rsid w:val="00A14A57"/>
    <w:rsid w:val="00A14DAC"/>
    <w:rsid w:val="00A14DBD"/>
    <w:rsid w:val="00A15089"/>
    <w:rsid w:val="00A1527A"/>
    <w:rsid w:val="00A15617"/>
    <w:rsid w:val="00A15750"/>
    <w:rsid w:val="00A158AA"/>
    <w:rsid w:val="00A15922"/>
    <w:rsid w:val="00A15BA3"/>
    <w:rsid w:val="00A15E79"/>
    <w:rsid w:val="00A1641F"/>
    <w:rsid w:val="00A16AAF"/>
    <w:rsid w:val="00A16C06"/>
    <w:rsid w:val="00A17215"/>
    <w:rsid w:val="00A174E1"/>
    <w:rsid w:val="00A2016D"/>
    <w:rsid w:val="00A2067E"/>
    <w:rsid w:val="00A20A17"/>
    <w:rsid w:val="00A20A84"/>
    <w:rsid w:val="00A20C04"/>
    <w:rsid w:val="00A20CC9"/>
    <w:rsid w:val="00A21074"/>
    <w:rsid w:val="00A21225"/>
    <w:rsid w:val="00A2133A"/>
    <w:rsid w:val="00A217C6"/>
    <w:rsid w:val="00A2188E"/>
    <w:rsid w:val="00A219FA"/>
    <w:rsid w:val="00A21BC0"/>
    <w:rsid w:val="00A21C63"/>
    <w:rsid w:val="00A21DBB"/>
    <w:rsid w:val="00A21EE2"/>
    <w:rsid w:val="00A221D4"/>
    <w:rsid w:val="00A2235A"/>
    <w:rsid w:val="00A22400"/>
    <w:rsid w:val="00A2256C"/>
    <w:rsid w:val="00A225D7"/>
    <w:rsid w:val="00A225F1"/>
    <w:rsid w:val="00A22BAB"/>
    <w:rsid w:val="00A22D6A"/>
    <w:rsid w:val="00A22F7A"/>
    <w:rsid w:val="00A230A4"/>
    <w:rsid w:val="00A232A4"/>
    <w:rsid w:val="00A235EC"/>
    <w:rsid w:val="00A23748"/>
    <w:rsid w:val="00A2374E"/>
    <w:rsid w:val="00A23761"/>
    <w:rsid w:val="00A23C65"/>
    <w:rsid w:val="00A2414A"/>
    <w:rsid w:val="00A24188"/>
    <w:rsid w:val="00A24699"/>
    <w:rsid w:val="00A24C97"/>
    <w:rsid w:val="00A24FBE"/>
    <w:rsid w:val="00A251A9"/>
    <w:rsid w:val="00A251BD"/>
    <w:rsid w:val="00A25431"/>
    <w:rsid w:val="00A2569D"/>
    <w:rsid w:val="00A25C3A"/>
    <w:rsid w:val="00A25E26"/>
    <w:rsid w:val="00A25E4E"/>
    <w:rsid w:val="00A2616D"/>
    <w:rsid w:val="00A261A3"/>
    <w:rsid w:val="00A26301"/>
    <w:rsid w:val="00A2657F"/>
    <w:rsid w:val="00A2679D"/>
    <w:rsid w:val="00A26B7C"/>
    <w:rsid w:val="00A2711A"/>
    <w:rsid w:val="00A2767D"/>
    <w:rsid w:val="00A278F9"/>
    <w:rsid w:val="00A27B59"/>
    <w:rsid w:val="00A30023"/>
    <w:rsid w:val="00A3005E"/>
    <w:rsid w:val="00A30072"/>
    <w:rsid w:val="00A30861"/>
    <w:rsid w:val="00A30A65"/>
    <w:rsid w:val="00A30E44"/>
    <w:rsid w:val="00A30E97"/>
    <w:rsid w:val="00A30EA4"/>
    <w:rsid w:val="00A30EDE"/>
    <w:rsid w:val="00A30FDE"/>
    <w:rsid w:val="00A31041"/>
    <w:rsid w:val="00A31AA7"/>
    <w:rsid w:val="00A321FE"/>
    <w:rsid w:val="00A32811"/>
    <w:rsid w:val="00A32845"/>
    <w:rsid w:val="00A32BC3"/>
    <w:rsid w:val="00A32D34"/>
    <w:rsid w:val="00A32FA0"/>
    <w:rsid w:val="00A334F5"/>
    <w:rsid w:val="00A33513"/>
    <w:rsid w:val="00A33867"/>
    <w:rsid w:val="00A33D18"/>
    <w:rsid w:val="00A33DCC"/>
    <w:rsid w:val="00A33E87"/>
    <w:rsid w:val="00A3406F"/>
    <w:rsid w:val="00A340AC"/>
    <w:rsid w:val="00A34890"/>
    <w:rsid w:val="00A34902"/>
    <w:rsid w:val="00A349E5"/>
    <w:rsid w:val="00A34AA6"/>
    <w:rsid w:val="00A34E75"/>
    <w:rsid w:val="00A3515D"/>
    <w:rsid w:val="00A3536F"/>
    <w:rsid w:val="00A353FB"/>
    <w:rsid w:val="00A35742"/>
    <w:rsid w:val="00A3586C"/>
    <w:rsid w:val="00A35FA4"/>
    <w:rsid w:val="00A360BA"/>
    <w:rsid w:val="00A362F1"/>
    <w:rsid w:val="00A363B2"/>
    <w:rsid w:val="00A365F9"/>
    <w:rsid w:val="00A36701"/>
    <w:rsid w:val="00A369BB"/>
    <w:rsid w:val="00A36A3D"/>
    <w:rsid w:val="00A36A9B"/>
    <w:rsid w:val="00A37073"/>
    <w:rsid w:val="00A372CB"/>
    <w:rsid w:val="00A377E6"/>
    <w:rsid w:val="00A37D92"/>
    <w:rsid w:val="00A402EC"/>
    <w:rsid w:val="00A40A4F"/>
    <w:rsid w:val="00A40DA7"/>
    <w:rsid w:val="00A410E0"/>
    <w:rsid w:val="00A4135C"/>
    <w:rsid w:val="00A41E29"/>
    <w:rsid w:val="00A42067"/>
    <w:rsid w:val="00A4289E"/>
    <w:rsid w:val="00A42A9B"/>
    <w:rsid w:val="00A42C67"/>
    <w:rsid w:val="00A42CCF"/>
    <w:rsid w:val="00A42CDB"/>
    <w:rsid w:val="00A43490"/>
    <w:rsid w:val="00A4385C"/>
    <w:rsid w:val="00A43865"/>
    <w:rsid w:val="00A439A1"/>
    <w:rsid w:val="00A43BDF"/>
    <w:rsid w:val="00A44735"/>
    <w:rsid w:val="00A44B34"/>
    <w:rsid w:val="00A44C11"/>
    <w:rsid w:val="00A44D53"/>
    <w:rsid w:val="00A45672"/>
    <w:rsid w:val="00A458EA"/>
    <w:rsid w:val="00A46448"/>
    <w:rsid w:val="00A464FC"/>
    <w:rsid w:val="00A465A6"/>
    <w:rsid w:val="00A4660E"/>
    <w:rsid w:val="00A468ED"/>
    <w:rsid w:val="00A46936"/>
    <w:rsid w:val="00A4699E"/>
    <w:rsid w:val="00A469B8"/>
    <w:rsid w:val="00A46AAB"/>
    <w:rsid w:val="00A46F47"/>
    <w:rsid w:val="00A47083"/>
    <w:rsid w:val="00A4756A"/>
    <w:rsid w:val="00A479E1"/>
    <w:rsid w:val="00A5031A"/>
    <w:rsid w:val="00A50384"/>
    <w:rsid w:val="00A503DC"/>
    <w:rsid w:val="00A50440"/>
    <w:rsid w:val="00A50A26"/>
    <w:rsid w:val="00A50AD5"/>
    <w:rsid w:val="00A50ADC"/>
    <w:rsid w:val="00A50CDF"/>
    <w:rsid w:val="00A50E34"/>
    <w:rsid w:val="00A50F69"/>
    <w:rsid w:val="00A51057"/>
    <w:rsid w:val="00A512EA"/>
    <w:rsid w:val="00A51B3C"/>
    <w:rsid w:val="00A520DA"/>
    <w:rsid w:val="00A52109"/>
    <w:rsid w:val="00A52681"/>
    <w:rsid w:val="00A5268A"/>
    <w:rsid w:val="00A53527"/>
    <w:rsid w:val="00A53717"/>
    <w:rsid w:val="00A5480D"/>
    <w:rsid w:val="00A54E7E"/>
    <w:rsid w:val="00A54E8D"/>
    <w:rsid w:val="00A54FEF"/>
    <w:rsid w:val="00A550E1"/>
    <w:rsid w:val="00A55564"/>
    <w:rsid w:val="00A556EA"/>
    <w:rsid w:val="00A55849"/>
    <w:rsid w:val="00A5605E"/>
    <w:rsid w:val="00A566A4"/>
    <w:rsid w:val="00A56D3F"/>
    <w:rsid w:val="00A56D86"/>
    <w:rsid w:val="00A56E22"/>
    <w:rsid w:val="00A56EF2"/>
    <w:rsid w:val="00A57419"/>
    <w:rsid w:val="00A57A47"/>
    <w:rsid w:val="00A600CD"/>
    <w:rsid w:val="00A60317"/>
    <w:rsid w:val="00A603B7"/>
    <w:rsid w:val="00A60620"/>
    <w:rsid w:val="00A606CA"/>
    <w:rsid w:val="00A60B90"/>
    <w:rsid w:val="00A60CF6"/>
    <w:rsid w:val="00A60E2C"/>
    <w:rsid w:val="00A611E7"/>
    <w:rsid w:val="00A6134B"/>
    <w:rsid w:val="00A61514"/>
    <w:rsid w:val="00A61623"/>
    <w:rsid w:val="00A617B0"/>
    <w:rsid w:val="00A625B3"/>
    <w:rsid w:val="00A62966"/>
    <w:rsid w:val="00A62974"/>
    <w:rsid w:val="00A62A2D"/>
    <w:rsid w:val="00A62B26"/>
    <w:rsid w:val="00A62B6D"/>
    <w:rsid w:val="00A62B84"/>
    <w:rsid w:val="00A62C44"/>
    <w:rsid w:val="00A62F56"/>
    <w:rsid w:val="00A636E5"/>
    <w:rsid w:val="00A63922"/>
    <w:rsid w:val="00A63969"/>
    <w:rsid w:val="00A63DBB"/>
    <w:rsid w:val="00A643D0"/>
    <w:rsid w:val="00A64467"/>
    <w:rsid w:val="00A645A5"/>
    <w:rsid w:val="00A647EC"/>
    <w:rsid w:val="00A656FB"/>
    <w:rsid w:val="00A65924"/>
    <w:rsid w:val="00A660A1"/>
    <w:rsid w:val="00A661AE"/>
    <w:rsid w:val="00A665E1"/>
    <w:rsid w:val="00A6673A"/>
    <w:rsid w:val="00A66886"/>
    <w:rsid w:val="00A6696B"/>
    <w:rsid w:val="00A66CC3"/>
    <w:rsid w:val="00A66EA1"/>
    <w:rsid w:val="00A66F23"/>
    <w:rsid w:val="00A6743A"/>
    <w:rsid w:val="00A67467"/>
    <w:rsid w:val="00A675A3"/>
    <w:rsid w:val="00A67749"/>
    <w:rsid w:val="00A70321"/>
    <w:rsid w:val="00A707AB"/>
    <w:rsid w:val="00A70DD1"/>
    <w:rsid w:val="00A70E81"/>
    <w:rsid w:val="00A71034"/>
    <w:rsid w:val="00A71187"/>
    <w:rsid w:val="00A71339"/>
    <w:rsid w:val="00A71673"/>
    <w:rsid w:val="00A71B64"/>
    <w:rsid w:val="00A71F99"/>
    <w:rsid w:val="00A7225F"/>
    <w:rsid w:val="00A72550"/>
    <w:rsid w:val="00A72953"/>
    <w:rsid w:val="00A72EC3"/>
    <w:rsid w:val="00A7371C"/>
    <w:rsid w:val="00A737B0"/>
    <w:rsid w:val="00A737C1"/>
    <w:rsid w:val="00A73DCC"/>
    <w:rsid w:val="00A741CB"/>
    <w:rsid w:val="00A742BB"/>
    <w:rsid w:val="00A74324"/>
    <w:rsid w:val="00A74377"/>
    <w:rsid w:val="00A74747"/>
    <w:rsid w:val="00A748A5"/>
    <w:rsid w:val="00A750AC"/>
    <w:rsid w:val="00A751F5"/>
    <w:rsid w:val="00A75318"/>
    <w:rsid w:val="00A75CBF"/>
    <w:rsid w:val="00A76013"/>
    <w:rsid w:val="00A76027"/>
    <w:rsid w:val="00A761B8"/>
    <w:rsid w:val="00A76A1A"/>
    <w:rsid w:val="00A772DC"/>
    <w:rsid w:val="00A77300"/>
    <w:rsid w:val="00A77707"/>
    <w:rsid w:val="00A77AEC"/>
    <w:rsid w:val="00A77D4E"/>
    <w:rsid w:val="00A80500"/>
    <w:rsid w:val="00A806BF"/>
    <w:rsid w:val="00A80952"/>
    <w:rsid w:val="00A80B62"/>
    <w:rsid w:val="00A80BC3"/>
    <w:rsid w:val="00A80E8E"/>
    <w:rsid w:val="00A81259"/>
    <w:rsid w:val="00A81524"/>
    <w:rsid w:val="00A8185E"/>
    <w:rsid w:val="00A81A34"/>
    <w:rsid w:val="00A81BB9"/>
    <w:rsid w:val="00A81C18"/>
    <w:rsid w:val="00A81FF2"/>
    <w:rsid w:val="00A82130"/>
    <w:rsid w:val="00A826E1"/>
    <w:rsid w:val="00A82EC2"/>
    <w:rsid w:val="00A8301E"/>
    <w:rsid w:val="00A8340F"/>
    <w:rsid w:val="00A83656"/>
    <w:rsid w:val="00A83E6A"/>
    <w:rsid w:val="00A83F5B"/>
    <w:rsid w:val="00A84100"/>
    <w:rsid w:val="00A8424C"/>
    <w:rsid w:val="00A84373"/>
    <w:rsid w:val="00A8441C"/>
    <w:rsid w:val="00A84852"/>
    <w:rsid w:val="00A849A4"/>
    <w:rsid w:val="00A8559A"/>
    <w:rsid w:val="00A85749"/>
    <w:rsid w:val="00A8582D"/>
    <w:rsid w:val="00A85B5D"/>
    <w:rsid w:val="00A85EF2"/>
    <w:rsid w:val="00A860A9"/>
    <w:rsid w:val="00A862F7"/>
    <w:rsid w:val="00A86705"/>
    <w:rsid w:val="00A8688F"/>
    <w:rsid w:val="00A86AC4"/>
    <w:rsid w:val="00A87699"/>
    <w:rsid w:val="00A878F2"/>
    <w:rsid w:val="00A87C6F"/>
    <w:rsid w:val="00A87D87"/>
    <w:rsid w:val="00A87FA0"/>
    <w:rsid w:val="00A90EE7"/>
    <w:rsid w:val="00A91023"/>
    <w:rsid w:val="00A91433"/>
    <w:rsid w:val="00A914FB"/>
    <w:rsid w:val="00A91C72"/>
    <w:rsid w:val="00A91D16"/>
    <w:rsid w:val="00A91D50"/>
    <w:rsid w:val="00A91F7C"/>
    <w:rsid w:val="00A9203D"/>
    <w:rsid w:val="00A921FE"/>
    <w:rsid w:val="00A923DD"/>
    <w:rsid w:val="00A9242E"/>
    <w:rsid w:val="00A927EE"/>
    <w:rsid w:val="00A92AAB"/>
    <w:rsid w:val="00A92B7E"/>
    <w:rsid w:val="00A92D58"/>
    <w:rsid w:val="00A92D5E"/>
    <w:rsid w:val="00A92F96"/>
    <w:rsid w:val="00A930EC"/>
    <w:rsid w:val="00A93242"/>
    <w:rsid w:val="00A93448"/>
    <w:rsid w:val="00A93915"/>
    <w:rsid w:val="00A93A20"/>
    <w:rsid w:val="00A93BC6"/>
    <w:rsid w:val="00A9412A"/>
    <w:rsid w:val="00A9421E"/>
    <w:rsid w:val="00A95113"/>
    <w:rsid w:val="00A954AA"/>
    <w:rsid w:val="00A95ECD"/>
    <w:rsid w:val="00A9664E"/>
    <w:rsid w:val="00A967A2"/>
    <w:rsid w:val="00A96CD8"/>
    <w:rsid w:val="00A96DA2"/>
    <w:rsid w:val="00A96F7E"/>
    <w:rsid w:val="00A971F9"/>
    <w:rsid w:val="00A97316"/>
    <w:rsid w:val="00A97491"/>
    <w:rsid w:val="00A97680"/>
    <w:rsid w:val="00A9784A"/>
    <w:rsid w:val="00A97B6E"/>
    <w:rsid w:val="00A97C73"/>
    <w:rsid w:val="00A97FB4"/>
    <w:rsid w:val="00AA1207"/>
    <w:rsid w:val="00AA1222"/>
    <w:rsid w:val="00AA13CB"/>
    <w:rsid w:val="00AA1545"/>
    <w:rsid w:val="00AA19B7"/>
    <w:rsid w:val="00AA1A8D"/>
    <w:rsid w:val="00AA1B3D"/>
    <w:rsid w:val="00AA21BB"/>
    <w:rsid w:val="00AA24CF"/>
    <w:rsid w:val="00AA2716"/>
    <w:rsid w:val="00AA294D"/>
    <w:rsid w:val="00AA2BCF"/>
    <w:rsid w:val="00AA2BDC"/>
    <w:rsid w:val="00AA2C2D"/>
    <w:rsid w:val="00AA2C81"/>
    <w:rsid w:val="00AA308E"/>
    <w:rsid w:val="00AA32A2"/>
    <w:rsid w:val="00AA386E"/>
    <w:rsid w:val="00AA3F20"/>
    <w:rsid w:val="00AA3F21"/>
    <w:rsid w:val="00AA41E1"/>
    <w:rsid w:val="00AA4217"/>
    <w:rsid w:val="00AA4493"/>
    <w:rsid w:val="00AA4897"/>
    <w:rsid w:val="00AA4D14"/>
    <w:rsid w:val="00AA4D86"/>
    <w:rsid w:val="00AA5554"/>
    <w:rsid w:val="00AA5B15"/>
    <w:rsid w:val="00AA6AB0"/>
    <w:rsid w:val="00AA6D57"/>
    <w:rsid w:val="00AA6ED9"/>
    <w:rsid w:val="00AA768E"/>
    <w:rsid w:val="00AA7988"/>
    <w:rsid w:val="00AA7BF8"/>
    <w:rsid w:val="00AA7C76"/>
    <w:rsid w:val="00AA7D94"/>
    <w:rsid w:val="00AB020F"/>
    <w:rsid w:val="00AB0235"/>
    <w:rsid w:val="00AB072B"/>
    <w:rsid w:val="00AB0C99"/>
    <w:rsid w:val="00AB0E06"/>
    <w:rsid w:val="00AB12C5"/>
    <w:rsid w:val="00AB1889"/>
    <w:rsid w:val="00AB1AC1"/>
    <w:rsid w:val="00AB1B12"/>
    <w:rsid w:val="00AB1F3B"/>
    <w:rsid w:val="00AB24F1"/>
    <w:rsid w:val="00AB252C"/>
    <w:rsid w:val="00AB285C"/>
    <w:rsid w:val="00AB294F"/>
    <w:rsid w:val="00AB2E74"/>
    <w:rsid w:val="00AB2EA9"/>
    <w:rsid w:val="00AB3057"/>
    <w:rsid w:val="00AB3131"/>
    <w:rsid w:val="00AB31C7"/>
    <w:rsid w:val="00AB320D"/>
    <w:rsid w:val="00AB3532"/>
    <w:rsid w:val="00AB353E"/>
    <w:rsid w:val="00AB389B"/>
    <w:rsid w:val="00AB3B53"/>
    <w:rsid w:val="00AB3C21"/>
    <w:rsid w:val="00AB3CC3"/>
    <w:rsid w:val="00AB4107"/>
    <w:rsid w:val="00AB43A0"/>
    <w:rsid w:val="00AB4478"/>
    <w:rsid w:val="00AB4590"/>
    <w:rsid w:val="00AB4BB5"/>
    <w:rsid w:val="00AB5026"/>
    <w:rsid w:val="00AB5278"/>
    <w:rsid w:val="00AB5C72"/>
    <w:rsid w:val="00AB5D98"/>
    <w:rsid w:val="00AB65B8"/>
    <w:rsid w:val="00AB6A3D"/>
    <w:rsid w:val="00AB7113"/>
    <w:rsid w:val="00AB737A"/>
    <w:rsid w:val="00AB7899"/>
    <w:rsid w:val="00AB7C08"/>
    <w:rsid w:val="00AC03D2"/>
    <w:rsid w:val="00AC0433"/>
    <w:rsid w:val="00AC0750"/>
    <w:rsid w:val="00AC0C2E"/>
    <w:rsid w:val="00AC0C4B"/>
    <w:rsid w:val="00AC0F91"/>
    <w:rsid w:val="00AC1177"/>
    <w:rsid w:val="00AC1B1C"/>
    <w:rsid w:val="00AC1BC8"/>
    <w:rsid w:val="00AC1F14"/>
    <w:rsid w:val="00AC1FC4"/>
    <w:rsid w:val="00AC209C"/>
    <w:rsid w:val="00AC236E"/>
    <w:rsid w:val="00AC2B87"/>
    <w:rsid w:val="00AC2FA1"/>
    <w:rsid w:val="00AC31F0"/>
    <w:rsid w:val="00AC31F3"/>
    <w:rsid w:val="00AC3550"/>
    <w:rsid w:val="00AC3679"/>
    <w:rsid w:val="00AC3724"/>
    <w:rsid w:val="00AC3A53"/>
    <w:rsid w:val="00AC3A7D"/>
    <w:rsid w:val="00AC3C6E"/>
    <w:rsid w:val="00AC3DAE"/>
    <w:rsid w:val="00AC3F45"/>
    <w:rsid w:val="00AC42CE"/>
    <w:rsid w:val="00AC4353"/>
    <w:rsid w:val="00AC456B"/>
    <w:rsid w:val="00AC4724"/>
    <w:rsid w:val="00AC4801"/>
    <w:rsid w:val="00AC48B7"/>
    <w:rsid w:val="00AC5114"/>
    <w:rsid w:val="00AC521A"/>
    <w:rsid w:val="00AC548A"/>
    <w:rsid w:val="00AC5DD9"/>
    <w:rsid w:val="00AC5F79"/>
    <w:rsid w:val="00AC6015"/>
    <w:rsid w:val="00AC6449"/>
    <w:rsid w:val="00AC64B6"/>
    <w:rsid w:val="00AC673C"/>
    <w:rsid w:val="00AC68FC"/>
    <w:rsid w:val="00AC6954"/>
    <w:rsid w:val="00AC69C9"/>
    <w:rsid w:val="00AC6D11"/>
    <w:rsid w:val="00AC6EE9"/>
    <w:rsid w:val="00AC6FB3"/>
    <w:rsid w:val="00AC762D"/>
    <w:rsid w:val="00AC7AA3"/>
    <w:rsid w:val="00AC7AA5"/>
    <w:rsid w:val="00AC7CA5"/>
    <w:rsid w:val="00AD03FA"/>
    <w:rsid w:val="00AD0564"/>
    <w:rsid w:val="00AD0907"/>
    <w:rsid w:val="00AD0A0D"/>
    <w:rsid w:val="00AD0D74"/>
    <w:rsid w:val="00AD0E8B"/>
    <w:rsid w:val="00AD0F32"/>
    <w:rsid w:val="00AD0F76"/>
    <w:rsid w:val="00AD1242"/>
    <w:rsid w:val="00AD1762"/>
    <w:rsid w:val="00AD183C"/>
    <w:rsid w:val="00AD18C6"/>
    <w:rsid w:val="00AD18E5"/>
    <w:rsid w:val="00AD1957"/>
    <w:rsid w:val="00AD1B01"/>
    <w:rsid w:val="00AD1B8A"/>
    <w:rsid w:val="00AD1E7F"/>
    <w:rsid w:val="00AD2109"/>
    <w:rsid w:val="00AD21D8"/>
    <w:rsid w:val="00AD232A"/>
    <w:rsid w:val="00AD2381"/>
    <w:rsid w:val="00AD2A3D"/>
    <w:rsid w:val="00AD2B97"/>
    <w:rsid w:val="00AD2BD6"/>
    <w:rsid w:val="00AD3163"/>
    <w:rsid w:val="00AD3B59"/>
    <w:rsid w:val="00AD3C42"/>
    <w:rsid w:val="00AD3CC1"/>
    <w:rsid w:val="00AD4235"/>
    <w:rsid w:val="00AD4E64"/>
    <w:rsid w:val="00AD5137"/>
    <w:rsid w:val="00AD5327"/>
    <w:rsid w:val="00AD56FC"/>
    <w:rsid w:val="00AD5822"/>
    <w:rsid w:val="00AD583C"/>
    <w:rsid w:val="00AD5860"/>
    <w:rsid w:val="00AD5993"/>
    <w:rsid w:val="00AD5A4B"/>
    <w:rsid w:val="00AD5D2C"/>
    <w:rsid w:val="00AD6035"/>
    <w:rsid w:val="00AD627F"/>
    <w:rsid w:val="00AD68C5"/>
    <w:rsid w:val="00AD73AA"/>
    <w:rsid w:val="00AD76F6"/>
    <w:rsid w:val="00AD77F8"/>
    <w:rsid w:val="00AD794A"/>
    <w:rsid w:val="00AD7B1B"/>
    <w:rsid w:val="00AD7BEA"/>
    <w:rsid w:val="00AD7E0C"/>
    <w:rsid w:val="00AD7F17"/>
    <w:rsid w:val="00AE0272"/>
    <w:rsid w:val="00AE05DF"/>
    <w:rsid w:val="00AE08DB"/>
    <w:rsid w:val="00AE0BE1"/>
    <w:rsid w:val="00AE0EF5"/>
    <w:rsid w:val="00AE19A7"/>
    <w:rsid w:val="00AE1E6B"/>
    <w:rsid w:val="00AE2550"/>
    <w:rsid w:val="00AE27B3"/>
    <w:rsid w:val="00AE2811"/>
    <w:rsid w:val="00AE2BAB"/>
    <w:rsid w:val="00AE34C3"/>
    <w:rsid w:val="00AE37AC"/>
    <w:rsid w:val="00AE3F8A"/>
    <w:rsid w:val="00AE409A"/>
    <w:rsid w:val="00AE53C0"/>
    <w:rsid w:val="00AE571D"/>
    <w:rsid w:val="00AE5A7A"/>
    <w:rsid w:val="00AE5D30"/>
    <w:rsid w:val="00AE5FA0"/>
    <w:rsid w:val="00AE60BF"/>
    <w:rsid w:val="00AE6185"/>
    <w:rsid w:val="00AE6401"/>
    <w:rsid w:val="00AE694C"/>
    <w:rsid w:val="00AE715F"/>
    <w:rsid w:val="00AE7480"/>
    <w:rsid w:val="00AE750F"/>
    <w:rsid w:val="00AE75AE"/>
    <w:rsid w:val="00AE7697"/>
    <w:rsid w:val="00AE770F"/>
    <w:rsid w:val="00AE77C9"/>
    <w:rsid w:val="00AE7A2C"/>
    <w:rsid w:val="00AF085E"/>
    <w:rsid w:val="00AF0C57"/>
    <w:rsid w:val="00AF0F65"/>
    <w:rsid w:val="00AF17B7"/>
    <w:rsid w:val="00AF191A"/>
    <w:rsid w:val="00AF1B25"/>
    <w:rsid w:val="00AF21C4"/>
    <w:rsid w:val="00AF2B06"/>
    <w:rsid w:val="00AF2BC3"/>
    <w:rsid w:val="00AF2D0A"/>
    <w:rsid w:val="00AF37C0"/>
    <w:rsid w:val="00AF3913"/>
    <w:rsid w:val="00AF3CE1"/>
    <w:rsid w:val="00AF3D44"/>
    <w:rsid w:val="00AF45B6"/>
    <w:rsid w:val="00AF4D5A"/>
    <w:rsid w:val="00AF4FFD"/>
    <w:rsid w:val="00AF57DA"/>
    <w:rsid w:val="00AF5ACE"/>
    <w:rsid w:val="00AF5AF2"/>
    <w:rsid w:val="00AF5BF9"/>
    <w:rsid w:val="00AF5CA7"/>
    <w:rsid w:val="00AF5E15"/>
    <w:rsid w:val="00AF5EC8"/>
    <w:rsid w:val="00AF60AB"/>
    <w:rsid w:val="00AF62A2"/>
    <w:rsid w:val="00AF6327"/>
    <w:rsid w:val="00AF65CD"/>
    <w:rsid w:val="00AF6618"/>
    <w:rsid w:val="00AF685F"/>
    <w:rsid w:val="00AF6F7A"/>
    <w:rsid w:val="00AF713D"/>
    <w:rsid w:val="00AF7290"/>
    <w:rsid w:val="00AF7523"/>
    <w:rsid w:val="00AF7FBE"/>
    <w:rsid w:val="00B00045"/>
    <w:rsid w:val="00B00737"/>
    <w:rsid w:val="00B00BD6"/>
    <w:rsid w:val="00B012A7"/>
    <w:rsid w:val="00B012AE"/>
    <w:rsid w:val="00B0144B"/>
    <w:rsid w:val="00B01488"/>
    <w:rsid w:val="00B019B9"/>
    <w:rsid w:val="00B01B49"/>
    <w:rsid w:val="00B01B72"/>
    <w:rsid w:val="00B01D14"/>
    <w:rsid w:val="00B01D43"/>
    <w:rsid w:val="00B0235B"/>
    <w:rsid w:val="00B0264F"/>
    <w:rsid w:val="00B02D28"/>
    <w:rsid w:val="00B02DA8"/>
    <w:rsid w:val="00B0341C"/>
    <w:rsid w:val="00B0411A"/>
    <w:rsid w:val="00B0412B"/>
    <w:rsid w:val="00B04304"/>
    <w:rsid w:val="00B04AE9"/>
    <w:rsid w:val="00B04C47"/>
    <w:rsid w:val="00B04D5E"/>
    <w:rsid w:val="00B056B0"/>
    <w:rsid w:val="00B0575B"/>
    <w:rsid w:val="00B057C1"/>
    <w:rsid w:val="00B05891"/>
    <w:rsid w:val="00B05AEA"/>
    <w:rsid w:val="00B05BD9"/>
    <w:rsid w:val="00B05C0C"/>
    <w:rsid w:val="00B05DD1"/>
    <w:rsid w:val="00B061EC"/>
    <w:rsid w:val="00B0626A"/>
    <w:rsid w:val="00B0652F"/>
    <w:rsid w:val="00B066AD"/>
    <w:rsid w:val="00B06750"/>
    <w:rsid w:val="00B067FE"/>
    <w:rsid w:val="00B06964"/>
    <w:rsid w:val="00B06D07"/>
    <w:rsid w:val="00B06E15"/>
    <w:rsid w:val="00B0732B"/>
    <w:rsid w:val="00B07752"/>
    <w:rsid w:val="00B0777F"/>
    <w:rsid w:val="00B07861"/>
    <w:rsid w:val="00B07A18"/>
    <w:rsid w:val="00B10080"/>
    <w:rsid w:val="00B10439"/>
    <w:rsid w:val="00B10570"/>
    <w:rsid w:val="00B109C3"/>
    <w:rsid w:val="00B109FB"/>
    <w:rsid w:val="00B10C41"/>
    <w:rsid w:val="00B10D4A"/>
    <w:rsid w:val="00B1114A"/>
    <w:rsid w:val="00B11404"/>
    <w:rsid w:val="00B11B0C"/>
    <w:rsid w:val="00B11B3B"/>
    <w:rsid w:val="00B11DDF"/>
    <w:rsid w:val="00B11F36"/>
    <w:rsid w:val="00B127E4"/>
    <w:rsid w:val="00B12AC9"/>
    <w:rsid w:val="00B12E1A"/>
    <w:rsid w:val="00B1304A"/>
    <w:rsid w:val="00B1339D"/>
    <w:rsid w:val="00B1372F"/>
    <w:rsid w:val="00B1395F"/>
    <w:rsid w:val="00B13A28"/>
    <w:rsid w:val="00B13AAF"/>
    <w:rsid w:val="00B13B94"/>
    <w:rsid w:val="00B13C98"/>
    <w:rsid w:val="00B13E6E"/>
    <w:rsid w:val="00B1414F"/>
    <w:rsid w:val="00B1447D"/>
    <w:rsid w:val="00B14605"/>
    <w:rsid w:val="00B148DF"/>
    <w:rsid w:val="00B14DB1"/>
    <w:rsid w:val="00B14DFD"/>
    <w:rsid w:val="00B14E2B"/>
    <w:rsid w:val="00B1585D"/>
    <w:rsid w:val="00B15950"/>
    <w:rsid w:val="00B15D9B"/>
    <w:rsid w:val="00B163E5"/>
    <w:rsid w:val="00B16D24"/>
    <w:rsid w:val="00B16D8B"/>
    <w:rsid w:val="00B16E78"/>
    <w:rsid w:val="00B16E99"/>
    <w:rsid w:val="00B16EC9"/>
    <w:rsid w:val="00B17340"/>
    <w:rsid w:val="00B173BD"/>
    <w:rsid w:val="00B173D4"/>
    <w:rsid w:val="00B176BD"/>
    <w:rsid w:val="00B179AB"/>
    <w:rsid w:val="00B17C51"/>
    <w:rsid w:val="00B17ED3"/>
    <w:rsid w:val="00B17F34"/>
    <w:rsid w:val="00B20146"/>
    <w:rsid w:val="00B20903"/>
    <w:rsid w:val="00B20C42"/>
    <w:rsid w:val="00B20EF3"/>
    <w:rsid w:val="00B21554"/>
    <w:rsid w:val="00B219C0"/>
    <w:rsid w:val="00B21AE3"/>
    <w:rsid w:val="00B21B7A"/>
    <w:rsid w:val="00B21E92"/>
    <w:rsid w:val="00B220EF"/>
    <w:rsid w:val="00B22A7B"/>
    <w:rsid w:val="00B22B21"/>
    <w:rsid w:val="00B22B91"/>
    <w:rsid w:val="00B22D51"/>
    <w:rsid w:val="00B22E7E"/>
    <w:rsid w:val="00B23120"/>
    <w:rsid w:val="00B238E3"/>
    <w:rsid w:val="00B23B08"/>
    <w:rsid w:val="00B23E5A"/>
    <w:rsid w:val="00B24165"/>
    <w:rsid w:val="00B241EF"/>
    <w:rsid w:val="00B2438D"/>
    <w:rsid w:val="00B247F6"/>
    <w:rsid w:val="00B24E63"/>
    <w:rsid w:val="00B2512D"/>
    <w:rsid w:val="00B254DF"/>
    <w:rsid w:val="00B25542"/>
    <w:rsid w:val="00B25668"/>
    <w:rsid w:val="00B25BD0"/>
    <w:rsid w:val="00B25E79"/>
    <w:rsid w:val="00B26267"/>
    <w:rsid w:val="00B263DE"/>
    <w:rsid w:val="00B26B3B"/>
    <w:rsid w:val="00B26C47"/>
    <w:rsid w:val="00B27C0E"/>
    <w:rsid w:val="00B30009"/>
    <w:rsid w:val="00B3015D"/>
    <w:rsid w:val="00B3056E"/>
    <w:rsid w:val="00B3092D"/>
    <w:rsid w:val="00B309FD"/>
    <w:rsid w:val="00B30CB1"/>
    <w:rsid w:val="00B314D0"/>
    <w:rsid w:val="00B31901"/>
    <w:rsid w:val="00B32031"/>
    <w:rsid w:val="00B321D7"/>
    <w:rsid w:val="00B32A20"/>
    <w:rsid w:val="00B32B9B"/>
    <w:rsid w:val="00B32BAB"/>
    <w:rsid w:val="00B32FBB"/>
    <w:rsid w:val="00B3314F"/>
    <w:rsid w:val="00B33236"/>
    <w:rsid w:val="00B33D60"/>
    <w:rsid w:val="00B3471C"/>
    <w:rsid w:val="00B3490D"/>
    <w:rsid w:val="00B34C94"/>
    <w:rsid w:val="00B34CC8"/>
    <w:rsid w:val="00B34D46"/>
    <w:rsid w:val="00B355EE"/>
    <w:rsid w:val="00B35C5F"/>
    <w:rsid w:val="00B35EDA"/>
    <w:rsid w:val="00B36597"/>
    <w:rsid w:val="00B36610"/>
    <w:rsid w:val="00B3662E"/>
    <w:rsid w:val="00B3668D"/>
    <w:rsid w:val="00B368DA"/>
    <w:rsid w:val="00B36BE2"/>
    <w:rsid w:val="00B37519"/>
    <w:rsid w:val="00B37628"/>
    <w:rsid w:val="00B3799A"/>
    <w:rsid w:val="00B37DF7"/>
    <w:rsid w:val="00B37E29"/>
    <w:rsid w:val="00B402D1"/>
    <w:rsid w:val="00B4090A"/>
    <w:rsid w:val="00B40C17"/>
    <w:rsid w:val="00B40F3F"/>
    <w:rsid w:val="00B4101F"/>
    <w:rsid w:val="00B413BC"/>
    <w:rsid w:val="00B413CD"/>
    <w:rsid w:val="00B41817"/>
    <w:rsid w:val="00B418D8"/>
    <w:rsid w:val="00B41AD3"/>
    <w:rsid w:val="00B4233D"/>
    <w:rsid w:val="00B42530"/>
    <w:rsid w:val="00B4253A"/>
    <w:rsid w:val="00B4256C"/>
    <w:rsid w:val="00B426FF"/>
    <w:rsid w:val="00B42737"/>
    <w:rsid w:val="00B43507"/>
    <w:rsid w:val="00B43582"/>
    <w:rsid w:val="00B43635"/>
    <w:rsid w:val="00B43936"/>
    <w:rsid w:val="00B439E3"/>
    <w:rsid w:val="00B43BC8"/>
    <w:rsid w:val="00B43D33"/>
    <w:rsid w:val="00B4428F"/>
    <w:rsid w:val="00B4447D"/>
    <w:rsid w:val="00B445C5"/>
    <w:rsid w:val="00B445EF"/>
    <w:rsid w:val="00B447FC"/>
    <w:rsid w:val="00B44E62"/>
    <w:rsid w:val="00B44FE3"/>
    <w:rsid w:val="00B450E0"/>
    <w:rsid w:val="00B451EE"/>
    <w:rsid w:val="00B4531F"/>
    <w:rsid w:val="00B45597"/>
    <w:rsid w:val="00B4586D"/>
    <w:rsid w:val="00B45D8D"/>
    <w:rsid w:val="00B463CF"/>
    <w:rsid w:val="00B465C1"/>
    <w:rsid w:val="00B50051"/>
    <w:rsid w:val="00B50077"/>
    <w:rsid w:val="00B5039D"/>
    <w:rsid w:val="00B508C6"/>
    <w:rsid w:val="00B509E7"/>
    <w:rsid w:val="00B50D7C"/>
    <w:rsid w:val="00B50F22"/>
    <w:rsid w:val="00B51809"/>
    <w:rsid w:val="00B519CB"/>
    <w:rsid w:val="00B51CB0"/>
    <w:rsid w:val="00B52564"/>
    <w:rsid w:val="00B5266C"/>
    <w:rsid w:val="00B5273B"/>
    <w:rsid w:val="00B528BB"/>
    <w:rsid w:val="00B52B34"/>
    <w:rsid w:val="00B52CAC"/>
    <w:rsid w:val="00B52CE2"/>
    <w:rsid w:val="00B53056"/>
    <w:rsid w:val="00B533B5"/>
    <w:rsid w:val="00B53442"/>
    <w:rsid w:val="00B5391D"/>
    <w:rsid w:val="00B53B6E"/>
    <w:rsid w:val="00B53DEF"/>
    <w:rsid w:val="00B53F64"/>
    <w:rsid w:val="00B540BB"/>
    <w:rsid w:val="00B541D6"/>
    <w:rsid w:val="00B549ED"/>
    <w:rsid w:val="00B54AC2"/>
    <w:rsid w:val="00B54C74"/>
    <w:rsid w:val="00B54CE3"/>
    <w:rsid w:val="00B54D9B"/>
    <w:rsid w:val="00B55306"/>
    <w:rsid w:val="00B5539C"/>
    <w:rsid w:val="00B5545E"/>
    <w:rsid w:val="00B5553A"/>
    <w:rsid w:val="00B5580A"/>
    <w:rsid w:val="00B55D0F"/>
    <w:rsid w:val="00B55D12"/>
    <w:rsid w:val="00B55D8F"/>
    <w:rsid w:val="00B56071"/>
    <w:rsid w:val="00B561CA"/>
    <w:rsid w:val="00B561FD"/>
    <w:rsid w:val="00B567AC"/>
    <w:rsid w:val="00B5683B"/>
    <w:rsid w:val="00B56DE5"/>
    <w:rsid w:val="00B56EEE"/>
    <w:rsid w:val="00B575C1"/>
    <w:rsid w:val="00B57715"/>
    <w:rsid w:val="00B577F3"/>
    <w:rsid w:val="00B579BD"/>
    <w:rsid w:val="00B579C9"/>
    <w:rsid w:val="00B604F5"/>
    <w:rsid w:val="00B60696"/>
    <w:rsid w:val="00B606D9"/>
    <w:rsid w:val="00B60E1B"/>
    <w:rsid w:val="00B60EE3"/>
    <w:rsid w:val="00B617B0"/>
    <w:rsid w:val="00B61DAC"/>
    <w:rsid w:val="00B62139"/>
    <w:rsid w:val="00B622B3"/>
    <w:rsid w:val="00B62CCA"/>
    <w:rsid w:val="00B62E3E"/>
    <w:rsid w:val="00B62FC0"/>
    <w:rsid w:val="00B63085"/>
    <w:rsid w:val="00B63324"/>
    <w:rsid w:val="00B63329"/>
    <w:rsid w:val="00B63499"/>
    <w:rsid w:val="00B635EE"/>
    <w:rsid w:val="00B63AAD"/>
    <w:rsid w:val="00B63D54"/>
    <w:rsid w:val="00B6426B"/>
    <w:rsid w:val="00B6444D"/>
    <w:rsid w:val="00B64576"/>
    <w:rsid w:val="00B64894"/>
    <w:rsid w:val="00B64A99"/>
    <w:rsid w:val="00B6524B"/>
    <w:rsid w:val="00B65355"/>
    <w:rsid w:val="00B655E9"/>
    <w:rsid w:val="00B65803"/>
    <w:rsid w:val="00B65828"/>
    <w:rsid w:val="00B658F7"/>
    <w:rsid w:val="00B65A3B"/>
    <w:rsid w:val="00B65C8D"/>
    <w:rsid w:val="00B65D60"/>
    <w:rsid w:val="00B660FB"/>
    <w:rsid w:val="00B6610F"/>
    <w:rsid w:val="00B667E4"/>
    <w:rsid w:val="00B67455"/>
    <w:rsid w:val="00B67459"/>
    <w:rsid w:val="00B678DE"/>
    <w:rsid w:val="00B67981"/>
    <w:rsid w:val="00B7010D"/>
    <w:rsid w:val="00B701C0"/>
    <w:rsid w:val="00B70433"/>
    <w:rsid w:val="00B704C5"/>
    <w:rsid w:val="00B704E1"/>
    <w:rsid w:val="00B7059C"/>
    <w:rsid w:val="00B7068A"/>
    <w:rsid w:val="00B706B7"/>
    <w:rsid w:val="00B70D21"/>
    <w:rsid w:val="00B712AF"/>
    <w:rsid w:val="00B71644"/>
    <w:rsid w:val="00B718DD"/>
    <w:rsid w:val="00B71A48"/>
    <w:rsid w:val="00B71DEF"/>
    <w:rsid w:val="00B71F98"/>
    <w:rsid w:val="00B72214"/>
    <w:rsid w:val="00B72786"/>
    <w:rsid w:val="00B72AE5"/>
    <w:rsid w:val="00B72C51"/>
    <w:rsid w:val="00B737B6"/>
    <w:rsid w:val="00B73A8F"/>
    <w:rsid w:val="00B73F17"/>
    <w:rsid w:val="00B73F5C"/>
    <w:rsid w:val="00B74167"/>
    <w:rsid w:val="00B74367"/>
    <w:rsid w:val="00B75535"/>
    <w:rsid w:val="00B75938"/>
    <w:rsid w:val="00B75C5F"/>
    <w:rsid w:val="00B75F0A"/>
    <w:rsid w:val="00B762BB"/>
    <w:rsid w:val="00B768CE"/>
    <w:rsid w:val="00B76930"/>
    <w:rsid w:val="00B76D5B"/>
    <w:rsid w:val="00B77235"/>
    <w:rsid w:val="00B77424"/>
    <w:rsid w:val="00B777D1"/>
    <w:rsid w:val="00B7785C"/>
    <w:rsid w:val="00B77A0F"/>
    <w:rsid w:val="00B77AFA"/>
    <w:rsid w:val="00B8012C"/>
    <w:rsid w:val="00B808D3"/>
    <w:rsid w:val="00B80D96"/>
    <w:rsid w:val="00B80E5D"/>
    <w:rsid w:val="00B80F9F"/>
    <w:rsid w:val="00B80FA1"/>
    <w:rsid w:val="00B80FBC"/>
    <w:rsid w:val="00B81344"/>
    <w:rsid w:val="00B81832"/>
    <w:rsid w:val="00B81946"/>
    <w:rsid w:val="00B81961"/>
    <w:rsid w:val="00B81A2D"/>
    <w:rsid w:val="00B81C9F"/>
    <w:rsid w:val="00B81F89"/>
    <w:rsid w:val="00B82008"/>
    <w:rsid w:val="00B823C5"/>
    <w:rsid w:val="00B82733"/>
    <w:rsid w:val="00B827AB"/>
    <w:rsid w:val="00B82940"/>
    <w:rsid w:val="00B829A4"/>
    <w:rsid w:val="00B82ABE"/>
    <w:rsid w:val="00B82B60"/>
    <w:rsid w:val="00B82DDC"/>
    <w:rsid w:val="00B83200"/>
    <w:rsid w:val="00B8390D"/>
    <w:rsid w:val="00B83B7D"/>
    <w:rsid w:val="00B840AB"/>
    <w:rsid w:val="00B841A2"/>
    <w:rsid w:val="00B843D6"/>
    <w:rsid w:val="00B844B9"/>
    <w:rsid w:val="00B84747"/>
    <w:rsid w:val="00B8496E"/>
    <w:rsid w:val="00B84AB6"/>
    <w:rsid w:val="00B84C6F"/>
    <w:rsid w:val="00B84EA5"/>
    <w:rsid w:val="00B85546"/>
    <w:rsid w:val="00B855F1"/>
    <w:rsid w:val="00B857A8"/>
    <w:rsid w:val="00B85884"/>
    <w:rsid w:val="00B859FC"/>
    <w:rsid w:val="00B85CD6"/>
    <w:rsid w:val="00B86636"/>
    <w:rsid w:val="00B86ABC"/>
    <w:rsid w:val="00B87BF7"/>
    <w:rsid w:val="00B9037B"/>
    <w:rsid w:val="00B90793"/>
    <w:rsid w:val="00B90853"/>
    <w:rsid w:val="00B909D3"/>
    <w:rsid w:val="00B909F6"/>
    <w:rsid w:val="00B90CE1"/>
    <w:rsid w:val="00B918A1"/>
    <w:rsid w:val="00B91E1D"/>
    <w:rsid w:val="00B91E21"/>
    <w:rsid w:val="00B91FD5"/>
    <w:rsid w:val="00B92047"/>
    <w:rsid w:val="00B92052"/>
    <w:rsid w:val="00B920F9"/>
    <w:rsid w:val="00B9239D"/>
    <w:rsid w:val="00B92603"/>
    <w:rsid w:val="00B926E2"/>
    <w:rsid w:val="00B9298C"/>
    <w:rsid w:val="00B92AA4"/>
    <w:rsid w:val="00B934B9"/>
    <w:rsid w:val="00B93AD7"/>
    <w:rsid w:val="00B93B51"/>
    <w:rsid w:val="00B93E1B"/>
    <w:rsid w:val="00B93FA9"/>
    <w:rsid w:val="00B9403F"/>
    <w:rsid w:val="00B940B1"/>
    <w:rsid w:val="00B94168"/>
    <w:rsid w:val="00B94394"/>
    <w:rsid w:val="00B94923"/>
    <w:rsid w:val="00B94CA9"/>
    <w:rsid w:val="00B94D65"/>
    <w:rsid w:val="00B94DA3"/>
    <w:rsid w:val="00B951E2"/>
    <w:rsid w:val="00B9521F"/>
    <w:rsid w:val="00B955B7"/>
    <w:rsid w:val="00B959A5"/>
    <w:rsid w:val="00B95ECE"/>
    <w:rsid w:val="00B96096"/>
    <w:rsid w:val="00B96545"/>
    <w:rsid w:val="00B966FD"/>
    <w:rsid w:val="00B96797"/>
    <w:rsid w:val="00B96FA7"/>
    <w:rsid w:val="00B974AD"/>
    <w:rsid w:val="00B974BC"/>
    <w:rsid w:val="00B97991"/>
    <w:rsid w:val="00B97B4B"/>
    <w:rsid w:val="00BA0015"/>
    <w:rsid w:val="00BA02C3"/>
    <w:rsid w:val="00BA0381"/>
    <w:rsid w:val="00BA0A07"/>
    <w:rsid w:val="00BA0C80"/>
    <w:rsid w:val="00BA0D43"/>
    <w:rsid w:val="00BA0F50"/>
    <w:rsid w:val="00BA0FD7"/>
    <w:rsid w:val="00BA2093"/>
    <w:rsid w:val="00BA2389"/>
    <w:rsid w:val="00BA2742"/>
    <w:rsid w:val="00BA27B7"/>
    <w:rsid w:val="00BA27EF"/>
    <w:rsid w:val="00BA2951"/>
    <w:rsid w:val="00BA2A4E"/>
    <w:rsid w:val="00BA2B83"/>
    <w:rsid w:val="00BA2BF0"/>
    <w:rsid w:val="00BA3459"/>
    <w:rsid w:val="00BA34A9"/>
    <w:rsid w:val="00BA3B23"/>
    <w:rsid w:val="00BA3C16"/>
    <w:rsid w:val="00BA3C71"/>
    <w:rsid w:val="00BA41C6"/>
    <w:rsid w:val="00BA42F9"/>
    <w:rsid w:val="00BA4C4A"/>
    <w:rsid w:val="00BA5002"/>
    <w:rsid w:val="00BA51B9"/>
    <w:rsid w:val="00BA570D"/>
    <w:rsid w:val="00BA5A17"/>
    <w:rsid w:val="00BA5CCF"/>
    <w:rsid w:val="00BA5EFA"/>
    <w:rsid w:val="00BA6158"/>
    <w:rsid w:val="00BA65AD"/>
    <w:rsid w:val="00BA6634"/>
    <w:rsid w:val="00BA6DCA"/>
    <w:rsid w:val="00BA7077"/>
    <w:rsid w:val="00BA76C2"/>
    <w:rsid w:val="00BA77B3"/>
    <w:rsid w:val="00BA7877"/>
    <w:rsid w:val="00BA7B25"/>
    <w:rsid w:val="00BB0003"/>
    <w:rsid w:val="00BB0377"/>
    <w:rsid w:val="00BB0391"/>
    <w:rsid w:val="00BB06B6"/>
    <w:rsid w:val="00BB1472"/>
    <w:rsid w:val="00BB158F"/>
    <w:rsid w:val="00BB17EE"/>
    <w:rsid w:val="00BB1907"/>
    <w:rsid w:val="00BB1A61"/>
    <w:rsid w:val="00BB1D41"/>
    <w:rsid w:val="00BB201E"/>
    <w:rsid w:val="00BB2506"/>
    <w:rsid w:val="00BB274A"/>
    <w:rsid w:val="00BB2D22"/>
    <w:rsid w:val="00BB2F4A"/>
    <w:rsid w:val="00BB3DCE"/>
    <w:rsid w:val="00BB3EAE"/>
    <w:rsid w:val="00BB4108"/>
    <w:rsid w:val="00BB4227"/>
    <w:rsid w:val="00BB4457"/>
    <w:rsid w:val="00BB4593"/>
    <w:rsid w:val="00BB46A7"/>
    <w:rsid w:val="00BB4971"/>
    <w:rsid w:val="00BB497A"/>
    <w:rsid w:val="00BB4AF4"/>
    <w:rsid w:val="00BB4DB0"/>
    <w:rsid w:val="00BB5D7E"/>
    <w:rsid w:val="00BB6393"/>
    <w:rsid w:val="00BB6981"/>
    <w:rsid w:val="00BB6C36"/>
    <w:rsid w:val="00BB6DD5"/>
    <w:rsid w:val="00BB6E9F"/>
    <w:rsid w:val="00BB713B"/>
    <w:rsid w:val="00BB73C7"/>
    <w:rsid w:val="00BB7779"/>
    <w:rsid w:val="00BB77AE"/>
    <w:rsid w:val="00BB795F"/>
    <w:rsid w:val="00BB7988"/>
    <w:rsid w:val="00BB7F5F"/>
    <w:rsid w:val="00BB7FD1"/>
    <w:rsid w:val="00BC02D9"/>
    <w:rsid w:val="00BC0536"/>
    <w:rsid w:val="00BC06B2"/>
    <w:rsid w:val="00BC0751"/>
    <w:rsid w:val="00BC0A22"/>
    <w:rsid w:val="00BC0DDF"/>
    <w:rsid w:val="00BC0F43"/>
    <w:rsid w:val="00BC10A5"/>
    <w:rsid w:val="00BC10EA"/>
    <w:rsid w:val="00BC11F0"/>
    <w:rsid w:val="00BC1ED0"/>
    <w:rsid w:val="00BC20CC"/>
    <w:rsid w:val="00BC20DD"/>
    <w:rsid w:val="00BC2653"/>
    <w:rsid w:val="00BC2669"/>
    <w:rsid w:val="00BC275C"/>
    <w:rsid w:val="00BC28C9"/>
    <w:rsid w:val="00BC2B59"/>
    <w:rsid w:val="00BC2EE1"/>
    <w:rsid w:val="00BC3189"/>
    <w:rsid w:val="00BC319D"/>
    <w:rsid w:val="00BC3A4E"/>
    <w:rsid w:val="00BC3C77"/>
    <w:rsid w:val="00BC3D70"/>
    <w:rsid w:val="00BC3FDC"/>
    <w:rsid w:val="00BC4621"/>
    <w:rsid w:val="00BC4980"/>
    <w:rsid w:val="00BC498B"/>
    <w:rsid w:val="00BC4995"/>
    <w:rsid w:val="00BC512F"/>
    <w:rsid w:val="00BC54B0"/>
    <w:rsid w:val="00BC560A"/>
    <w:rsid w:val="00BC5787"/>
    <w:rsid w:val="00BC582E"/>
    <w:rsid w:val="00BC5B39"/>
    <w:rsid w:val="00BC5CC0"/>
    <w:rsid w:val="00BC5CCD"/>
    <w:rsid w:val="00BC5D9A"/>
    <w:rsid w:val="00BC5DE9"/>
    <w:rsid w:val="00BC6059"/>
    <w:rsid w:val="00BC62B4"/>
    <w:rsid w:val="00BC62D3"/>
    <w:rsid w:val="00BC63E4"/>
    <w:rsid w:val="00BC6412"/>
    <w:rsid w:val="00BC649C"/>
    <w:rsid w:val="00BC692F"/>
    <w:rsid w:val="00BC693A"/>
    <w:rsid w:val="00BC6D97"/>
    <w:rsid w:val="00BC74D2"/>
    <w:rsid w:val="00BC79EA"/>
    <w:rsid w:val="00BC7ADB"/>
    <w:rsid w:val="00BC7BEC"/>
    <w:rsid w:val="00BD0712"/>
    <w:rsid w:val="00BD0A87"/>
    <w:rsid w:val="00BD0AF4"/>
    <w:rsid w:val="00BD0C1A"/>
    <w:rsid w:val="00BD154A"/>
    <w:rsid w:val="00BD1B4B"/>
    <w:rsid w:val="00BD1C96"/>
    <w:rsid w:val="00BD20AB"/>
    <w:rsid w:val="00BD26E4"/>
    <w:rsid w:val="00BD295F"/>
    <w:rsid w:val="00BD2A84"/>
    <w:rsid w:val="00BD2CEE"/>
    <w:rsid w:val="00BD2E6D"/>
    <w:rsid w:val="00BD3131"/>
    <w:rsid w:val="00BD316E"/>
    <w:rsid w:val="00BD350E"/>
    <w:rsid w:val="00BD3B2C"/>
    <w:rsid w:val="00BD4522"/>
    <w:rsid w:val="00BD4610"/>
    <w:rsid w:val="00BD4785"/>
    <w:rsid w:val="00BD4DD5"/>
    <w:rsid w:val="00BD575F"/>
    <w:rsid w:val="00BD6034"/>
    <w:rsid w:val="00BD6197"/>
    <w:rsid w:val="00BD6373"/>
    <w:rsid w:val="00BD73AE"/>
    <w:rsid w:val="00BD7461"/>
    <w:rsid w:val="00BD7AB0"/>
    <w:rsid w:val="00BE009A"/>
    <w:rsid w:val="00BE02AD"/>
    <w:rsid w:val="00BE03A8"/>
    <w:rsid w:val="00BE0479"/>
    <w:rsid w:val="00BE09DD"/>
    <w:rsid w:val="00BE0B0F"/>
    <w:rsid w:val="00BE0C9E"/>
    <w:rsid w:val="00BE0D91"/>
    <w:rsid w:val="00BE10D2"/>
    <w:rsid w:val="00BE163A"/>
    <w:rsid w:val="00BE1678"/>
    <w:rsid w:val="00BE1EA6"/>
    <w:rsid w:val="00BE1F6E"/>
    <w:rsid w:val="00BE200F"/>
    <w:rsid w:val="00BE221F"/>
    <w:rsid w:val="00BE23F6"/>
    <w:rsid w:val="00BE24A7"/>
    <w:rsid w:val="00BE25C1"/>
    <w:rsid w:val="00BE2AA2"/>
    <w:rsid w:val="00BE3438"/>
    <w:rsid w:val="00BE3858"/>
    <w:rsid w:val="00BE3D55"/>
    <w:rsid w:val="00BE3F1B"/>
    <w:rsid w:val="00BE40D8"/>
    <w:rsid w:val="00BE4709"/>
    <w:rsid w:val="00BE4939"/>
    <w:rsid w:val="00BE499B"/>
    <w:rsid w:val="00BE4CF4"/>
    <w:rsid w:val="00BE50A8"/>
    <w:rsid w:val="00BE56E1"/>
    <w:rsid w:val="00BE573D"/>
    <w:rsid w:val="00BE59F6"/>
    <w:rsid w:val="00BE5AAE"/>
    <w:rsid w:val="00BE5DB2"/>
    <w:rsid w:val="00BE677B"/>
    <w:rsid w:val="00BE6B85"/>
    <w:rsid w:val="00BE6C1D"/>
    <w:rsid w:val="00BE6C54"/>
    <w:rsid w:val="00BE6CDE"/>
    <w:rsid w:val="00BE6F43"/>
    <w:rsid w:val="00BE70A3"/>
    <w:rsid w:val="00BE70E7"/>
    <w:rsid w:val="00BE7212"/>
    <w:rsid w:val="00BE7740"/>
    <w:rsid w:val="00BE7847"/>
    <w:rsid w:val="00BE7A2A"/>
    <w:rsid w:val="00BE7CDE"/>
    <w:rsid w:val="00BE7CE6"/>
    <w:rsid w:val="00BE7E03"/>
    <w:rsid w:val="00BE7F5A"/>
    <w:rsid w:val="00BF0091"/>
    <w:rsid w:val="00BF017F"/>
    <w:rsid w:val="00BF03F5"/>
    <w:rsid w:val="00BF08A0"/>
    <w:rsid w:val="00BF0A7F"/>
    <w:rsid w:val="00BF0A8C"/>
    <w:rsid w:val="00BF0B59"/>
    <w:rsid w:val="00BF120E"/>
    <w:rsid w:val="00BF12F2"/>
    <w:rsid w:val="00BF15AB"/>
    <w:rsid w:val="00BF195E"/>
    <w:rsid w:val="00BF20D3"/>
    <w:rsid w:val="00BF2204"/>
    <w:rsid w:val="00BF2207"/>
    <w:rsid w:val="00BF22A6"/>
    <w:rsid w:val="00BF2556"/>
    <w:rsid w:val="00BF26DF"/>
    <w:rsid w:val="00BF2909"/>
    <w:rsid w:val="00BF2A34"/>
    <w:rsid w:val="00BF2A89"/>
    <w:rsid w:val="00BF2AA1"/>
    <w:rsid w:val="00BF33EB"/>
    <w:rsid w:val="00BF353B"/>
    <w:rsid w:val="00BF3688"/>
    <w:rsid w:val="00BF3AA0"/>
    <w:rsid w:val="00BF3DA8"/>
    <w:rsid w:val="00BF42C3"/>
    <w:rsid w:val="00BF44D2"/>
    <w:rsid w:val="00BF4685"/>
    <w:rsid w:val="00BF47B5"/>
    <w:rsid w:val="00BF4BF3"/>
    <w:rsid w:val="00BF500B"/>
    <w:rsid w:val="00BF53FB"/>
    <w:rsid w:val="00BF5550"/>
    <w:rsid w:val="00BF5610"/>
    <w:rsid w:val="00BF57E8"/>
    <w:rsid w:val="00BF5A03"/>
    <w:rsid w:val="00BF5C77"/>
    <w:rsid w:val="00BF5CAC"/>
    <w:rsid w:val="00BF5DC0"/>
    <w:rsid w:val="00BF5E6C"/>
    <w:rsid w:val="00BF6535"/>
    <w:rsid w:val="00BF697C"/>
    <w:rsid w:val="00BF6A18"/>
    <w:rsid w:val="00BF6A95"/>
    <w:rsid w:val="00BF6AF0"/>
    <w:rsid w:val="00BF72ED"/>
    <w:rsid w:val="00BF7502"/>
    <w:rsid w:val="00BF770E"/>
    <w:rsid w:val="00BF7792"/>
    <w:rsid w:val="00BF7A55"/>
    <w:rsid w:val="00BF7B50"/>
    <w:rsid w:val="00BF7D40"/>
    <w:rsid w:val="00C007EF"/>
    <w:rsid w:val="00C00B89"/>
    <w:rsid w:val="00C0112F"/>
    <w:rsid w:val="00C013CD"/>
    <w:rsid w:val="00C018E3"/>
    <w:rsid w:val="00C019A8"/>
    <w:rsid w:val="00C01C98"/>
    <w:rsid w:val="00C01F8B"/>
    <w:rsid w:val="00C0261E"/>
    <w:rsid w:val="00C02C2C"/>
    <w:rsid w:val="00C02F05"/>
    <w:rsid w:val="00C0302D"/>
    <w:rsid w:val="00C03081"/>
    <w:rsid w:val="00C03241"/>
    <w:rsid w:val="00C03549"/>
    <w:rsid w:val="00C03AF5"/>
    <w:rsid w:val="00C03B06"/>
    <w:rsid w:val="00C03E08"/>
    <w:rsid w:val="00C0415E"/>
    <w:rsid w:val="00C04386"/>
    <w:rsid w:val="00C04421"/>
    <w:rsid w:val="00C0471E"/>
    <w:rsid w:val="00C05F53"/>
    <w:rsid w:val="00C05FF7"/>
    <w:rsid w:val="00C07042"/>
    <w:rsid w:val="00C07357"/>
    <w:rsid w:val="00C0743F"/>
    <w:rsid w:val="00C079C1"/>
    <w:rsid w:val="00C07CEE"/>
    <w:rsid w:val="00C101A8"/>
    <w:rsid w:val="00C101CF"/>
    <w:rsid w:val="00C10276"/>
    <w:rsid w:val="00C1037E"/>
    <w:rsid w:val="00C103A9"/>
    <w:rsid w:val="00C10744"/>
    <w:rsid w:val="00C107C7"/>
    <w:rsid w:val="00C10972"/>
    <w:rsid w:val="00C10B6B"/>
    <w:rsid w:val="00C10D2F"/>
    <w:rsid w:val="00C10E8C"/>
    <w:rsid w:val="00C10F77"/>
    <w:rsid w:val="00C11239"/>
    <w:rsid w:val="00C113B1"/>
    <w:rsid w:val="00C1198F"/>
    <w:rsid w:val="00C12BA9"/>
    <w:rsid w:val="00C12D1E"/>
    <w:rsid w:val="00C13377"/>
    <w:rsid w:val="00C134F2"/>
    <w:rsid w:val="00C136B9"/>
    <w:rsid w:val="00C13F62"/>
    <w:rsid w:val="00C144F9"/>
    <w:rsid w:val="00C14770"/>
    <w:rsid w:val="00C14D40"/>
    <w:rsid w:val="00C14D43"/>
    <w:rsid w:val="00C14DD0"/>
    <w:rsid w:val="00C154D0"/>
    <w:rsid w:val="00C15554"/>
    <w:rsid w:val="00C15A1E"/>
    <w:rsid w:val="00C15B1A"/>
    <w:rsid w:val="00C15BEB"/>
    <w:rsid w:val="00C1616C"/>
    <w:rsid w:val="00C16204"/>
    <w:rsid w:val="00C1637C"/>
    <w:rsid w:val="00C16A77"/>
    <w:rsid w:val="00C16A8D"/>
    <w:rsid w:val="00C16A96"/>
    <w:rsid w:val="00C16B4F"/>
    <w:rsid w:val="00C16CFA"/>
    <w:rsid w:val="00C16DFF"/>
    <w:rsid w:val="00C16F9D"/>
    <w:rsid w:val="00C16FBC"/>
    <w:rsid w:val="00C17019"/>
    <w:rsid w:val="00C1705B"/>
    <w:rsid w:val="00C17088"/>
    <w:rsid w:val="00C17260"/>
    <w:rsid w:val="00C17855"/>
    <w:rsid w:val="00C17E22"/>
    <w:rsid w:val="00C20016"/>
    <w:rsid w:val="00C202DF"/>
    <w:rsid w:val="00C204E3"/>
    <w:rsid w:val="00C20503"/>
    <w:rsid w:val="00C20B9B"/>
    <w:rsid w:val="00C20DAF"/>
    <w:rsid w:val="00C20DC6"/>
    <w:rsid w:val="00C20FD7"/>
    <w:rsid w:val="00C210D7"/>
    <w:rsid w:val="00C21150"/>
    <w:rsid w:val="00C212CE"/>
    <w:rsid w:val="00C21584"/>
    <w:rsid w:val="00C21654"/>
    <w:rsid w:val="00C2225B"/>
    <w:rsid w:val="00C22281"/>
    <w:rsid w:val="00C22793"/>
    <w:rsid w:val="00C22A20"/>
    <w:rsid w:val="00C23425"/>
    <w:rsid w:val="00C23478"/>
    <w:rsid w:val="00C238FF"/>
    <w:rsid w:val="00C23E3C"/>
    <w:rsid w:val="00C23F76"/>
    <w:rsid w:val="00C2452C"/>
    <w:rsid w:val="00C249FB"/>
    <w:rsid w:val="00C24B90"/>
    <w:rsid w:val="00C24EFD"/>
    <w:rsid w:val="00C25451"/>
    <w:rsid w:val="00C25684"/>
    <w:rsid w:val="00C25B7D"/>
    <w:rsid w:val="00C25BDB"/>
    <w:rsid w:val="00C25C8F"/>
    <w:rsid w:val="00C25EC2"/>
    <w:rsid w:val="00C25EFA"/>
    <w:rsid w:val="00C26178"/>
    <w:rsid w:val="00C2627B"/>
    <w:rsid w:val="00C26A36"/>
    <w:rsid w:val="00C26C10"/>
    <w:rsid w:val="00C26D1F"/>
    <w:rsid w:val="00C26D97"/>
    <w:rsid w:val="00C272A6"/>
    <w:rsid w:val="00C2742C"/>
    <w:rsid w:val="00C27598"/>
    <w:rsid w:val="00C278E2"/>
    <w:rsid w:val="00C27C14"/>
    <w:rsid w:val="00C27DDE"/>
    <w:rsid w:val="00C27F0E"/>
    <w:rsid w:val="00C27F31"/>
    <w:rsid w:val="00C30196"/>
    <w:rsid w:val="00C302F5"/>
    <w:rsid w:val="00C30480"/>
    <w:rsid w:val="00C30571"/>
    <w:rsid w:val="00C30918"/>
    <w:rsid w:val="00C30CAE"/>
    <w:rsid w:val="00C30F66"/>
    <w:rsid w:val="00C31256"/>
    <w:rsid w:val="00C313C9"/>
    <w:rsid w:val="00C3140D"/>
    <w:rsid w:val="00C31B31"/>
    <w:rsid w:val="00C31B36"/>
    <w:rsid w:val="00C320A0"/>
    <w:rsid w:val="00C3221C"/>
    <w:rsid w:val="00C322BE"/>
    <w:rsid w:val="00C324AD"/>
    <w:rsid w:val="00C3274C"/>
    <w:rsid w:val="00C32DB0"/>
    <w:rsid w:val="00C32EEB"/>
    <w:rsid w:val="00C3306E"/>
    <w:rsid w:val="00C33127"/>
    <w:rsid w:val="00C3338A"/>
    <w:rsid w:val="00C33434"/>
    <w:rsid w:val="00C338E3"/>
    <w:rsid w:val="00C33FD5"/>
    <w:rsid w:val="00C345FF"/>
    <w:rsid w:val="00C34B5D"/>
    <w:rsid w:val="00C34B61"/>
    <w:rsid w:val="00C34F3D"/>
    <w:rsid w:val="00C34FEB"/>
    <w:rsid w:val="00C353EB"/>
    <w:rsid w:val="00C359A6"/>
    <w:rsid w:val="00C35B46"/>
    <w:rsid w:val="00C35B8A"/>
    <w:rsid w:val="00C35C42"/>
    <w:rsid w:val="00C36631"/>
    <w:rsid w:val="00C367C5"/>
    <w:rsid w:val="00C36900"/>
    <w:rsid w:val="00C36AA5"/>
    <w:rsid w:val="00C36B11"/>
    <w:rsid w:val="00C37018"/>
    <w:rsid w:val="00C3759D"/>
    <w:rsid w:val="00C37B9D"/>
    <w:rsid w:val="00C37BF4"/>
    <w:rsid w:val="00C37EF4"/>
    <w:rsid w:val="00C40429"/>
    <w:rsid w:val="00C4044D"/>
    <w:rsid w:val="00C40AF3"/>
    <w:rsid w:val="00C40D0F"/>
    <w:rsid w:val="00C40E14"/>
    <w:rsid w:val="00C40E3F"/>
    <w:rsid w:val="00C40FAB"/>
    <w:rsid w:val="00C4109E"/>
    <w:rsid w:val="00C4111D"/>
    <w:rsid w:val="00C416C6"/>
    <w:rsid w:val="00C4179D"/>
    <w:rsid w:val="00C417D0"/>
    <w:rsid w:val="00C41867"/>
    <w:rsid w:val="00C4187E"/>
    <w:rsid w:val="00C41896"/>
    <w:rsid w:val="00C41D11"/>
    <w:rsid w:val="00C42533"/>
    <w:rsid w:val="00C4273B"/>
    <w:rsid w:val="00C42862"/>
    <w:rsid w:val="00C42A51"/>
    <w:rsid w:val="00C430B7"/>
    <w:rsid w:val="00C43201"/>
    <w:rsid w:val="00C43415"/>
    <w:rsid w:val="00C43DA8"/>
    <w:rsid w:val="00C44024"/>
    <w:rsid w:val="00C44070"/>
    <w:rsid w:val="00C4477E"/>
    <w:rsid w:val="00C447A3"/>
    <w:rsid w:val="00C448BC"/>
    <w:rsid w:val="00C44CE8"/>
    <w:rsid w:val="00C44E8F"/>
    <w:rsid w:val="00C45100"/>
    <w:rsid w:val="00C4538F"/>
    <w:rsid w:val="00C45D3B"/>
    <w:rsid w:val="00C4635A"/>
    <w:rsid w:val="00C463C1"/>
    <w:rsid w:val="00C4680E"/>
    <w:rsid w:val="00C46BC9"/>
    <w:rsid w:val="00C46D46"/>
    <w:rsid w:val="00C46E06"/>
    <w:rsid w:val="00C46F0F"/>
    <w:rsid w:val="00C46FB2"/>
    <w:rsid w:val="00C47071"/>
    <w:rsid w:val="00C473B2"/>
    <w:rsid w:val="00C474D0"/>
    <w:rsid w:val="00C4796E"/>
    <w:rsid w:val="00C47B66"/>
    <w:rsid w:val="00C47EE3"/>
    <w:rsid w:val="00C47FED"/>
    <w:rsid w:val="00C50060"/>
    <w:rsid w:val="00C502E2"/>
    <w:rsid w:val="00C50A9C"/>
    <w:rsid w:val="00C50CF9"/>
    <w:rsid w:val="00C50D7C"/>
    <w:rsid w:val="00C51342"/>
    <w:rsid w:val="00C51690"/>
    <w:rsid w:val="00C5195A"/>
    <w:rsid w:val="00C51A11"/>
    <w:rsid w:val="00C51B84"/>
    <w:rsid w:val="00C51EE6"/>
    <w:rsid w:val="00C523BA"/>
    <w:rsid w:val="00C524E1"/>
    <w:rsid w:val="00C526DE"/>
    <w:rsid w:val="00C5297B"/>
    <w:rsid w:val="00C52C06"/>
    <w:rsid w:val="00C52C49"/>
    <w:rsid w:val="00C52D89"/>
    <w:rsid w:val="00C53BA3"/>
    <w:rsid w:val="00C53BE0"/>
    <w:rsid w:val="00C53ECF"/>
    <w:rsid w:val="00C548DF"/>
    <w:rsid w:val="00C550C8"/>
    <w:rsid w:val="00C5550C"/>
    <w:rsid w:val="00C555BD"/>
    <w:rsid w:val="00C556BF"/>
    <w:rsid w:val="00C5571E"/>
    <w:rsid w:val="00C55876"/>
    <w:rsid w:val="00C5595F"/>
    <w:rsid w:val="00C55F21"/>
    <w:rsid w:val="00C55F69"/>
    <w:rsid w:val="00C563C8"/>
    <w:rsid w:val="00C5667A"/>
    <w:rsid w:val="00C56884"/>
    <w:rsid w:val="00C568A9"/>
    <w:rsid w:val="00C5695C"/>
    <w:rsid w:val="00C5697D"/>
    <w:rsid w:val="00C56CEF"/>
    <w:rsid w:val="00C57573"/>
    <w:rsid w:val="00C578D4"/>
    <w:rsid w:val="00C57B60"/>
    <w:rsid w:val="00C6063E"/>
    <w:rsid w:val="00C606A0"/>
    <w:rsid w:val="00C609F4"/>
    <w:rsid w:val="00C60D70"/>
    <w:rsid w:val="00C60E68"/>
    <w:rsid w:val="00C61020"/>
    <w:rsid w:val="00C610B4"/>
    <w:rsid w:val="00C611F3"/>
    <w:rsid w:val="00C61292"/>
    <w:rsid w:val="00C617F9"/>
    <w:rsid w:val="00C61F67"/>
    <w:rsid w:val="00C62CCE"/>
    <w:rsid w:val="00C62E7F"/>
    <w:rsid w:val="00C6306C"/>
    <w:rsid w:val="00C635DB"/>
    <w:rsid w:val="00C63A29"/>
    <w:rsid w:val="00C63DE2"/>
    <w:rsid w:val="00C63F66"/>
    <w:rsid w:val="00C6409C"/>
    <w:rsid w:val="00C6431E"/>
    <w:rsid w:val="00C6454B"/>
    <w:rsid w:val="00C64BA0"/>
    <w:rsid w:val="00C64D33"/>
    <w:rsid w:val="00C65233"/>
    <w:rsid w:val="00C65491"/>
    <w:rsid w:val="00C6624F"/>
    <w:rsid w:val="00C66768"/>
    <w:rsid w:val="00C669D1"/>
    <w:rsid w:val="00C66DBA"/>
    <w:rsid w:val="00C67191"/>
    <w:rsid w:val="00C672C8"/>
    <w:rsid w:val="00C673B5"/>
    <w:rsid w:val="00C6740A"/>
    <w:rsid w:val="00C675D4"/>
    <w:rsid w:val="00C67AC8"/>
    <w:rsid w:val="00C67B05"/>
    <w:rsid w:val="00C67EC6"/>
    <w:rsid w:val="00C67FD4"/>
    <w:rsid w:val="00C70135"/>
    <w:rsid w:val="00C70C53"/>
    <w:rsid w:val="00C70CCD"/>
    <w:rsid w:val="00C70D39"/>
    <w:rsid w:val="00C70FE0"/>
    <w:rsid w:val="00C71390"/>
    <w:rsid w:val="00C71584"/>
    <w:rsid w:val="00C719E7"/>
    <w:rsid w:val="00C71A2B"/>
    <w:rsid w:val="00C71B2C"/>
    <w:rsid w:val="00C71EBF"/>
    <w:rsid w:val="00C72FF4"/>
    <w:rsid w:val="00C73542"/>
    <w:rsid w:val="00C73750"/>
    <w:rsid w:val="00C73A78"/>
    <w:rsid w:val="00C73C63"/>
    <w:rsid w:val="00C73E6D"/>
    <w:rsid w:val="00C746BD"/>
    <w:rsid w:val="00C74C79"/>
    <w:rsid w:val="00C75113"/>
    <w:rsid w:val="00C7514B"/>
    <w:rsid w:val="00C751BD"/>
    <w:rsid w:val="00C753A9"/>
    <w:rsid w:val="00C75C4A"/>
    <w:rsid w:val="00C763EB"/>
    <w:rsid w:val="00C76D2F"/>
    <w:rsid w:val="00C7769D"/>
    <w:rsid w:val="00C777FF"/>
    <w:rsid w:val="00C77D4C"/>
    <w:rsid w:val="00C80559"/>
    <w:rsid w:val="00C80C11"/>
    <w:rsid w:val="00C80DA9"/>
    <w:rsid w:val="00C810F6"/>
    <w:rsid w:val="00C813B9"/>
    <w:rsid w:val="00C81558"/>
    <w:rsid w:val="00C819A2"/>
    <w:rsid w:val="00C81B91"/>
    <w:rsid w:val="00C81E35"/>
    <w:rsid w:val="00C81FC6"/>
    <w:rsid w:val="00C822E0"/>
    <w:rsid w:val="00C82A87"/>
    <w:rsid w:val="00C82C87"/>
    <w:rsid w:val="00C82FDC"/>
    <w:rsid w:val="00C8351C"/>
    <w:rsid w:val="00C837A9"/>
    <w:rsid w:val="00C83BA4"/>
    <w:rsid w:val="00C83F06"/>
    <w:rsid w:val="00C840C5"/>
    <w:rsid w:val="00C8423A"/>
    <w:rsid w:val="00C843E6"/>
    <w:rsid w:val="00C84556"/>
    <w:rsid w:val="00C84701"/>
    <w:rsid w:val="00C8485B"/>
    <w:rsid w:val="00C84C6E"/>
    <w:rsid w:val="00C850B4"/>
    <w:rsid w:val="00C852DC"/>
    <w:rsid w:val="00C85317"/>
    <w:rsid w:val="00C8566C"/>
    <w:rsid w:val="00C8582C"/>
    <w:rsid w:val="00C85EC8"/>
    <w:rsid w:val="00C85EE4"/>
    <w:rsid w:val="00C85FC8"/>
    <w:rsid w:val="00C86215"/>
    <w:rsid w:val="00C86773"/>
    <w:rsid w:val="00C86AE0"/>
    <w:rsid w:val="00C86DCF"/>
    <w:rsid w:val="00C86DE9"/>
    <w:rsid w:val="00C86FCE"/>
    <w:rsid w:val="00C87220"/>
    <w:rsid w:val="00C8753C"/>
    <w:rsid w:val="00C8786A"/>
    <w:rsid w:val="00C878C2"/>
    <w:rsid w:val="00C87AF1"/>
    <w:rsid w:val="00C90047"/>
    <w:rsid w:val="00C90480"/>
    <w:rsid w:val="00C90941"/>
    <w:rsid w:val="00C90AA6"/>
    <w:rsid w:val="00C90B8E"/>
    <w:rsid w:val="00C91305"/>
    <w:rsid w:val="00C913C0"/>
    <w:rsid w:val="00C916F7"/>
    <w:rsid w:val="00C91C9F"/>
    <w:rsid w:val="00C91E1C"/>
    <w:rsid w:val="00C9247F"/>
    <w:rsid w:val="00C92D5B"/>
    <w:rsid w:val="00C93269"/>
    <w:rsid w:val="00C932BA"/>
    <w:rsid w:val="00C932C3"/>
    <w:rsid w:val="00C933AE"/>
    <w:rsid w:val="00C93487"/>
    <w:rsid w:val="00C93870"/>
    <w:rsid w:val="00C94144"/>
    <w:rsid w:val="00C94176"/>
    <w:rsid w:val="00C94357"/>
    <w:rsid w:val="00C94696"/>
    <w:rsid w:val="00C94A92"/>
    <w:rsid w:val="00C95F2F"/>
    <w:rsid w:val="00C96149"/>
    <w:rsid w:val="00C96424"/>
    <w:rsid w:val="00C96EF5"/>
    <w:rsid w:val="00C96F28"/>
    <w:rsid w:val="00C96F29"/>
    <w:rsid w:val="00C9737D"/>
    <w:rsid w:val="00C97555"/>
    <w:rsid w:val="00C97EB1"/>
    <w:rsid w:val="00CA095B"/>
    <w:rsid w:val="00CA0C6D"/>
    <w:rsid w:val="00CA14C7"/>
    <w:rsid w:val="00CA1B27"/>
    <w:rsid w:val="00CA20D7"/>
    <w:rsid w:val="00CA2FE2"/>
    <w:rsid w:val="00CA3112"/>
    <w:rsid w:val="00CA3AFC"/>
    <w:rsid w:val="00CA3D98"/>
    <w:rsid w:val="00CA3DEE"/>
    <w:rsid w:val="00CA40DE"/>
    <w:rsid w:val="00CA424B"/>
    <w:rsid w:val="00CA47EB"/>
    <w:rsid w:val="00CA4837"/>
    <w:rsid w:val="00CA48C7"/>
    <w:rsid w:val="00CA48F5"/>
    <w:rsid w:val="00CA4A63"/>
    <w:rsid w:val="00CA4E35"/>
    <w:rsid w:val="00CA515E"/>
    <w:rsid w:val="00CA51D1"/>
    <w:rsid w:val="00CA58BE"/>
    <w:rsid w:val="00CA5A11"/>
    <w:rsid w:val="00CA5AB3"/>
    <w:rsid w:val="00CA5E39"/>
    <w:rsid w:val="00CA6774"/>
    <w:rsid w:val="00CA6AC5"/>
    <w:rsid w:val="00CA6B32"/>
    <w:rsid w:val="00CA77A8"/>
    <w:rsid w:val="00CB04D6"/>
    <w:rsid w:val="00CB08FF"/>
    <w:rsid w:val="00CB092D"/>
    <w:rsid w:val="00CB0CF9"/>
    <w:rsid w:val="00CB101F"/>
    <w:rsid w:val="00CB1344"/>
    <w:rsid w:val="00CB2198"/>
    <w:rsid w:val="00CB274B"/>
    <w:rsid w:val="00CB2998"/>
    <w:rsid w:val="00CB2A0F"/>
    <w:rsid w:val="00CB3417"/>
    <w:rsid w:val="00CB358C"/>
    <w:rsid w:val="00CB3616"/>
    <w:rsid w:val="00CB36BD"/>
    <w:rsid w:val="00CB36C2"/>
    <w:rsid w:val="00CB3AEC"/>
    <w:rsid w:val="00CB3E0E"/>
    <w:rsid w:val="00CB4085"/>
    <w:rsid w:val="00CB40CA"/>
    <w:rsid w:val="00CB4102"/>
    <w:rsid w:val="00CB416A"/>
    <w:rsid w:val="00CB4203"/>
    <w:rsid w:val="00CB429A"/>
    <w:rsid w:val="00CB44B7"/>
    <w:rsid w:val="00CB4C44"/>
    <w:rsid w:val="00CB5146"/>
    <w:rsid w:val="00CB5273"/>
    <w:rsid w:val="00CB552E"/>
    <w:rsid w:val="00CB55FE"/>
    <w:rsid w:val="00CB596A"/>
    <w:rsid w:val="00CB5C7E"/>
    <w:rsid w:val="00CB6203"/>
    <w:rsid w:val="00CB638B"/>
    <w:rsid w:val="00CB659A"/>
    <w:rsid w:val="00CB6681"/>
    <w:rsid w:val="00CB6854"/>
    <w:rsid w:val="00CB7526"/>
    <w:rsid w:val="00CB753F"/>
    <w:rsid w:val="00CB764E"/>
    <w:rsid w:val="00CB7BCC"/>
    <w:rsid w:val="00CB7E70"/>
    <w:rsid w:val="00CC01A6"/>
    <w:rsid w:val="00CC067E"/>
    <w:rsid w:val="00CC086A"/>
    <w:rsid w:val="00CC0AA7"/>
    <w:rsid w:val="00CC0BFB"/>
    <w:rsid w:val="00CC0F95"/>
    <w:rsid w:val="00CC1154"/>
    <w:rsid w:val="00CC12CF"/>
    <w:rsid w:val="00CC1714"/>
    <w:rsid w:val="00CC171F"/>
    <w:rsid w:val="00CC1804"/>
    <w:rsid w:val="00CC1A26"/>
    <w:rsid w:val="00CC1BF3"/>
    <w:rsid w:val="00CC22DE"/>
    <w:rsid w:val="00CC2518"/>
    <w:rsid w:val="00CC26A0"/>
    <w:rsid w:val="00CC26DD"/>
    <w:rsid w:val="00CC27E7"/>
    <w:rsid w:val="00CC29AA"/>
    <w:rsid w:val="00CC29BF"/>
    <w:rsid w:val="00CC2BFC"/>
    <w:rsid w:val="00CC2C4A"/>
    <w:rsid w:val="00CC2DF2"/>
    <w:rsid w:val="00CC2F4A"/>
    <w:rsid w:val="00CC3095"/>
    <w:rsid w:val="00CC316F"/>
    <w:rsid w:val="00CC3621"/>
    <w:rsid w:val="00CC367D"/>
    <w:rsid w:val="00CC36D8"/>
    <w:rsid w:val="00CC3B10"/>
    <w:rsid w:val="00CC3F19"/>
    <w:rsid w:val="00CC40DD"/>
    <w:rsid w:val="00CC420C"/>
    <w:rsid w:val="00CC448C"/>
    <w:rsid w:val="00CC4B4C"/>
    <w:rsid w:val="00CC4CA3"/>
    <w:rsid w:val="00CC5104"/>
    <w:rsid w:val="00CC566E"/>
    <w:rsid w:val="00CC5729"/>
    <w:rsid w:val="00CC5B35"/>
    <w:rsid w:val="00CC5CA2"/>
    <w:rsid w:val="00CC5D14"/>
    <w:rsid w:val="00CC607A"/>
    <w:rsid w:val="00CC6705"/>
    <w:rsid w:val="00CC67F5"/>
    <w:rsid w:val="00CC686A"/>
    <w:rsid w:val="00CC6F2A"/>
    <w:rsid w:val="00CC7CCC"/>
    <w:rsid w:val="00CC7FF3"/>
    <w:rsid w:val="00CD0261"/>
    <w:rsid w:val="00CD046D"/>
    <w:rsid w:val="00CD0983"/>
    <w:rsid w:val="00CD1012"/>
    <w:rsid w:val="00CD1078"/>
    <w:rsid w:val="00CD18A1"/>
    <w:rsid w:val="00CD1F20"/>
    <w:rsid w:val="00CD22C6"/>
    <w:rsid w:val="00CD2439"/>
    <w:rsid w:val="00CD26FA"/>
    <w:rsid w:val="00CD2732"/>
    <w:rsid w:val="00CD2A1A"/>
    <w:rsid w:val="00CD3921"/>
    <w:rsid w:val="00CD3C65"/>
    <w:rsid w:val="00CD414B"/>
    <w:rsid w:val="00CD4204"/>
    <w:rsid w:val="00CD512A"/>
    <w:rsid w:val="00CD5571"/>
    <w:rsid w:val="00CD55BC"/>
    <w:rsid w:val="00CD5A1E"/>
    <w:rsid w:val="00CD5C6C"/>
    <w:rsid w:val="00CD5CF8"/>
    <w:rsid w:val="00CD5E82"/>
    <w:rsid w:val="00CD5FBC"/>
    <w:rsid w:val="00CD60B1"/>
    <w:rsid w:val="00CD6489"/>
    <w:rsid w:val="00CD6491"/>
    <w:rsid w:val="00CD6618"/>
    <w:rsid w:val="00CD68FB"/>
    <w:rsid w:val="00CD69A1"/>
    <w:rsid w:val="00CD69CC"/>
    <w:rsid w:val="00CD6DD3"/>
    <w:rsid w:val="00CD6E49"/>
    <w:rsid w:val="00CD77B3"/>
    <w:rsid w:val="00CD7F85"/>
    <w:rsid w:val="00CE024D"/>
    <w:rsid w:val="00CE029A"/>
    <w:rsid w:val="00CE097E"/>
    <w:rsid w:val="00CE1350"/>
    <w:rsid w:val="00CE1CFB"/>
    <w:rsid w:val="00CE1DD9"/>
    <w:rsid w:val="00CE26DD"/>
    <w:rsid w:val="00CE2EC3"/>
    <w:rsid w:val="00CE2FA6"/>
    <w:rsid w:val="00CE36CB"/>
    <w:rsid w:val="00CE36CF"/>
    <w:rsid w:val="00CE38A4"/>
    <w:rsid w:val="00CE3C9C"/>
    <w:rsid w:val="00CE3EB4"/>
    <w:rsid w:val="00CE3F56"/>
    <w:rsid w:val="00CE40A9"/>
    <w:rsid w:val="00CE44F5"/>
    <w:rsid w:val="00CE4970"/>
    <w:rsid w:val="00CE4F0B"/>
    <w:rsid w:val="00CE5A10"/>
    <w:rsid w:val="00CE5CF9"/>
    <w:rsid w:val="00CE621A"/>
    <w:rsid w:val="00CE669B"/>
    <w:rsid w:val="00CE676C"/>
    <w:rsid w:val="00CE68E8"/>
    <w:rsid w:val="00CE7024"/>
    <w:rsid w:val="00CE7B7B"/>
    <w:rsid w:val="00CE7E76"/>
    <w:rsid w:val="00CF0779"/>
    <w:rsid w:val="00CF0920"/>
    <w:rsid w:val="00CF0B29"/>
    <w:rsid w:val="00CF0D1F"/>
    <w:rsid w:val="00CF0E10"/>
    <w:rsid w:val="00CF0E45"/>
    <w:rsid w:val="00CF111E"/>
    <w:rsid w:val="00CF13EB"/>
    <w:rsid w:val="00CF1589"/>
    <w:rsid w:val="00CF17FE"/>
    <w:rsid w:val="00CF19C4"/>
    <w:rsid w:val="00CF1AC0"/>
    <w:rsid w:val="00CF1C29"/>
    <w:rsid w:val="00CF2076"/>
    <w:rsid w:val="00CF2733"/>
    <w:rsid w:val="00CF2C1C"/>
    <w:rsid w:val="00CF2EB5"/>
    <w:rsid w:val="00CF3420"/>
    <w:rsid w:val="00CF34AE"/>
    <w:rsid w:val="00CF369E"/>
    <w:rsid w:val="00CF379B"/>
    <w:rsid w:val="00CF3980"/>
    <w:rsid w:val="00CF3C84"/>
    <w:rsid w:val="00CF40D6"/>
    <w:rsid w:val="00CF4283"/>
    <w:rsid w:val="00CF455E"/>
    <w:rsid w:val="00CF4D71"/>
    <w:rsid w:val="00CF4D92"/>
    <w:rsid w:val="00CF50CC"/>
    <w:rsid w:val="00CF5581"/>
    <w:rsid w:val="00CF580D"/>
    <w:rsid w:val="00CF58C0"/>
    <w:rsid w:val="00CF5902"/>
    <w:rsid w:val="00CF5A9D"/>
    <w:rsid w:val="00CF69AA"/>
    <w:rsid w:val="00CF69E9"/>
    <w:rsid w:val="00CF6AC5"/>
    <w:rsid w:val="00CF6D2E"/>
    <w:rsid w:val="00CF6D55"/>
    <w:rsid w:val="00CF6D6D"/>
    <w:rsid w:val="00CF6F80"/>
    <w:rsid w:val="00CF75C0"/>
    <w:rsid w:val="00CF7F90"/>
    <w:rsid w:val="00D00242"/>
    <w:rsid w:val="00D0065E"/>
    <w:rsid w:val="00D0097E"/>
    <w:rsid w:val="00D00F49"/>
    <w:rsid w:val="00D01024"/>
    <w:rsid w:val="00D012AE"/>
    <w:rsid w:val="00D01656"/>
    <w:rsid w:val="00D01B01"/>
    <w:rsid w:val="00D01C3B"/>
    <w:rsid w:val="00D01D7D"/>
    <w:rsid w:val="00D0208D"/>
    <w:rsid w:val="00D02864"/>
    <w:rsid w:val="00D02DAF"/>
    <w:rsid w:val="00D03419"/>
    <w:rsid w:val="00D03421"/>
    <w:rsid w:val="00D034E0"/>
    <w:rsid w:val="00D03501"/>
    <w:rsid w:val="00D038B4"/>
    <w:rsid w:val="00D03A19"/>
    <w:rsid w:val="00D05432"/>
    <w:rsid w:val="00D055C7"/>
    <w:rsid w:val="00D05D2B"/>
    <w:rsid w:val="00D06AC8"/>
    <w:rsid w:val="00D06C47"/>
    <w:rsid w:val="00D06CD4"/>
    <w:rsid w:val="00D06DAB"/>
    <w:rsid w:val="00D06FDC"/>
    <w:rsid w:val="00D06FEB"/>
    <w:rsid w:val="00D075C4"/>
    <w:rsid w:val="00D07648"/>
    <w:rsid w:val="00D07A78"/>
    <w:rsid w:val="00D07C37"/>
    <w:rsid w:val="00D07EEE"/>
    <w:rsid w:val="00D1076A"/>
    <w:rsid w:val="00D10CC5"/>
    <w:rsid w:val="00D10DF2"/>
    <w:rsid w:val="00D1143A"/>
    <w:rsid w:val="00D11500"/>
    <w:rsid w:val="00D11899"/>
    <w:rsid w:val="00D11D1C"/>
    <w:rsid w:val="00D1207B"/>
    <w:rsid w:val="00D123E2"/>
    <w:rsid w:val="00D1246E"/>
    <w:rsid w:val="00D1312E"/>
    <w:rsid w:val="00D132D6"/>
    <w:rsid w:val="00D1384C"/>
    <w:rsid w:val="00D13B44"/>
    <w:rsid w:val="00D13BD8"/>
    <w:rsid w:val="00D13BF2"/>
    <w:rsid w:val="00D13D6A"/>
    <w:rsid w:val="00D14309"/>
    <w:rsid w:val="00D1477E"/>
    <w:rsid w:val="00D14DD2"/>
    <w:rsid w:val="00D14E10"/>
    <w:rsid w:val="00D153DC"/>
    <w:rsid w:val="00D155FC"/>
    <w:rsid w:val="00D1577C"/>
    <w:rsid w:val="00D159E1"/>
    <w:rsid w:val="00D15DC7"/>
    <w:rsid w:val="00D16019"/>
    <w:rsid w:val="00D16091"/>
    <w:rsid w:val="00D164E5"/>
    <w:rsid w:val="00D1675E"/>
    <w:rsid w:val="00D16972"/>
    <w:rsid w:val="00D16E28"/>
    <w:rsid w:val="00D16FCF"/>
    <w:rsid w:val="00D17250"/>
    <w:rsid w:val="00D17378"/>
    <w:rsid w:val="00D17494"/>
    <w:rsid w:val="00D176BB"/>
    <w:rsid w:val="00D17B88"/>
    <w:rsid w:val="00D17D6D"/>
    <w:rsid w:val="00D20017"/>
    <w:rsid w:val="00D20385"/>
    <w:rsid w:val="00D203E3"/>
    <w:rsid w:val="00D20A15"/>
    <w:rsid w:val="00D20AF7"/>
    <w:rsid w:val="00D21017"/>
    <w:rsid w:val="00D21425"/>
    <w:rsid w:val="00D21479"/>
    <w:rsid w:val="00D21A28"/>
    <w:rsid w:val="00D21A93"/>
    <w:rsid w:val="00D21AA5"/>
    <w:rsid w:val="00D21B81"/>
    <w:rsid w:val="00D21C83"/>
    <w:rsid w:val="00D221E8"/>
    <w:rsid w:val="00D2240B"/>
    <w:rsid w:val="00D2279F"/>
    <w:rsid w:val="00D2284C"/>
    <w:rsid w:val="00D22866"/>
    <w:rsid w:val="00D22914"/>
    <w:rsid w:val="00D23949"/>
    <w:rsid w:val="00D23A2D"/>
    <w:rsid w:val="00D23AC2"/>
    <w:rsid w:val="00D23BD5"/>
    <w:rsid w:val="00D23DD6"/>
    <w:rsid w:val="00D23F0B"/>
    <w:rsid w:val="00D25393"/>
    <w:rsid w:val="00D25584"/>
    <w:rsid w:val="00D258E4"/>
    <w:rsid w:val="00D25EB2"/>
    <w:rsid w:val="00D26253"/>
    <w:rsid w:val="00D2649E"/>
    <w:rsid w:val="00D26AFA"/>
    <w:rsid w:val="00D2724A"/>
    <w:rsid w:val="00D27994"/>
    <w:rsid w:val="00D279D8"/>
    <w:rsid w:val="00D27A46"/>
    <w:rsid w:val="00D27C9C"/>
    <w:rsid w:val="00D305DF"/>
    <w:rsid w:val="00D317C1"/>
    <w:rsid w:val="00D31882"/>
    <w:rsid w:val="00D31B59"/>
    <w:rsid w:val="00D31DC0"/>
    <w:rsid w:val="00D31E3F"/>
    <w:rsid w:val="00D32318"/>
    <w:rsid w:val="00D326FF"/>
    <w:rsid w:val="00D3274E"/>
    <w:rsid w:val="00D32759"/>
    <w:rsid w:val="00D328C1"/>
    <w:rsid w:val="00D32AE7"/>
    <w:rsid w:val="00D33588"/>
    <w:rsid w:val="00D336AA"/>
    <w:rsid w:val="00D3392D"/>
    <w:rsid w:val="00D33964"/>
    <w:rsid w:val="00D33B9E"/>
    <w:rsid w:val="00D33BB8"/>
    <w:rsid w:val="00D33DAF"/>
    <w:rsid w:val="00D33FAD"/>
    <w:rsid w:val="00D340FF"/>
    <w:rsid w:val="00D34585"/>
    <w:rsid w:val="00D34B33"/>
    <w:rsid w:val="00D34D20"/>
    <w:rsid w:val="00D34D2D"/>
    <w:rsid w:val="00D34F52"/>
    <w:rsid w:val="00D357F4"/>
    <w:rsid w:val="00D35A16"/>
    <w:rsid w:val="00D35CAB"/>
    <w:rsid w:val="00D35E93"/>
    <w:rsid w:val="00D363B1"/>
    <w:rsid w:val="00D370D7"/>
    <w:rsid w:val="00D372E0"/>
    <w:rsid w:val="00D37363"/>
    <w:rsid w:val="00D373FD"/>
    <w:rsid w:val="00D376CF"/>
    <w:rsid w:val="00D40051"/>
    <w:rsid w:val="00D40509"/>
    <w:rsid w:val="00D40F0E"/>
    <w:rsid w:val="00D41144"/>
    <w:rsid w:val="00D416CB"/>
    <w:rsid w:val="00D422F8"/>
    <w:rsid w:val="00D424FF"/>
    <w:rsid w:val="00D427E6"/>
    <w:rsid w:val="00D42B6A"/>
    <w:rsid w:val="00D42BBC"/>
    <w:rsid w:val="00D42D59"/>
    <w:rsid w:val="00D4333D"/>
    <w:rsid w:val="00D4356D"/>
    <w:rsid w:val="00D43AC5"/>
    <w:rsid w:val="00D43F12"/>
    <w:rsid w:val="00D43FD8"/>
    <w:rsid w:val="00D445F4"/>
    <w:rsid w:val="00D4496E"/>
    <w:rsid w:val="00D44BA2"/>
    <w:rsid w:val="00D44CF9"/>
    <w:rsid w:val="00D44EBB"/>
    <w:rsid w:val="00D45329"/>
    <w:rsid w:val="00D4588B"/>
    <w:rsid w:val="00D45999"/>
    <w:rsid w:val="00D45F03"/>
    <w:rsid w:val="00D45F87"/>
    <w:rsid w:val="00D461E9"/>
    <w:rsid w:val="00D465D9"/>
    <w:rsid w:val="00D46724"/>
    <w:rsid w:val="00D46AA5"/>
    <w:rsid w:val="00D47127"/>
    <w:rsid w:val="00D473CC"/>
    <w:rsid w:val="00D473D9"/>
    <w:rsid w:val="00D4762F"/>
    <w:rsid w:val="00D477BF"/>
    <w:rsid w:val="00D47DBC"/>
    <w:rsid w:val="00D47E30"/>
    <w:rsid w:val="00D47F99"/>
    <w:rsid w:val="00D504E9"/>
    <w:rsid w:val="00D509EA"/>
    <w:rsid w:val="00D50A1E"/>
    <w:rsid w:val="00D50B24"/>
    <w:rsid w:val="00D50D55"/>
    <w:rsid w:val="00D513C5"/>
    <w:rsid w:val="00D5142D"/>
    <w:rsid w:val="00D514D7"/>
    <w:rsid w:val="00D519CE"/>
    <w:rsid w:val="00D51AFD"/>
    <w:rsid w:val="00D51DA3"/>
    <w:rsid w:val="00D52274"/>
    <w:rsid w:val="00D522C9"/>
    <w:rsid w:val="00D52594"/>
    <w:rsid w:val="00D52616"/>
    <w:rsid w:val="00D52645"/>
    <w:rsid w:val="00D526CF"/>
    <w:rsid w:val="00D52888"/>
    <w:rsid w:val="00D528A3"/>
    <w:rsid w:val="00D52A77"/>
    <w:rsid w:val="00D52C4C"/>
    <w:rsid w:val="00D5305C"/>
    <w:rsid w:val="00D53448"/>
    <w:rsid w:val="00D5345E"/>
    <w:rsid w:val="00D534D8"/>
    <w:rsid w:val="00D53C0F"/>
    <w:rsid w:val="00D53E63"/>
    <w:rsid w:val="00D5423B"/>
    <w:rsid w:val="00D54298"/>
    <w:rsid w:val="00D547E2"/>
    <w:rsid w:val="00D54858"/>
    <w:rsid w:val="00D5490C"/>
    <w:rsid w:val="00D54B2B"/>
    <w:rsid w:val="00D54BA3"/>
    <w:rsid w:val="00D54F6A"/>
    <w:rsid w:val="00D54FA5"/>
    <w:rsid w:val="00D550F5"/>
    <w:rsid w:val="00D55415"/>
    <w:rsid w:val="00D5562E"/>
    <w:rsid w:val="00D55EF1"/>
    <w:rsid w:val="00D5600E"/>
    <w:rsid w:val="00D560F9"/>
    <w:rsid w:val="00D565C8"/>
    <w:rsid w:val="00D56C88"/>
    <w:rsid w:val="00D57198"/>
    <w:rsid w:val="00D5787A"/>
    <w:rsid w:val="00D57E51"/>
    <w:rsid w:val="00D60127"/>
    <w:rsid w:val="00D6014E"/>
    <w:rsid w:val="00D60168"/>
    <w:rsid w:val="00D6016A"/>
    <w:rsid w:val="00D602DF"/>
    <w:rsid w:val="00D602EF"/>
    <w:rsid w:val="00D6034D"/>
    <w:rsid w:val="00D60463"/>
    <w:rsid w:val="00D60838"/>
    <w:rsid w:val="00D60DD4"/>
    <w:rsid w:val="00D60F87"/>
    <w:rsid w:val="00D61084"/>
    <w:rsid w:val="00D611A9"/>
    <w:rsid w:val="00D6177D"/>
    <w:rsid w:val="00D617FA"/>
    <w:rsid w:val="00D61A4B"/>
    <w:rsid w:val="00D61E54"/>
    <w:rsid w:val="00D61FCE"/>
    <w:rsid w:val="00D62B68"/>
    <w:rsid w:val="00D62C7F"/>
    <w:rsid w:val="00D6304E"/>
    <w:rsid w:val="00D63131"/>
    <w:rsid w:val="00D632C6"/>
    <w:rsid w:val="00D634D9"/>
    <w:rsid w:val="00D63575"/>
    <w:rsid w:val="00D63E09"/>
    <w:rsid w:val="00D63EDC"/>
    <w:rsid w:val="00D64107"/>
    <w:rsid w:val="00D65189"/>
    <w:rsid w:val="00D658E7"/>
    <w:rsid w:val="00D65AD6"/>
    <w:rsid w:val="00D6634E"/>
    <w:rsid w:val="00D66575"/>
    <w:rsid w:val="00D668E8"/>
    <w:rsid w:val="00D669BF"/>
    <w:rsid w:val="00D66D13"/>
    <w:rsid w:val="00D66DC9"/>
    <w:rsid w:val="00D66E0E"/>
    <w:rsid w:val="00D66E2D"/>
    <w:rsid w:val="00D66E83"/>
    <w:rsid w:val="00D6742A"/>
    <w:rsid w:val="00D67914"/>
    <w:rsid w:val="00D67A37"/>
    <w:rsid w:val="00D67AA9"/>
    <w:rsid w:val="00D67E02"/>
    <w:rsid w:val="00D67F28"/>
    <w:rsid w:val="00D7048F"/>
    <w:rsid w:val="00D70502"/>
    <w:rsid w:val="00D70545"/>
    <w:rsid w:val="00D7077F"/>
    <w:rsid w:val="00D709A4"/>
    <w:rsid w:val="00D70C3B"/>
    <w:rsid w:val="00D70E66"/>
    <w:rsid w:val="00D70FEA"/>
    <w:rsid w:val="00D711DD"/>
    <w:rsid w:val="00D712EE"/>
    <w:rsid w:val="00D728CA"/>
    <w:rsid w:val="00D72C6F"/>
    <w:rsid w:val="00D7369D"/>
    <w:rsid w:val="00D738A3"/>
    <w:rsid w:val="00D73C61"/>
    <w:rsid w:val="00D73D44"/>
    <w:rsid w:val="00D741B2"/>
    <w:rsid w:val="00D7462F"/>
    <w:rsid w:val="00D74A15"/>
    <w:rsid w:val="00D74E3A"/>
    <w:rsid w:val="00D74FED"/>
    <w:rsid w:val="00D751C1"/>
    <w:rsid w:val="00D75794"/>
    <w:rsid w:val="00D75925"/>
    <w:rsid w:val="00D75DEC"/>
    <w:rsid w:val="00D75F00"/>
    <w:rsid w:val="00D75FDE"/>
    <w:rsid w:val="00D76761"/>
    <w:rsid w:val="00D76AF4"/>
    <w:rsid w:val="00D76D0D"/>
    <w:rsid w:val="00D76D93"/>
    <w:rsid w:val="00D7706B"/>
    <w:rsid w:val="00D77748"/>
    <w:rsid w:val="00D77A7B"/>
    <w:rsid w:val="00D77FF2"/>
    <w:rsid w:val="00D806D1"/>
    <w:rsid w:val="00D80B92"/>
    <w:rsid w:val="00D80F98"/>
    <w:rsid w:val="00D8131B"/>
    <w:rsid w:val="00D823B7"/>
    <w:rsid w:val="00D8295D"/>
    <w:rsid w:val="00D83019"/>
    <w:rsid w:val="00D833CD"/>
    <w:rsid w:val="00D83671"/>
    <w:rsid w:val="00D83872"/>
    <w:rsid w:val="00D838BE"/>
    <w:rsid w:val="00D83BD3"/>
    <w:rsid w:val="00D83E79"/>
    <w:rsid w:val="00D83F15"/>
    <w:rsid w:val="00D83F38"/>
    <w:rsid w:val="00D83F46"/>
    <w:rsid w:val="00D84414"/>
    <w:rsid w:val="00D845EA"/>
    <w:rsid w:val="00D852CE"/>
    <w:rsid w:val="00D853BD"/>
    <w:rsid w:val="00D854C5"/>
    <w:rsid w:val="00D85946"/>
    <w:rsid w:val="00D8594C"/>
    <w:rsid w:val="00D85967"/>
    <w:rsid w:val="00D8599E"/>
    <w:rsid w:val="00D85A63"/>
    <w:rsid w:val="00D85E00"/>
    <w:rsid w:val="00D86250"/>
    <w:rsid w:val="00D8642F"/>
    <w:rsid w:val="00D86576"/>
    <w:rsid w:val="00D8674B"/>
    <w:rsid w:val="00D868D9"/>
    <w:rsid w:val="00D868F8"/>
    <w:rsid w:val="00D87484"/>
    <w:rsid w:val="00D8762F"/>
    <w:rsid w:val="00D8764F"/>
    <w:rsid w:val="00D87BEF"/>
    <w:rsid w:val="00D87EDF"/>
    <w:rsid w:val="00D90173"/>
    <w:rsid w:val="00D90324"/>
    <w:rsid w:val="00D90D80"/>
    <w:rsid w:val="00D9128E"/>
    <w:rsid w:val="00D914BB"/>
    <w:rsid w:val="00D91722"/>
    <w:rsid w:val="00D91C6F"/>
    <w:rsid w:val="00D91E60"/>
    <w:rsid w:val="00D91FED"/>
    <w:rsid w:val="00D92247"/>
    <w:rsid w:val="00D92432"/>
    <w:rsid w:val="00D92C4B"/>
    <w:rsid w:val="00D92E98"/>
    <w:rsid w:val="00D9308A"/>
    <w:rsid w:val="00D938A6"/>
    <w:rsid w:val="00D93983"/>
    <w:rsid w:val="00D93DBC"/>
    <w:rsid w:val="00D94072"/>
    <w:rsid w:val="00D940BA"/>
    <w:rsid w:val="00D9456C"/>
    <w:rsid w:val="00D94AE5"/>
    <w:rsid w:val="00D94E5F"/>
    <w:rsid w:val="00D94F14"/>
    <w:rsid w:val="00D95056"/>
    <w:rsid w:val="00D95497"/>
    <w:rsid w:val="00D955D1"/>
    <w:rsid w:val="00D95888"/>
    <w:rsid w:val="00D96672"/>
    <w:rsid w:val="00D96DA7"/>
    <w:rsid w:val="00D97056"/>
    <w:rsid w:val="00D9712A"/>
    <w:rsid w:val="00D97194"/>
    <w:rsid w:val="00D977A6"/>
    <w:rsid w:val="00D9794E"/>
    <w:rsid w:val="00D97BE8"/>
    <w:rsid w:val="00DA013B"/>
    <w:rsid w:val="00DA181D"/>
    <w:rsid w:val="00DA19C2"/>
    <w:rsid w:val="00DA26E9"/>
    <w:rsid w:val="00DA2785"/>
    <w:rsid w:val="00DA2D9D"/>
    <w:rsid w:val="00DA2FAA"/>
    <w:rsid w:val="00DA325F"/>
    <w:rsid w:val="00DA3343"/>
    <w:rsid w:val="00DA3454"/>
    <w:rsid w:val="00DA3458"/>
    <w:rsid w:val="00DA39E5"/>
    <w:rsid w:val="00DA3D98"/>
    <w:rsid w:val="00DA3EAB"/>
    <w:rsid w:val="00DA3F84"/>
    <w:rsid w:val="00DA467E"/>
    <w:rsid w:val="00DA4984"/>
    <w:rsid w:val="00DA4A6B"/>
    <w:rsid w:val="00DA4CE7"/>
    <w:rsid w:val="00DA510E"/>
    <w:rsid w:val="00DA5719"/>
    <w:rsid w:val="00DA5805"/>
    <w:rsid w:val="00DA5ADE"/>
    <w:rsid w:val="00DA5DE8"/>
    <w:rsid w:val="00DA5E80"/>
    <w:rsid w:val="00DA5E84"/>
    <w:rsid w:val="00DA636B"/>
    <w:rsid w:val="00DA68C4"/>
    <w:rsid w:val="00DA7309"/>
    <w:rsid w:val="00DA752C"/>
    <w:rsid w:val="00DA780E"/>
    <w:rsid w:val="00DA7DB8"/>
    <w:rsid w:val="00DA7EB6"/>
    <w:rsid w:val="00DB00EC"/>
    <w:rsid w:val="00DB06E5"/>
    <w:rsid w:val="00DB09C8"/>
    <w:rsid w:val="00DB0E77"/>
    <w:rsid w:val="00DB0F3D"/>
    <w:rsid w:val="00DB1255"/>
    <w:rsid w:val="00DB1559"/>
    <w:rsid w:val="00DB19B9"/>
    <w:rsid w:val="00DB1BD4"/>
    <w:rsid w:val="00DB1D95"/>
    <w:rsid w:val="00DB1F21"/>
    <w:rsid w:val="00DB20A1"/>
    <w:rsid w:val="00DB27D2"/>
    <w:rsid w:val="00DB3585"/>
    <w:rsid w:val="00DB39A3"/>
    <w:rsid w:val="00DB3C82"/>
    <w:rsid w:val="00DB3E5D"/>
    <w:rsid w:val="00DB4014"/>
    <w:rsid w:val="00DB4414"/>
    <w:rsid w:val="00DB4477"/>
    <w:rsid w:val="00DB4FAF"/>
    <w:rsid w:val="00DB4FD2"/>
    <w:rsid w:val="00DB558F"/>
    <w:rsid w:val="00DB565C"/>
    <w:rsid w:val="00DB5ABB"/>
    <w:rsid w:val="00DB5E41"/>
    <w:rsid w:val="00DB63C7"/>
    <w:rsid w:val="00DB6470"/>
    <w:rsid w:val="00DB66C8"/>
    <w:rsid w:val="00DB6F22"/>
    <w:rsid w:val="00DB6FA7"/>
    <w:rsid w:val="00DB72EF"/>
    <w:rsid w:val="00DB76F8"/>
    <w:rsid w:val="00DB77B5"/>
    <w:rsid w:val="00DB7889"/>
    <w:rsid w:val="00DB7D21"/>
    <w:rsid w:val="00DC035F"/>
    <w:rsid w:val="00DC03F5"/>
    <w:rsid w:val="00DC056A"/>
    <w:rsid w:val="00DC0C23"/>
    <w:rsid w:val="00DC0DB6"/>
    <w:rsid w:val="00DC0E88"/>
    <w:rsid w:val="00DC1745"/>
    <w:rsid w:val="00DC1836"/>
    <w:rsid w:val="00DC186D"/>
    <w:rsid w:val="00DC24C4"/>
    <w:rsid w:val="00DC27DA"/>
    <w:rsid w:val="00DC3091"/>
    <w:rsid w:val="00DC3794"/>
    <w:rsid w:val="00DC3D74"/>
    <w:rsid w:val="00DC3E9C"/>
    <w:rsid w:val="00DC4293"/>
    <w:rsid w:val="00DC42F0"/>
    <w:rsid w:val="00DC474F"/>
    <w:rsid w:val="00DC47CE"/>
    <w:rsid w:val="00DC4A58"/>
    <w:rsid w:val="00DC4BB7"/>
    <w:rsid w:val="00DC503B"/>
    <w:rsid w:val="00DC52A6"/>
    <w:rsid w:val="00DC5C5F"/>
    <w:rsid w:val="00DC5CE5"/>
    <w:rsid w:val="00DC5F9D"/>
    <w:rsid w:val="00DC63D6"/>
    <w:rsid w:val="00DC6679"/>
    <w:rsid w:val="00DC672D"/>
    <w:rsid w:val="00DC67A8"/>
    <w:rsid w:val="00DC73FC"/>
    <w:rsid w:val="00DC75AF"/>
    <w:rsid w:val="00DC7650"/>
    <w:rsid w:val="00DC7A22"/>
    <w:rsid w:val="00DC7D48"/>
    <w:rsid w:val="00DC7F8E"/>
    <w:rsid w:val="00DD00F1"/>
    <w:rsid w:val="00DD0678"/>
    <w:rsid w:val="00DD08E2"/>
    <w:rsid w:val="00DD095F"/>
    <w:rsid w:val="00DD0A97"/>
    <w:rsid w:val="00DD0DB7"/>
    <w:rsid w:val="00DD1BDE"/>
    <w:rsid w:val="00DD1E07"/>
    <w:rsid w:val="00DD2160"/>
    <w:rsid w:val="00DD21BE"/>
    <w:rsid w:val="00DD2535"/>
    <w:rsid w:val="00DD25D0"/>
    <w:rsid w:val="00DD2A07"/>
    <w:rsid w:val="00DD2AB4"/>
    <w:rsid w:val="00DD2D8D"/>
    <w:rsid w:val="00DD2F00"/>
    <w:rsid w:val="00DD2F71"/>
    <w:rsid w:val="00DD355A"/>
    <w:rsid w:val="00DD3D36"/>
    <w:rsid w:val="00DD3E83"/>
    <w:rsid w:val="00DD3F0D"/>
    <w:rsid w:val="00DD43D8"/>
    <w:rsid w:val="00DD4991"/>
    <w:rsid w:val="00DD53AE"/>
    <w:rsid w:val="00DD53D0"/>
    <w:rsid w:val="00DD583C"/>
    <w:rsid w:val="00DD5865"/>
    <w:rsid w:val="00DD5C14"/>
    <w:rsid w:val="00DD5D40"/>
    <w:rsid w:val="00DD62C2"/>
    <w:rsid w:val="00DD69D6"/>
    <w:rsid w:val="00DD703F"/>
    <w:rsid w:val="00DE042B"/>
    <w:rsid w:val="00DE077D"/>
    <w:rsid w:val="00DE0847"/>
    <w:rsid w:val="00DE1D61"/>
    <w:rsid w:val="00DE24EF"/>
    <w:rsid w:val="00DE2762"/>
    <w:rsid w:val="00DE299D"/>
    <w:rsid w:val="00DE2F96"/>
    <w:rsid w:val="00DE30A6"/>
    <w:rsid w:val="00DE35E7"/>
    <w:rsid w:val="00DE37F5"/>
    <w:rsid w:val="00DE39CA"/>
    <w:rsid w:val="00DE4143"/>
    <w:rsid w:val="00DE44D9"/>
    <w:rsid w:val="00DE459D"/>
    <w:rsid w:val="00DE487B"/>
    <w:rsid w:val="00DE491C"/>
    <w:rsid w:val="00DE4979"/>
    <w:rsid w:val="00DE5086"/>
    <w:rsid w:val="00DE5205"/>
    <w:rsid w:val="00DE525E"/>
    <w:rsid w:val="00DE53E6"/>
    <w:rsid w:val="00DE542C"/>
    <w:rsid w:val="00DE564E"/>
    <w:rsid w:val="00DE57E6"/>
    <w:rsid w:val="00DE59BA"/>
    <w:rsid w:val="00DE5A12"/>
    <w:rsid w:val="00DE63E6"/>
    <w:rsid w:val="00DE6688"/>
    <w:rsid w:val="00DE68BB"/>
    <w:rsid w:val="00DE6CB0"/>
    <w:rsid w:val="00DE6F4F"/>
    <w:rsid w:val="00DE70B3"/>
    <w:rsid w:val="00DE73EA"/>
    <w:rsid w:val="00DE75CD"/>
    <w:rsid w:val="00DE763A"/>
    <w:rsid w:val="00DF04BC"/>
    <w:rsid w:val="00DF070D"/>
    <w:rsid w:val="00DF0C29"/>
    <w:rsid w:val="00DF12AC"/>
    <w:rsid w:val="00DF1410"/>
    <w:rsid w:val="00DF164A"/>
    <w:rsid w:val="00DF168E"/>
    <w:rsid w:val="00DF1900"/>
    <w:rsid w:val="00DF1C9E"/>
    <w:rsid w:val="00DF1CB3"/>
    <w:rsid w:val="00DF222D"/>
    <w:rsid w:val="00DF23D1"/>
    <w:rsid w:val="00DF2516"/>
    <w:rsid w:val="00DF2711"/>
    <w:rsid w:val="00DF284A"/>
    <w:rsid w:val="00DF2890"/>
    <w:rsid w:val="00DF2A51"/>
    <w:rsid w:val="00DF37FE"/>
    <w:rsid w:val="00DF386F"/>
    <w:rsid w:val="00DF3BE9"/>
    <w:rsid w:val="00DF42FD"/>
    <w:rsid w:val="00DF4530"/>
    <w:rsid w:val="00DF45B0"/>
    <w:rsid w:val="00DF484D"/>
    <w:rsid w:val="00DF591C"/>
    <w:rsid w:val="00DF5F4F"/>
    <w:rsid w:val="00DF6303"/>
    <w:rsid w:val="00DF6E0A"/>
    <w:rsid w:val="00E00991"/>
    <w:rsid w:val="00E00FD1"/>
    <w:rsid w:val="00E015B1"/>
    <w:rsid w:val="00E01BB2"/>
    <w:rsid w:val="00E01CA6"/>
    <w:rsid w:val="00E0267B"/>
    <w:rsid w:val="00E0273F"/>
    <w:rsid w:val="00E02892"/>
    <w:rsid w:val="00E028F1"/>
    <w:rsid w:val="00E02BFF"/>
    <w:rsid w:val="00E03308"/>
    <w:rsid w:val="00E0333D"/>
    <w:rsid w:val="00E0353B"/>
    <w:rsid w:val="00E037B4"/>
    <w:rsid w:val="00E038FA"/>
    <w:rsid w:val="00E03C85"/>
    <w:rsid w:val="00E043D3"/>
    <w:rsid w:val="00E04650"/>
    <w:rsid w:val="00E04653"/>
    <w:rsid w:val="00E048BB"/>
    <w:rsid w:val="00E04ACC"/>
    <w:rsid w:val="00E04E27"/>
    <w:rsid w:val="00E0585B"/>
    <w:rsid w:val="00E06387"/>
    <w:rsid w:val="00E065E4"/>
    <w:rsid w:val="00E06D54"/>
    <w:rsid w:val="00E07592"/>
    <w:rsid w:val="00E0772E"/>
    <w:rsid w:val="00E07770"/>
    <w:rsid w:val="00E078BD"/>
    <w:rsid w:val="00E07969"/>
    <w:rsid w:val="00E07DA8"/>
    <w:rsid w:val="00E10111"/>
    <w:rsid w:val="00E10126"/>
    <w:rsid w:val="00E10411"/>
    <w:rsid w:val="00E1052E"/>
    <w:rsid w:val="00E10E13"/>
    <w:rsid w:val="00E112A6"/>
    <w:rsid w:val="00E11986"/>
    <w:rsid w:val="00E11B97"/>
    <w:rsid w:val="00E11C06"/>
    <w:rsid w:val="00E11C7E"/>
    <w:rsid w:val="00E1212D"/>
    <w:rsid w:val="00E12321"/>
    <w:rsid w:val="00E126DA"/>
    <w:rsid w:val="00E12861"/>
    <w:rsid w:val="00E12AC8"/>
    <w:rsid w:val="00E12C6C"/>
    <w:rsid w:val="00E12FE3"/>
    <w:rsid w:val="00E13149"/>
    <w:rsid w:val="00E1316D"/>
    <w:rsid w:val="00E13484"/>
    <w:rsid w:val="00E136DF"/>
    <w:rsid w:val="00E13891"/>
    <w:rsid w:val="00E13E0F"/>
    <w:rsid w:val="00E1449D"/>
    <w:rsid w:val="00E14829"/>
    <w:rsid w:val="00E14A1B"/>
    <w:rsid w:val="00E14A61"/>
    <w:rsid w:val="00E14E05"/>
    <w:rsid w:val="00E14EC5"/>
    <w:rsid w:val="00E156F3"/>
    <w:rsid w:val="00E15ACC"/>
    <w:rsid w:val="00E16134"/>
    <w:rsid w:val="00E165D8"/>
    <w:rsid w:val="00E165E1"/>
    <w:rsid w:val="00E16A29"/>
    <w:rsid w:val="00E16DA3"/>
    <w:rsid w:val="00E17626"/>
    <w:rsid w:val="00E17729"/>
    <w:rsid w:val="00E177CF"/>
    <w:rsid w:val="00E17867"/>
    <w:rsid w:val="00E17AEF"/>
    <w:rsid w:val="00E17F46"/>
    <w:rsid w:val="00E20837"/>
    <w:rsid w:val="00E209EF"/>
    <w:rsid w:val="00E20A4F"/>
    <w:rsid w:val="00E20EC7"/>
    <w:rsid w:val="00E2141C"/>
    <w:rsid w:val="00E214F3"/>
    <w:rsid w:val="00E21700"/>
    <w:rsid w:val="00E2193C"/>
    <w:rsid w:val="00E22372"/>
    <w:rsid w:val="00E22513"/>
    <w:rsid w:val="00E22522"/>
    <w:rsid w:val="00E227EE"/>
    <w:rsid w:val="00E22A73"/>
    <w:rsid w:val="00E22C19"/>
    <w:rsid w:val="00E22D12"/>
    <w:rsid w:val="00E22D27"/>
    <w:rsid w:val="00E23820"/>
    <w:rsid w:val="00E238FC"/>
    <w:rsid w:val="00E23A03"/>
    <w:rsid w:val="00E24174"/>
    <w:rsid w:val="00E2435F"/>
    <w:rsid w:val="00E24461"/>
    <w:rsid w:val="00E246C3"/>
    <w:rsid w:val="00E246D7"/>
    <w:rsid w:val="00E248E4"/>
    <w:rsid w:val="00E24B0F"/>
    <w:rsid w:val="00E25108"/>
    <w:rsid w:val="00E2519A"/>
    <w:rsid w:val="00E251EC"/>
    <w:rsid w:val="00E25BCD"/>
    <w:rsid w:val="00E25D7B"/>
    <w:rsid w:val="00E2648D"/>
    <w:rsid w:val="00E26769"/>
    <w:rsid w:val="00E269B6"/>
    <w:rsid w:val="00E26B13"/>
    <w:rsid w:val="00E26C04"/>
    <w:rsid w:val="00E2711A"/>
    <w:rsid w:val="00E273CD"/>
    <w:rsid w:val="00E27EB6"/>
    <w:rsid w:val="00E302CE"/>
    <w:rsid w:val="00E30322"/>
    <w:rsid w:val="00E305E1"/>
    <w:rsid w:val="00E3064C"/>
    <w:rsid w:val="00E307E0"/>
    <w:rsid w:val="00E30989"/>
    <w:rsid w:val="00E30C4A"/>
    <w:rsid w:val="00E31200"/>
    <w:rsid w:val="00E312C5"/>
    <w:rsid w:val="00E31A9E"/>
    <w:rsid w:val="00E31C43"/>
    <w:rsid w:val="00E31CE7"/>
    <w:rsid w:val="00E32607"/>
    <w:rsid w:val="00E33056"/>
    <w:rsid w:val="00E334A4"/>
    <w:rsid w:val="00E3410E"/>
    <w:rsid w:val="00E3463B"/>
    <w:rsid w:val="00E34698"/>
    <w:rsid w:val="00E351E7"/>
    <w:rsid w:val="00E356F1"/>
    <w:rsid w:val="00E35862"/>
    <w:rsid w:val="00E35A32"/>
    <w:rsid w:val="00E36528"/>
    <w:rsid w:val="00E3685D"/>
    <w:rsid w:val="00E36E8A"/>
    <w:rsid w:val="00E37574"/>
    <w:rsid w:val="00E408DA"/>
    <w:rsid w:val="00E40A43"/>
    <w:rsid w:val="00E40AE3"/>
    <w:rsid w:val="00E40AE5"/>
    <w:rsid w:val="00E40D7F"/>
    <w:rsid w:val="00E40DE1"/>
    <w:rsid w:val="00E40E11"/>
    <w:rsid w:val="00E40EED"/>
    <w:rsid w:val="00E41077"/>
    <w:rsid w:val="00E412D6"/>
    <w:rsid w:val="00E41373"/>
    <w:rsid w:val="00E41ADD"/>
    <w:rsid w:val="00E41FC1"/>
    <w:rsid w:val="00E424EB"/>
    <w:rsid w:val="00E42999"/>
    <w:rsid w:val="00E4351C"/>
    <w:rsid w:val="00E435DF"/>
    <w:rsid w:val="00E43A59"/>
    <w:rsid w:val="00E43B06"/>
    <w:rsid w:val="00E43E2E"/>
    <w:rsid w:val="00E44095"/>
    <w:rsid w:val="00E44106"/>
    <w:rsid w:val="00E4416F"/>
    <w:rsid w:val="00E44508"/>
    <w:rsid w:val="00E44516"/>
    <w:rsid w:val="00E4477A"/>
    <w:rsid w:val="00E447B1"/>
    <w:rsid w:val="00E44882"/>
    <w:rsid w:val="00E44D85"/>
    <w:rsid w:val="00E44EF9"/>
    <w:rsid w:val="00E44F87"/>
    <w:rsid w:val="00E459AF"/>
    <w:rsid w:val="00E45A1C"/>
    <w:rsid w:val="00E45FCB"/>
    <w:rsid w:val="00E4615D"/>
    <w:rsid w:val="00E46AD9"/>
    <w:rsid w:val="00E46C54"/>
    <w:rsid w:val="00E47331"/>
    <w:rsid w:val="00E475FB"/>
    <w:rsid w:val="00E47713"/>
    <w:rsid w:val="00E4785B"/>
    <w:rsid w:val="00E479A6"/>
    <w:rsid w:val="00E47B7B"/>
    <w:rsid w:val="00E5019C"/>
    <w:rsid w:val="00E5065A"/>
    <w:rsid w:val="00E5091A"/>
    <w:rsid w:val="00E50DE6"/>
    <w:rsid w:val="00E5101D"/>
    <w:rsid w:val="00E51563"/>
    <w:rsid w:val="00E517D3"/>
    <w:rsid w:val="00E51DEC"/>
    <w:rsid w:val="00E52655"/>
    <w:rsid w:val="00E52886"/>
    <w:rsid w:val="00E52926"/>
    <w:rsid w:val="00E53103"/>
    <w:rsid w:val="00E536AF"/>
    <w:rsid w:val="00E53798"/>
    <w:rsid w:val="00E5405B"/>
    <w:rsid w:val="00E54370"/>
    <w:rsid w:val="00E54415"/>
    <w:rsid w:val="00E54A21"/>
    <w:rsid w:val="00E54A55"/>
    <w:rsid w:val="00E54E77"/>
    <w:rsid w:val="00E54F1A"/>
    <w:rsid w:val="00E551ED"/>
    <w:rsid w:val="00E55ADD"/>
    <w:rsid w:val="00E55CEA"/>
    <w:rsid w:val="00E55E96"/>
    <w:rsid w:val="00E56157"/>
    <w:rsid w:val="00E56D95"/>
    <w:rsid w:val="00E5722A"/>
    <w:rsid w:val="00E5726B"/>
    <w:rsid w:val="00E572E2"/>
    <w:rsid w:val="00E57585"/>
    <w:rsid w:val="00E576F8"/>
    <w:rsid w:val="00E57BFD"/>
    <w:rsid w:val="00E606B7"/>
    <w:rsid w:val="00E606EE"/>
    <w:rsid w:val="00E60D9C"/>
    <w:rsid w:val="00E60F19"/>
    <w:rsid w:val="00E61B18"/>
    <w:rsid w:val="00E61D59"/>
    <w:rsid w:val="00E621CF"/>
    <w:rsid w:val="00E6246F"/>
    <w:rsid w:val="00E6280E"/>
    <w:rsid w:val="00E62BD7"/>
    <w:rsid w:val="00E62C35"/>
    <w:rsid w:val="00E62C4C"/>
    <w:rsid w:val="00E62D87"/>
    <w:rsid w:val="00E62E17"/>
    <w:rsid w:val="00E6387D"/>
    <w:rsid w:val="00E63A2E"/>
    <w:rsid w:val="00E63A5E"/>
    <w:rsid w:val="00E63B87"/>
    <w:rsid w:val="00E63C59"/>
    <w:rsid w:val="00E63F56"/>
    <w:rsid w:val="00E6404F"/>
    <w:rsid w:val="00E64068"/>
    <w:rsid w:val="00E64A48"/>
    <w:rsid w:val="00E64CAB"/>
    <w:rsid w:val="00E65AF1"/>
    <w:rsid w:val="00E65FFC"/>
    <w:rsid w:val="00E6629A"/>
    <w:rsid w:val="00E6629D"/>
    <w:rsid w:val="00E6659C"/>
    <w:rsid w:val="00E66A39"/>
    <w:rsid w:val="00E66ADE"/>
    <w:rsid w:val="00E66CA7"/>
    <w:rsid w:val="00E66D8E"/>
    <w:rsid w:val="00E66F92"/>
    <w:rsid w:val="00E676F2"/>
    <w:rsid w:val="00E67701"/>
    <w:rsid w:val="00E67788"/>
    <w:rsid w:val="00E67B6D"/>
    <w:rsid w:val="00E67BB9"/>
    <w:rsid w:val="00E67D17"/>
    <w:rsid w:val="00E70B5C"/>
    <w:rsid w:val="00E70C76"/>
    <w:rsid w:val="00E70E58"/>
    <w:rsid w:val="00E7112D"/>
    <w:rsid w:val="00E7129E"/>
    <w:rsid w:val="00E7141C"/>
    <w:rsid w:val="00E71530"/>
    <w:rsid w:val="00E7159E"/>
    <w:rsid w:val="00E715E6"/>
    <w:rsid w:val="00E719C0"/>
    <w:rsid w:val="00E71A7D"/>
    <w:rsid w:val="00E71E38"/>
    <w:rsid w:val="00E72108"/>
    <w:rsid w:val="00E725C4"/>
    <w:rsid w:val="00E72ADE"/>
    <w:rsid w:val="00E72D10"/>
    <w:rsid w:val="00E7369F"/>
    <w:rsid w:val="00E73906"/>
    <w:rsid w:val="00E73BCF"/>
    <w:rsid w:val="00E73EB5"/>
    <w:rsid w:val="00E74225"/>
    <w:rsid w:val="00E745DC"/>
    <w:rsid w:val="00E74ECA"/>
    <w:rsid w:val="00E75453"/>
    <w:rsid w:val="00E75B9E"/>
    <w:rsid w:val="00E7671A"/>
    <w:rsid w:val="00E76A25"/>
    <w:rsid w:val="00E76C10"/>
    <w:rsid w:val="00E76C78"/>
    <w:rsid w:val="00E76DCF"/>
    <w:rsid w:val="00E770FE"/>
    <w:rsid w:val="00E772AA"/>
    <w:rsid w:val="00E77318"/>
    <w:rsid w:val="00E7768E"/>
    <w:rsid w:val="00E77DF9"/>
    <w:rsid w:val="00E8035B"/>
    <w:rsid w:val="00E803F9"/>
    <w:rsid w:val="00E8043E"/>
    <w:rsid w:val="00E80CE3"/>
    <w:rsid w:val="00E81020"/>
    <w:rsid w:val="00E81181"/>
    <w:rsid w:val="00E812B1"/>
    <w:rsid w:val="00E814EB"/>
    <w:rsid w:val="00E81573"/>
    <w:rsid w:val="00E81866"/>
    <w:rsid w:val="00E81870"/>
    <w:rsid w:val="00E81977"/>
    <w:rsid w:val="00E81A6D"/>
    <w:rsid w:val="00E81D4D"/>
    <w:rsid w:val="00E81D94"/>
    <w:rsid w:val="00E82038"/>
    <w:rsid w:val="00E8206B"/>
    <w:rsid w:val="00E82476"/>
    <w:rsid w:val="00E828F5"/>
    <w:rsid w:val="00E82914"/>
    <w:rsid w:val="00E829BC"/>
    <w:rsid w:val="00E82DA7"/>
    <w:rsid w:val="00E830BC"/>
    <w:rsid w:val="00E8351D"/>
    <w:rsid w:val="00E83538"/>
    <w:rsid w:val="00E8357F"/>
    <w:rsid w:val="00E837EE"/>
    <w:rsid w:val="00E83813"/>
    <w:rsid w:val="00E83E02"/>
    <w:rsid w:val="00E83E24"/>
    <w:rsid w:val="00E83E28"/>
    <w:rsid w:val="00E840C3"/>
    <w:rsid w:val="00E84338"/>
    <w:rsid w:val="00E8452D"/>
    <w:rsid w:val="00E84559"/>
    <w:rsid w:val="00E84638"/>
    <w:rsid w:val="00E8508D"/>
    <w:rsid w:val="00E852FB"/>
    <w:rsid w:val="00E853EB"/>
    <w:rsid w:val="00E85677"/>
    <w:rsid w:val="00E85862"/>
    <w:rsid w:val="00E85A8B"/>
    <w:rsid w:val="00E85D21"/>
    <w:rsid w:val="00E85F45"/>
    <w:rsid w:val="00E864AB"/>
    <w:rsid w:val="00E86778"/>
    <w:rsid w:val="00E86F56"/>
    <w:rsid w:val="00E87432"/>
    <w:rsid w:val="00E8751F"/>
    <w:rsid w:val="00E876BD"/>
    <w:rsid w:val="00E87A21"/>
    <w:rsid w:val="00E87A30"/>
    <w:rsid w:val="00E87BC7"/>
    <w:rsid w:val="00E87CA2"/>
    <w:rsid w:val="00E87CF4"/>
    <w:rsid w:val="00E87E5F"/>
    <w:rsid w:val="00E87EBE"/>
    <w:rsid w:val="00E90491"/>
    <w:rsid w:val="00E90616"/>
    <w:rsid w:val="00E90ADA"/>
    <w:rsid w:val="00E90B88"/>
    <w:rsid w:val="00E90C25"/>
    <w:rsid w:val="00E90EF7"/>
    <w:rsid w:val="00E90F22"/>
    <w:rsid w:val="00E91482"/>
    <w:rsid w:val="00E9150B"/>
    <w:rsid w:val="00E91EA2"/>
    <w:rsid w:val="00E91EAB"/>
    <w:rsid w:val="00E91F49"/>
    <w:rsid w:val="00E91F70"/>
    <w:rsid w:val="00E921F4"/>
    <w:rsid w:val="00E92577"/>
    <w:rsid w:val="00E9270C"/>
    <w:rsid w:val="00E929E0"/>
    <w:rsid w:val="00E92A54"/>
    <w:rsid w:val="00E93249"/>
    <w:rsid w:val="00E939F3"/>
    <w:rsid w:val="00E93BA9"/>
    <w:rsid w:val="00E941DA"/>
    <w:rsid w:val="00E945D8"/>
    <w:rsid w:val="00E946BE"/>
    <w:rsid w:val="00E94880"/>
    <w:rsid w:val="00E94BFB"/>
    <w:rsid w:val="00E94D82"/>
    <w:rsid w:val="00E95373"/>
    <w:rsid w:val="00E95704"/>
    <w:rsid w:val="00E95B4E"/>
    <w:rsid w:val="00E95D0D"/>
    <w:rsid w:val="00E97215"/>
    <w:rsid w:val="00E97591"/>
    <w:rsid w:val="00E97692"/>
    <w:rsid w:val="00E97AF4"/>
    <w:rsid w:val="00E97D2C"/>
    <w:rsid w:val="00E97EA6"/>
    <w:rsid w:val="00EA08D7"/>
    <w:rsid w:val="00EA0B63"/>
    <w:rsid w:val="00EA0D32"/>
    <w:rsid w:val="00EA1217"/>
    <w:rsid w:val="00EA147B"/>
    <w:rsid w:val="00EA14B1"/>
    <w:rsid w:val="00EA1606"/>
    <w:rsid w:val="00EA164D"/>
    <w:rsid w:val="00EA1A40"/>
    <w:rsid w:val="00EA207C"/>
    <w:rsid w:val="00EA26DD"/>
    <w:rsid w:val="00EA2DE1"/>
    <w:rsid w:val="00EA3250"/>
    <w:rsid w:val="00EA3494"/>
    <w:rsid w:val="00EA3754"/>
    <w:rsid w:val="00EA3A9D"/>
    <w:rsid w:val="00EA3EFA"/>
    <w:rsid w:val="00EA3F71"/>
    <w:rsid w:val="00EA4656"/>
    <w:rsid w:val="00EA48CD"/>
    <w:rsid w:val="00EA4D9E"/>
    <w:rsid w:val="00EA4F93"/>
    <w:rsid w:val="00EA535D"/>
    <w:rsid w:val="00EA54FA"/>
    <w:rsid w:val="00EA59FF"/>
    <w:rsid w:val="00EA5C45"/>
    <w:rsid w:val="00EA5C5F"/>
    <w:rsid w:val="00EA6255"/>
    <w:rsid w:val="00EA656D"/>
    <w:rsid w:val="00EA7C6D"/>
    <w:rsid w:val="00EA7D1B"/>
    <w:rsid w:val="00EA7D1D"/>
    <w:rsid w:val="00EA7F00"/>
    <w:rsid w:val="00EA7F96"/>
    <w:rsid w:val="00EB00C3"/>
    <w:rsid w:val="00EB035F"/>
    <w:rsid w:val="00EB0847"/>
    <w:rsid w:val="00EB0BFA"/>
    <w:rsid w:val="00EB0D80"/>
    <w:rsid w:val="00EB11F5"/>
    <w:rsid w:val="00EB133F"/>
    <w:rsid w:val="00EB1542"/>
    <w:rsid w:val="00EB158D"/>
    <w:rsid w:val="00EB159E"/>
    <w:rsid w:val="00EB1894"/>
    <w:rsid w:val="00EB19CC"/>
    <w:rsid w:val="00EB1D8D"/>
    <w:rsid w:val="00EB1E97"/>
    <w:rsid w:val="00EB259E"/>
    <w:rsid w:val="00EB2996"/>
    <w:rsid w:val="00EB2CD9"/>
    <w:rsid w:val="00EB2D3D"/>
    <w:rsid w:val="00EB2D3F"/>
    <w:rsid w:val="00EB2F68"/>
    <w:rsid w:val="00EB32C1"/>
    <w:rsid w:val="00EB33BE"/>
    <w:rsid w:val="00EB33EF"/>
    <w:rsid w:val="00EB37BE"/>
    <w:rsid w:val="00EB3801"/>
    <w:rsid w:val="00EB3855"/>
    <w:rsid w:val="00EB38FE"/>
    <w:rsid w:val="00EB3F57"/>
    <w:rsid w:val="00EB45EE"/>
    <w:rsid w:val="00EB4ACF"/>
    <w:rsid w:val="00EB4BCF"/>
    <w:rsid w:val="00EB4C49"/>
    <w:rsid w:val="00EB4CAC"/>
    <w:rsid w:val="00EB501F"/>
    <w:rsid w:val="00EB5071"/>
    <w:rsid w:val="00EB575F"/>
    <w:rsid w:val="00EB5E34"/>
    <w:rsid w:val="00EB5E6A"/>
    <w:rsid w:val="00EB619C"/>
    <w:rsid w:val="00EB63C8"/>
    <w:rsid w:val="00EB67BC"/>
    <w:rsid w:val="00EB68D3"/>
    <w:rsid w:val="00EB6A85"/>
    <w:rsid w:val="00EB6D4D"/>
    <w:rsid w:val="00EB6DCD"/>
    <w:rsid w:val="00EB6DF1"/>
    <w:rsid w:val="00EB6E5D"/>
    <w:rsid w:val="00EB6FED"/>
    <w:rsid w:val="00EB73E1"/>
    <w:rsid w:val="00EB7966"/>
    <w:rsid w:val="00EB7A7C"/>
    <w:rsid w:val="00EB7AA0"/>
    <w:rsid w:val="00EB7B86"/>
    <w:rsid w:val="00EB7BA6"/>
    <w:rsid w:val="00EB7FE1"/>
    <w:rsid w:val="00EC0879"/>
    <w:rsid w:val="00EC0900"/>
    <w:rsid w:val="00EC0A68"/>
    <w:rsid w:val="00EC1A72"/>
    <w:rsid w:val="00EC1EC9"/>
    <w:rsid w:val="00EC2032"/>
    <w:rsid w:val="00EC2499"/>
    <w:rsid w:val="00EC2621"/>
    <w:rsid w:val="00EC31D3"/>
    <w:rsid w:val="00EC381C"/>
    <w:rsid w:val="00EC3E19"/>
    <w:rsid w:val="00EC437A"/>
    <w:rsid w:val="00EC457D"/>
    <w:rsid w:val="00EC46CB"/>
    <w:rsid w:val="00EC4717"/>
    <w:rsid w:val="00EC4AB8"/>
    <w:rsid w:val="00EC4D3D"/>
    <w:rsid w:val="00EC512F"/>
    <w:rsid w:val="00EC5168"/>
    <w:rsid w:val="00EC585F"/>
    <w:rsid w:val="00EC5C0C"/>
    <w:rsid w:val="00EC67C1"/>
    <w:rsid w:val="00EC698A"/>
    <w:rsid w:val="00EC6D2C"/>
    <w:rsid w:val="00EC701B"/>
    <w:rsid w:val="00EC725E"/>
    <w:rsid w:val="00EC72A7"/>
    <w:rsid w:val="00EC763D"/>
    <w:rsid w:val="00EC795A"/>
    <w:rsid w:val="00EC7C44"/>
    <w:rsid w:val="00EC7C82"/>
    <w:rsid w:val="00ED0F2C"/>
    <w:rsid w:val="00ED15B2"/>
    <w:rsid w:val="00ED1D35"/>
    <w:rsid w:val="00ED2512"/>
    <w:rsid w:val="00ED2567"/>
    <w:rsid w:val="00ED282A"/>
    <w:rsid w:val="00ED308A"/>
    <w:rsid w:val="00ED3390"/>
    <w:rsid w:val="00ED34EC"/>
    <w:rsid w:val="00ED3547"/>
    <w:rsid w:val="00ED3DE4"/>
    <w:rsid w:val="00ED4717"/>
    <w:rsid w:val="00ED4793"/>
    <w:rsid w:val="00ED480A"/>
    <w:rsid w:val="00ED4C35"/>
    <w:rsid w:val="00ED53E4"/>
    <w:rsid w:val="00ED563A"/>
    <w:rsid w:val="00ED56FA"/>
    <w:rsid w:val="00ED59CB"/>
    <w:rsid w:val="00ED5E01"/>
    <w:rsid w:val="00ED5E73"/>
    <w:rsid w:val="00ED66BB"/>
    <w:rsid w:val="00ED67DA"/>
    <w:rsid w:val="00ED67FA"/>
    <w:rsid w:val="00ED6DDC"/>
    <w:rsid w:val="00ED6F6C"/>
    <w:rsid w:val="00ED706F"/>
    <w:rsid w:val="00ED730F"/>
    <w:rsid w:val="00ED750A"/>
    <w:rsid w:val="00ED755F"/>
    <w:rsid w:val="00ED792E"/>
    <w:rsid w:val="00ED794A"/>
    <w:rsid w:val="00ED7E90"/>
    <w:rsid w:val="00ED7F17"/>
    <w:rsid w:val="00ED7F4E"/>
    <w:rsid w:val="00EE0328"/>
    <w:rsid w:val="00EE0B02"/>
    <w:rsid w:val="00EE0C79"/>
    <w:rsid w:val="00EE0F28"/>
    <w:rsid w:val="00EE15A3"/>
    <w:rsid w:val="00EE1A4A"/>
    <w:rsid w:val="00EE1C0A"/>
    <w:rsid w:val="00EE1E59"/>
    <w:rsid w:val="00EE1E70"/>
    <w:rsid w:val="00EE237B"/>
    <w:rsid w:val="00EE2488"/>
    <w:rsid w:val="00EE2557"/>
    <w:rsid w:val="00EE25EF"/>
    <w:rsid w:val="00EE26EA"/>
    <w:rsid w:val="00EE2791"/>
    <w:rsid w:val="00EE287A"/>
    <w:rsid w:val="00EE2958"/>
    <w:rsid w:val="00EE3A1C"/>
    <w:rsid w:val="00EE3BD3"/>
    <w:rsid w:val="00EE3E06"/>
    <w:rsid w:val="00EE48B8"/>
    <w:rsid w:val="00EE4CBE"/>
    <w:rsid w:val="00EE502C"/>
    <w:rsid w:val="00EE5262"/>
    <w:rsid w:val="00EE54A6"/>
    <w:rsid w:val="00EE54C1"/>
    <w:rsid w:val="00EE55CD"/>
    <w:rsid w:val="00EE57F3"/>
    <w:rsid w:val="00EE5AAB"/>
    <w:rsid w:val="00EE5AF3"/>
    <w:rsid w:val="00EE6678"/>
    <w:rsid w:val="00EE66B6"/>
    <w:rsid w:val="00EE67CD"/>
    <w:rsid w:val="00EE6943"/>
    <w:rsid w:val="00EE6DF5"/>
    <w:rsid w:val="00EE7432"/>
    <w:rsid w:val="00EE767B"/>
    <w:rsid w:val="00EE7BD9"/>
    <w:rsid w:val="00EE7CCD"/>
    <w:rsid w:val="00EE7CE1"/>
    <w:rsid w:val="00EE7D59"/>
    <w:rsid w:val="00EE7F99"/>
    <w:rsid w:val="00EF0333"/>
    <w:rsid w:val="00EF03B6"/>
    <w:rsid w:val="00EF0663"/>
    <w:rsid w:val="00EF0BE3"/>
    <w:rsid w:val="00EF0BED"/>
    <w:rsid w:val="00EF188B"/>
    <w:rsid w:val="00EF1928"/>
    <w:rsid w:val="00EF1EEB"/>
    <w:rsid w:val="00EF2508"/>
    <w:rsid w:val="00EF26AC"/>
    <w:rsid w:val="00EF2CC9"/>
    <w:rsid w:val="00EF3286"/>
    <w:rsid w:val="00EF3A86"/>
    <w:rsid w:val="00EF3D3F"/>
    <w:rsid w:val="00EF3DE1"/>
    <w:rsid w:val="00EF442D"/>
    <w:rsid w:val="00EF443E"/>
    <w:rsid w:val="00EF4780"/>
    <w:rsid w:val="00EF497F"/>
    <w:rsid w:val="00EF4A53"/>
    <w:rsid w:val="00EF5033"/>
    <w:rsid w:val="00EF54C5"/>
    <w:rsid w:val="00EF58F1"/>
    <w:rsid w:val="00EF5970"/>
    <w:rsid w:val="00EF5A67"/>
    <w:rsid w:val="00EF5AA3"/>
    <w:rsid w:val="00EF5C9F"/>
    <w:rsid w:val="00EF6722"/>
    <w:rsid w:val="00EF673E"/>
    <w:rsid w:val="00EF68D4"/>
    <w:rsid w:val="00EF691B"/>
    <w:rsid w:val="00EF6B2E"/>
    <w:rsid w:val="00EF6CE1"/>
    <w:rsid w:val="00EF6CF6"/>
    <w:rsid w:val="00EF6FA3"/>
    <w:rsid w:val="00EF75CC"/>
    <w:rsid w:val="00EF77CE"/>
    <w:rsid w:val="00EF7800"/>
    <w:rsid w:val="00EF789E"/>
    <w:rsid w:val="00EF7EBE"/>
    <w:rsid w:val="00EF7F49"/>
    <w:rsid w:val="00F00438"/>
    <w:rsid w:val="00F0085A"/>
    <w:rsid w:val="00F00C61"/>
    <w:rsid w:val="00F00EE2"/>
    <w:rsid w:val="00F00FF8"/>
    <w:rsid w:val="00F0178F"/>
    <w:rsid w:val="00F018BE"/>
    <w:rsid w:val="00F01A45"/>
    <w:rsid w:val="00F01FEE"/>
    <w:rsid w:val="00F020F0"/>
    <w:rsid w:val="00F024B0"/>
    <w:rsid w:val="00F025FA"/>
    <w:rsid w:val="00F026CA"/>
    <w:rsid w:val="00F02F95"/>
    <w:rsid w:val="00F03994"/>
    <w:rsid w:val="00F040A7"/>
    <w:rsid w:val="00F0417B"/>
    <w:rsid w:val="00F042CC"/>
    <w:rsid w:val="00F0431E"/>
    <w:rsid w:val="00F0460F"/>
    <w:rsid w:val="00F04655"/>
    <w:rsid w:val="00F0482A"/>
    <w:rsid w:val="00F0498B"/>
    <w:rsid w:val="00F0518E"/>
    <w:rsid w:val="00F05509"/>
    <w:rsid w:val="00F05A42"/>
    <w:rsid w:val="00F05D9F"/>
    <w:rsid w:val="00F05E10"/>
    <w:rsid w:val="00F062DC"/>
    <w:rsid w:val="00F0645F"/>
    <w:rsid w:val="00F064A1"/>
    <w:rsid w:val="00F07229"/>
    <w:rsid w:val="00F07361"/>
    <w:rsid w:val="00F074F0"/>
    <w:rsid w:val="00F07BF8"/>
    <w:rsid w:val="00F07EEC"/>
    <w:rsid w:val="00F10006"/>
    <w:rsid w:val="00F10135"/>
    <w:rsid w:val="00F104BD"/>
    <w:rsid w:val="00F10865"/>
    <w:rsid w:val="00F108E5"/>
    <w:rsid w:val="00F110EC"/>
    <w:rsid w:val="00F112B4"/>
    <w:rsid w:val="00F114A1"/>
    <w:rsid w:val="00F11685"/>
    <w:rsid w:val="00F119AC"/>
    <w:rsid w:val="00F11A48"/>
    <w:rsid w:val="00F11A8E"/>
    <w:rsid w:val="00F1238D"/>
    <w:rsid w:val="00F1271B"/>
    <w:rsid w:val="00F127C1"/>
    <w:rsid w:val="00F127FF"/>
    <w:rsid w:val="00F12BC8"/>
    <w:rsid w:val="00F12D3E"/>
    <w:rsid w:val="00F12F96"/>
    <w:rsid w:val="00F13313"/>
    <w:rsid w:val="00F13821"/>
    <w:rsid w:val="00F13B49"/>
    <w:rsid w:val="00F13B4A"/>
    <w:rsid w:val="00F13C30"/>
    <w:rsid w:val="00F13CD7"/>
    <w:rsid w:val="00F13D5F"/>
    <w:rsid w:val="00F13D7A"/>
    <w:rsid w:val="00F13E42"/>
    <w:rsid w:val="00F13F8F"/>
    <w:rsid w:val="00F14023"/>
    <w:rsid w:val="00F14136"/>
    <w:rsid w:val="00F1458E"/>
    <w:rsid w:val="00F14649"/>
    <w:rsid w:val="00F14C17"/>
    <w:rsid w:val="00F14FF5"/>
    <w:rsid w:val="00F1535B"/>
    <w:rsid w:val="00F15B93"/>
    <w:rsid w:val="00F1657D"/>
    <w:rsid w:val="00F16CEC"/>
    <w:rsid w:val="00F1726A"/>
    <w:rsid w:val="00F172FB"/>
    <w:rsid w:val="00F17B7B"/>
    <w:rsid w:val="00F17B86"/>
    <w:rsid w:val="00F17E93"/>
    <w:rsid w:val="00F17F15"/>
    <w:rsid w:val="00F17FBF"/>
    <w:rsid w:val="00F204AD"/>
    <w:rsid w:val="00F2069F"/>
    <w:rsid w:val="00F2086E"/>
    <w:rsid w:val="00F20A57"/>
    <w:rsid w:val="00F21440"/>
    <w:rsid w:val="00F21492"/>
    <w:rsid w:val="00F215CE"/>
    <w:rsid w:val="00F21958"/>
    <w:rsid w:val="00F21B0D"/>
    <w:rsid w:val="00F21E9F"/>
    <w:rsid w:val="00F223C5"/>
    <w:rsid w:val="00F2293B"/>
    <w:rsid w:val="00F229CD"/>
    <w:rsid w:val="00F22B04"/>
    <w:rsid w:val="00F22B3B"/>
    <w:rsid w:val="00F22D1E"/>
    <w:rsid w:val="00F236C2"/>
    <w:rsid w:val="00F23864"/>
    <w:rsid w:val="00F23BBB"/>
    <w:rsid w:val="00F240DD"/>
    <w:rsid w:val="00F2428A"/>
    <w:rsid w:val="00F24404"/>
    <w:rsid w:val="00F24E20"/>
    <w:rsid w:val="00F24FCE"/>
    <w:rsid w:val="00F251E0"/>
    <w:rsid w:val="00F25383"/>
    <w:rsid w:val="00F25673"/>
    <w:rsid w:val="00F25711"/>
    <w:rsid w:val="00F25DAE"/>
    <w:rsid w:val="00F26263"/>
    <w:rsid w:val="00F2626F"/>
    <w:rsid w:val="00F265E9"/>
    <w:rsid w:val="00F26ACD"/>
    <w:rsid w:val="00F26E2D"/>
    <w:rsid w:val="00F27087"/>
    <w:rsid w:val="00F272CF"/>
    <w:rsid w:val="00F276C8"/>
    <w:rsid w:val="00F277B2"/>
    <w:rsid w:val="00F27931"/>
    <w:rsid w:val="00F3013A"/>
    <w:rsid w:val="00F3041B"/>
    <w:rsid w:val="00F304FE"/>
    <w:rsid w:val="00F305D3"/>
    <w:rsid w:val="00F3067A"/>
    <w:rsid w:val="00F308A5"/>
    <w:rsid w:val="00F308FE"/>
    <w:rsid w:val="00F30DDE"/>
    <w:rsid w:val="00F30E1D"/>
    <w:rsid w:val="00F3142A"/>
    <w:rsid w:val="00F31D5B"/>
    <w:rsid w:val="00F32010"/>
    <w:rsid w:val="00F3232B"/>
    <w:rsid w:val="00F325A8"/>
    <w:rsid w:val="00F32B0F"/>
    <w:rsid w:val="00F32CF6"/>
    <w:rsid w:val="00F32E01"/>
    <w:rsid w:val="00F3372F"/>
    <w:rsid w:val="00F33F9F"/>
    <w:rsid w:val="00F342AB"/>
    <w:rsid w:val="00F34694"/>
    <w:rsid w:val="00F348A8"/>
    <w:rsid w:val="00F3492D"/>
    <w:rsid w:val="00F34DD2"/>
    <w:rsid w:val="00F34EF8"/>
    <w:rsid w:val="00F355A5"/>
    <w:rsid w:val="00F3593F"/>
    <w:rsid w:val="00F3640C"/>
    <w:rsid w:val="00F3668D"/>
    <w:rsid w:val="00F367DC"/>
    <w:rsid w:val="00F36A70"/>
    <w:rsid w:val="00F36B21"/>
    <w:rsid w:val="00F371E9"/>
    <w:rsid w:val="00F3744D"/>
    <w:rsid w:val="00F3753D"/>
    <w:rsid w:val="00F37888"/>
    <w:rsid w:val="00F37C48"/>
    <w:rsid w:val="00F37D41"/>
    <w:rsid w:val="00F37FF5"/>
    <w:rsid w:val="00F40BCD"/>
    <w:rsid w:val="00F40D10"/>
    <w:rsid w:val="00F40FD6"/>
    <w:rsid w:val="00F411A5"/>
    <w:rsid w:val="00F411E4"/>
    <w:rsid w:val="00F41A80"/>
    <w:rsid w:val="00F41BAC"/>
    <w:rsid w:val="00F420C1"/>
    <w:rsid w:val="00F422A8"/>
    <w:rsid w:val="00F42458"/>
    <w:rsid w:val="00F425C5"/>
    <w:rsid w:val="00F42608"/>
    <w:rsid w:val="00F42C4C"/>
    <w:rsid w:val="00F42CDB"/>
    <w:rsid w:val="00F431E4"/>
    <w:rsid w:val="00F4374E"/>
    <w:rsid w:val="00F441AE"/>
    <w:rsid w:val="00F443E0"/>
    <w:rsid w:val="00F44486"/>
    <w:rsid w:val="00F447A0"/>
    <w:rsid w:val="00F44B1B"/>
    <w:rsid w:val="00F44BCC"/>
    <w:rsid w:val="00F44D31"/>
    <w:rsid w:val="00F44F58"/>
    <w:rsid w:val="00F45127"/>
    <w:rsid w:val="00F45C71"/>
    <w:rsid w:val="00F45E0E"/>
    <w:rsid w:val="00F4614F"/>
    <w:rsid w:val="00F46636"/>
    <w:rsid w:val="00F4663A"/>
    <w:rsid w:val="00F46ABC"/>
    <w:rsid w:val="00F46D16"/>
    <w:rsid w:val="00F46E50"/>
    <w:rsid w:val="00F47314"/>
    <w:rsid w:val="00F474DB"/>
    <w:rsid w:val="00F476F5"/>
    <w:rsid w:val="00F478B2"/>
    <w:rsid w:val="00F47CBA"/>
    <w:rsid w:val="00F50492"/>
    <w:rsid w:val="00F505B6"/>
    <w:rsid w:val="00F50651"/>
    <w:rsid w:val="00F507D5"/>
    <w:rsid w:val="00F508E1"/>
    <w:rsid w:val="00F50BB4"/>
    <w:rsid w:val="00F5123E"/>
    <w:rsid w:val="00F514C2"/>
    <w:rsid w:val="00F51932"/>
    <w:rsid w:val="00F51A18"/>
    <w:rsid w:val="00F51DDE"/>
    <w:rsid w:val="00F51FB1"/>
    <w:rsid w:val="00F52050"/>
    <w:rsid w:val="00F520C2"/>
    <w:rsid w:val="00F528D7"/>
    <w:rsid w:val="00F52AD9"/>
    <w:rsid w:val="00F52F12"/>
    <w:rsid w:val="00F530AA"/>
    <w:rsid w:val="00F53344"/>
    <w:rsid w:val="00F533C7"/>
    <w:rsid w:val="00F53571"/>
    <w:rsid w:val="00F538AA"/>
    <w:rsid w:val="00F53AD8"/>
    <w:rsid w:val="00F53C67"/>
    <w:rsid w:val="00F53D05"/>
    <w:rsid w:val="00F53DBA"/>
    <w:rsid w:val="00F54117"/>
    <w:rsid w:val="00F5417E"/>
    <w:rsid w:val="00F54260"/>
    <w:rsid w:val="00F54B0A"/>
    <w:rsid w:val="00F54D93"/>
    <w:rsid w:val="00F55077"/>
    <w:rsid w:val="00F55205"/>
    <w:rsid w:val="00F55B81"/>
    <w:rsid w:val="00F56756"/>
    <w:rsid w:val="00F57021"/>
    <w:rsid w:val="00F57283"/>
    <w:rsid w:val="00F573F0"/>
    <w:rsid w:val="00F57595"/>
    <w:rsid w:val="00F575C5"/>
    <w:rsid w:val="00F57B8E"/>
    <w:rsid w:val="00F57C22"/>
    <w:rsid w:val="00F60257"/>
    <w:rsid w:val="00F604BC"/>
    <w:rsid w:val="00F605B5"/>
    <w:rsid w:val="00F6082E"/>
    <w:rsid w:val="00F60C5E"/>
    <w:rsid w:val="00F60FB2"/>
    <w:rsid w:val="00F6128D"/>
    <w:rsid w:val="00F6139D"/>
    <w:rsid w:val="00F6141C"/>
    <w:rsid w:val="00F6141E"/>
    <w:rsid w:val="00F61579"/>
    <w:rsid w:val="00F61608"/>
    <w:rsid w:val="00F61AE0"/>
    <w:rsid w:val="00F61EEA"/>
    <w:rsid w:val="00F6226A"/>
    <w:rsid w:val="00F62716"/>
    <w:rsid w:val="00F6292A"/>
    <w:rsid w:val="00F629DA"/>
    <w:rsid w:val="00F62A64"/>
    <w:rsid w:val="00F62C39"/>
    <w:rsid w:val="00F62EB2"/>
    <w:rsid w:val="00F631A7"/>
    <w:rsid w:val="00F63723"/>
    <w:rsid w:val="00F63B20"/>
    <w:rsid w:val="00F63C2B"/>
    <w:rsid w:val="00F63C9A"/>
    <w:rsid w:val="00F63CF6"/>
    <w:rsid w:val="00F63E1B"/>
    <w:rsid w:val="00F63FA2"/>
    <w:rsid w:val="00F640A8"/>
    <w:rsid w:val="00F645E1"/>
    <w:rsid w:val="00F64614"/>
    <w:rsid w:val="00F6473E"/>
    <w:rsid w:val="00F64CF1"/>
    <w:rsid w:val="00F653AD"/>
    <w:rsid w:val="00F655AD"/>
    <w:rsid w:val="00F65894"/>
    <w:rsid w:val="00F65971"/>
    <w:rsid w:val="00F65AC5"/>
    <w:rsid w:val="00F65BB4"/>
    <w:rsid w:val="00F65E85"/>
    <w:rsid w:val="00F66273"/>
    <w:rsid w:val="00F664B7"/>
    <w:rsid w:val="00F666F7"/>
    <w:rsid w:val="00F667E9"/>
    <w:rsid w:val="00F66BA1"/>
    <w:rsid w:val="00F66C6F"/>
    <w:rsid w:val="00F66F08"/>
    <w:rsid w:val="00F671B6"/>
    <w:rsid w:val="00F678CE"/>
    <w:rsid w:val="00F67D5B"/>
    <w:rsid w:val="00F67F37"/>
    <w:rsid w:val="00F70089"/>
    <w:rsid w:val="00F70176"/>
    <w:rsid w:val="00F70196"/>
    <w:rsid w:val="00F70628"/>
    <w:rsid w:val="00F706FE"/>
    <w:rsid w:val="00F7085D"/>
    <w:rsid w:val="00F70EE9"/>
    <w:rsid w:val="00F70F81"/>
    <w:rsid w:val="00F7110D"/>
    <w:rsid w:val="00F716EF"/>
    <w:rsid w:val="00F7176F"/>
    <w:rsid w:val="00F71961"/>
    <w:rsid w:val="00F71CE2"/>
    <w:rsid w:val="00F71E88"/>
    <w:rsid w:val="00F71EAA"/>
    <w:rsid w:val="00F72198"/>
    <w:rsid w:val="00F724B3"/>
    <w:rsid w:val="00F728E6"/>
    <w:rsid w:val="00F72A0F"/>
    <w:rsid w:val="00F72B92"/>
    <w:rsid w:val="00F73059"/>
    <w:rsid w:val="00F734C9"/>
    <w:rsid w:val="00F734CB"/>
    <w:rsid w:val="00F738EA"/>
    <w:rsid w:val="00F73A37"/>
    <w:rsid w:val="00F73E40"/>
    <w:rsid w:val="00F7414F"/>
    <w:rsid w:val="00F74630"/>
    <w:rsid w:val="00F74E72"/>
    <w:rsid w:val="00F74FC9"/>
    <w:rsid w:val="00F7512B"/>
    <w:rsid w:val="00F75299"/>
    <w:rsid w:val="00F7538B"/>
    <w:rsid w:val="00F7666F"/>
    <w:rsid w:val="00F76946"/>
    <w:rsid w:val="00F76BA2"/>
    <w:rsid w:val="00F77345"/>
    <w:rsid w:val="00F773FD"/>
    <w:rsid w:val="00F774E6"/>
    <w:rsid w:val="00F7773A"/>
    <w:rsid w:val="00F801A0"/>
    <w:rsid w:val="00F80489"/>
    <w:rsid w:val="00F80A14"/>
    <w:rsid w:val="00F81110"/>
    <w:rsid w:val="00F81515"/>
    <w:rsid w:val="00F8171C"/>
    <w:rsid w:val="00F81A69"/>
    <w:rsid w:val="00F81AF0"/>
    <w:rsid w:val="00F81DB5"/>
    <w:rsid w:val="00F81E44"/>
    <w:rsid w:val="00F82220"/>
    <w:rsid w:val="00F82759"/>
    <w:rsid w:val="00F8333C"/>
    <w:rsid w:val="00F83436"/>
    <w:rsid w:val="00F83587"/>
    <w:rsid w:val="00F83955"/>
    <w:rsid w:val="00F83B23"/>
    <w:rsid w:val="00F83C21"/>
    <w:rsid w:val="00F84188"/>
    <w:rsid w:val="00F842FD"/>
    <w:rsid w:val="00F84331"/>
    <w:rsid w:val="00F8444E"/>
    <w:rsid w:val="00F846B9"/>
    <w:rsid w:val="00F84CE5"/>
    <w:rsid w:val="00F85038"/>
    <w:rsid w:val="00F8510B"/>
    <w:rsid w:val="00F8558D"/>
    <w:rsid w:val="00F85B58"/>
    <w:rsid w:val="00F85DC9"/>
    <w:rsid w:val="00F864A5"/>
    <w:rsid w:val="00F86851"/>
    <w:rsid w:val="00F870CD"/>
    <w:rsid w:val="00F8719B"/>
    <w:rsid w:val="00F87647"/>
    <w:rsid w:val="00F876EA"/>
    <w:rsid w:val="00F879FF"/>
    <w:rsid w:val="00F87ABA"/>
    <w:rsid w:val="00F87B61"/>
    <w:rsid w:val="00F87BB8"/>
    <w:rsid w:val="00F9050C"/>
    <w:rsid w:val="00F90C1E"/>
    <w:rsid w:val="00F90DA5"/>
    <w:rsid w:val="00F912E8"/>
    <w:rsid w:val="00F91583"/>
    <w:rsid w:val="00F92032"/>
    <w:rsid w:val="00F9282B"/>
    <w:rsid w:val="00F92837"/>
    <w:rsid w:val="00F92E45"/>
    <w:rsid w:val="00F9344B"/>
    <w:rsid w:val="00F93999"/>
    <w:rsid w:val="00F93B4E"/>
    <w:rsid w:val="00F93BD5"/>
    <w:rsid w:val="00F93D53"/>
    <w:rsid w:val="00F94073"/>
    <w:rsid w:val="00F94374"/>
    <w:rsid w:val="00F94604"/>
    <w:rsid w:val="00F94834"/>
    <w:rsid w:val="00F9490A"/>
    <w:rsid w:val="00F94DB3"/>
    <w:rsid w:val="00F953FE"/>
    <w:rsid w:val="00F95D52"/>
    <w:rsid w:val="00F95D64"/>
    <w:rsid w:val="00F95FAF"/>
    <w:rsid w:val="00F9610B"/>
    <w:rsid w:val="00F962BD"/>
    <w:rsid w:val="00F965BF"/>
    <w:rsid w:val="00F96C13"/>
    <w:rsid w:val="00F96DD9"/>
    <w:rsid w:val="00F96F5B"/>
    <w:rsid w:val="00F97389"/>
    <w:rsid w:val="00F97E17"/>
    <w:rsid w:val="00FA0059"/>
    <w:rsid w:val="00FA0491"/>
    <w:rsid w:val="00FA06BA"/>
    <w:rsid w:val="00FA0CB2"/>
    <w:rsid w:val="00FA0D6E"/>
    <w:rsid w:val="00FA10CD"/>
    <w:rsid w:val="00FA11F5"/>
    <w:rsid w:val="00FA1301"/>
    <w:rsid w:val="00FA1ACF"/>
    <w:rsid w:val="00FA1C48"/>
    <w:rsid w:val="00FA1DE2"/>
    <w:rsid w:val="00FA1F17"/>
    <w:rsid w:val="00FA1F49"/>
    <w:rsid w:val="00FA1F9E"/>
    <w:rsid w:val="00FA2BE3"/>
    <w:rsid w:val="00FA2D00"/>
    <w:rsid w:val="00FA35B2"/>
    <w:rsid w:val="00FA36C2"/>
    <w:rsid w:val="00FA38AA"/>
    <w:rsid w:val="00FA398F"/>
    <w:rsid w:val="00FA3993"/>
    <w:rsid w:val="00FA3CD7"/>
    <w:rsid w:val="00FA3ECB"/>
    <w:rsid w:val="00FA4306"/>
    <w:rsid w:val="00FA47C3"/>
    <w:rsid w:val="00FA4A8F"/>
    <w:rsid w:val="00FA4D0B"/>
    <w:rsid w:val="00FA4DFF"/>
    <w:rsid w:val="00FA5014"/>
    <w:rsid w:val="00FA52DC"/>
    <w:rsid w:val="00FA5479"/>
    <w:rsid w:val="00FA5971"/>
    <w:rsid w:val="00FA5C06"/>
    <w:rsid w:val="00FA5C0F"/>
    <w:rsid w:val="00FA6159"/>
    <w:rsid w:val="00FA61EC"/>
    <w:rsid w:val="00FA6D78"/>
    <w:rsid w:val="00FA7592"/>
    <w:rsid w:val="00FA759C"/>
    <w:rsid w:val="00FA7A1D"/>
    <w:rsid w:val="00FA7A5F"/>
    <w:rsid w:val="00FA7AD0"/>
    <w:rsid w:val="00FA7FB2"/>
    <w:rsid w:val="00FB00D9"/>
    <w:rsid w:val="00FB0363"/>
    <w:rsid w:val="00FB05E2"/>
    <w:rsid w:val="00FB06C4"/>
    <w:rsid w:val="00FB07BA"/>
    <w:rsid w:val="00FB127C"/>
    <w:rsid w:val="00FB1328"/>
    <w:rsid w:val="00FB14C2"/>
    <w:rsid w:val="00FB1FE0"/>
    <w:rsid w:val="00FB200D"/>
    <w:rsid w:val="00FB2435"/>
    <w:rsid w:val="00FB25B4"/>
    <w:rsid w:val="00FB25DC"/>
    <w:rsid w:val="00FB2795"/>
    <w:rsid w:val="00FB2A08"/>
    <w:rsid w:val="00FB2EC5"/>
    <w:rsid w:val="00FB30A1"/>
    <w:rsid w:val="00FB3704"/>
    <w:rsid w:val="00FB3C11"/>
    <w:rsid w:val="00FB4167"/>
    <w:rsid w:val="00FB417F"/>
    <w:rsid w:val="00FB421B"/>
    <w:rsid w:val="00FB455E"/>
    <w:rsid w:val="00FB472B"/>
    <w:rsid w:val="00FB482C"/>
    <w:rsid w:val="00FB4A1D"/>
    <w:rsid w:val="00FB4CCB"/>
    <w:rsid w:val="00FB5EF0"/>
    <w:rsid w:val="00FB62BC"/>
    <w:rsid w:val="00FB6A2B"/>
    <w:rsid w:val="00FB6E87"/>
    <w:rsid w:val="00FB7143"/>
    <w:rsid w:val="00FB72A2"/>
    <w:rsid w:val="00FB7900"/>
    <w:rsid w:val="00FB7A8D"/>
    <w:rsid w:val="00FB7D21"/>
    <w:rsid w:val="00FC0368"/>
    <w:rsid w:val="00FC0E02"/>
    <w:rsid w:val="00FC14CA"/>
    <w:rsid w:val="00FC1B79"/>
    <w:rsid w:val="00FC1BF2"/>
    <w:rsid w:val="00FC1CB1"/>
    <w:rsid w:val="00FC1D59"/>
    <w:rsid w:val="00FC1FE1"/>
    <w:rsid w:val="00FC214F"/>
    <w:rsid w:val="00FC2288"/>
    <w:rsid w:val="00FC245B"/>
    <w:rsid w:val="00FC27F6"/>
    <w:rsid w:val="00FC2843"/>
    <w:rsid w:val="00FC2AE9"/>
    <w:rsid w:val="00FC2CD3"/>
    <w:rsid w:val="00FC31E5"/>
    <w:rsid w:val="00FC36B7"/>
    <w:rsid w:val="00FC3A00"/>
    <w:rsid w:val="00FC4000"/>
    <w:rsid w:val="00FC41EC"/>
    <w:rsid w:val="00FC4A71"/>
    <w:rsid w:val="00FC4C82"/>
    <w:rsid w:val="00FC4E0F"/>
    <w:rsid w:val="00FC53B5"/>
    <w:rsid w:val="00FC549D"/>
    <w:rsid w:val="00FC5652"/>
    <w:rsid w:val="00FC5827"/>
    <w:rsid w:val="00FC5D3F"/>
    <w:rsid w:val="00FC6237"/>
    <w:rsid w:val="00FC647A"/>
    <w:rsid w:val="00FC6516"/>
    <w:rsid w:val="00FC6801"/>
    <w:rsid w:val="00FC69A0"/>
    <w:rsid w:val="00FC6AC4"/>
    <w:rsid w:val="00FC6B7D"/>
    <w:rsid w:val="00FC6BF9"/>
    <w:rsid w:val="00FC6CBC"/>
    <w:rsid w:val="00FC70C6"/>
    <w:rsid w:val="00FC72C7"/>
    <w:rsid w:val="00FC7A46"/>
    <w:rsid w:val="00FD03F6"/>
    <w:rsid w:val="00FD073B"/>
    <w:rsid w:val="00FD0A0E"/>
    <w:rsid w:val="00FD0AF3"/>
    <w:rsid w:val="00FD0F1C"/>
    <w:rsid w:val="00FD1084"/>
    <w:rsid w:val="00FD11F6"/>
    <w:rsid w:val="00FD1338"/>
    <w:rsid w:val="00FD138F"/>
    <w:rsid w:val="00FD1401"/>
    <w:rsid w:val="00FD15BE"/>
    <w:rsid w:val="00FD1CFC"/>
    <w:rsid w:val="00FD2240"/>
    <w:rsid w:val="00FD295B"/>
    <w:rsid w:val="00FD36C4"/>
    <w:rsid w:val="00FD3908"/>
    <w:rsid w:val="00FD3924"/>
    <w:rsid w:val="00FD3B84"/>
    <w:rsid w:val="00FD5003"/>
    <w:rsid w:val="00FD5131"/>
    <w:rsid w:val="00FD536D"/>
    <w:rsid w:val="00FD559B"/>
    <w:rsid w:val="00FD58AE"/>
    <w:rsid w:val="00FD5B67"/>
    <w:rsid w:val="00FD5C1F"/>
    <w:rsid w:val="00FD5C67"/>
    <w:rsid w:val="00FD6024"/>
    <w:rsid w:val="00FD6031"/>
    <w:rsid w:val="00FD612F"/>
    <w:rsid w:val="00FD6330"/>
    <w:rsid w:val="00FD6789"/>
    <w:rsid w:val="00FD6D78"/>
    <w:rsid w:val="00FD6FB8"/>
    <w:rsid w:val="00FD722F"/>
    <w:rsid w:val="00FD7BE5"/>
    <w:rsid w:val="00FE0CBD"/>
    <w:rsid w:val="00FE1250"/>
    <w:rsid w:val="00FE1325"/>
    <w:rsid w:val="00FE13A1"/>
    <w:rsid w:val="00FE1955"/>
    <w:rsid w:val="00FE1F2C"/>
    <w:rsid w:val="00FE1F69"/>
    <w:rsid w:val="00FE21D5"/>
    <w:rsid w:val="00FE2363"/>
    <w:rsid w:val="00FE242B"/>
    <w:rsid w:val="00FE252B"/>
    <w:rsid w:val="00FE28EF"/>
    <w:rsid w:val="00FE299B"/>
    <w:rsid w:val="00FE2D52"/>
    <w:rsid w:val="00FE2E21"/>
    <w:rsid w:val="00FE34A5"/>
    <w:rsid w:val="00FE353C"/>
    <w:rsid w:val="00FE3591"/>
    <w:rsid w:val="00FE3980"/>
    <w:rsid w:val="00FE3C1B"/>
    <w:rsid w:val="00FE3E07"/>
    <w:rsid w:val="00FE3EAB"/>
    <w:rsid w:val="00FE3ED1"/>
    <w:rsid w:val="00FE43AB"/>
    <w:rsid w:val="00FE464D"/>
    <w:rsid w:val="00FE48F0"/>
    <w:rsid w:val="00FE4B59"/>
    <w:rsid w:val="00FE4EDC"/>
    <w:rsid w:val="00FE4F40"/>
    <w:rsid w:val="00FE5B4D"/>
    <w:rsid w:val="00FE5C2C"/>
    <w:rsid w:val="00FE5CC9"/>
    <w:rsid w:val="00FE5F9F"/>
    <w:rsid w:val="00FE62C3"/>
    <w:rsid w:val="00FE6782"/>
    <w:rsid w:val="00FE6DF1"/>
    <w:rsid w:val="00FE7886"/>
    <w:rsid w:val="00FE7A01"/>
    <w:rsid w:val="00FE7CB4"/>
    <w:rsid w:val="00FE7D7D"/>
    <w:rsid w:val="00FF0243"/>
    <w:rsid w:val="00FF028E"/>
    <w:rsid w:val="00FF07AB"/>
    <w:rsid w:val="00FF0F39"/>
    <w:rsid w:val="00FF1546"/>
    <w:rsid w:val="00FF1A14"/>
    <w:rsid w:val="00FF1ACD"/>
    <w:rsid w:val="00FF1BCB"/>
    <w:rsid w:val="00FF2160"/>
    <w:rsid w:val="00FF2866"/>
    <w:rsid w:val="00FF2F54"/>
    <w:rsid w:val="00FF2FDA"/>
    <w:rsid w:val="00FF314A"/>
    <w:rsid w:val="00FF3508"/>
    <w:rsid w:val="00FF3691"/>
    <w:rsid w:val="00FF38CB"/>
    <w:rsid w:val="00FF3A7F"/>
    <w:rsid w:val="00FF3AC0"/>
    <w:rsid w:val="00FF3CC4"/>
    <w:rsid w:val="00FF418B"/>
    <w:rsid w:val="00FF428E"/>
    <w:rsid w:val="00FF42D2"/>
    <w:rsid w:val="00FF4897"/>
    <w:rsid w:val="00FF499D"/>
    <w:rsid w:val="00FF4E13"/>
    <w:rsid w:val="00FF5087"/>
    <w:rsid w:val="00FF5164"/>
    <w:rsid w:val="00FF52B2"/>
    <w:rsid w:val="00FF54EC"/>
    <w:rsid w:val="00FF5740"/>
    <w:rsid w:val="00FF5A25"/>
    <w:rsid w:val="00FF5B64"/>
    <w:rsid w:val="00FF5BB6"/>
    <w:rsid w:val="00FF5E7D"/>
    <w:rsid w:val="00FF6266"/>
    <w:rsid w:val="00FF670E"/>
    <w:rsid w:val="00FF6B30"/>
    <w:rsid w:val="00FF6BFD"/>
    <w:rsid w:val="00FF6D48"/>
    <w:rsid w:val="00FF7416"/>
    <w:rsid w:val="00FF7F51"/>
    <w:rsid w:val="00FF7FA0"/>
    <w:rsid w:val="010B447C"/>
    <w:rsid w:val="012D2E9F"/>
    <w:rsid w:val="01597580"/>
    <w:rsid w:val="015F7975"/>
    <w:rsid w:val="01705095"/>
    <w:rsid w:val="0179351B"/>
    <w:rsid w:val="01830CAE"/>
    <w:rsid w:val="01897EDF"/>
    <w:rsid w:val="01902F7E"/>
    <w:rsid w:val="01A927F4"/>
    <w:rsid w:val="01C04D8D"/>
    <w:rsid w:val="01EB4081"/>
    <w:rsid w:val="01EB6738"/>
    <w:rsid w:val="02077660"/>
    <w:rsid w:val="026B1E21"/>
    <w:rsid w:val="027404F3"/>
    <w:rsid w:val="028265A2"/>
    <w:rsid w:val="02ED1C6E"/>
    <w:rsid w:val="02F359E2"/>
    <w:rsid w:val="030E582C"/>
    <w:rsid w:val="03623241"/>
    <w:rsid w:val="03793394"/>
    <w:rsid w:val="03AA4003"/>
    <w:rsid w:val="03F03CF3"/>
    <w:rsid w:val="04175749"/>
    <w:rsid w:val="04294066"/>
    <w:rsid w:val="04410CD2"/>
    <w:rsid w:val="04560769"/>
    <w:rsid w:val="045A1DC6"/>
    <w:rsid w:val="04A25998"/>
    <w:rsid w:val="04AC0233"/>
    <w:rsid w:val="04C40FD4"/>
    <w:rsid w:val="04DA4A37"/>
    <w:rsid w:val="050B17DB"/>
    <w:rsid w:val="05596483"/>
    <w:rsid w:val="055B7740"/>
    <w:rsid w:val="0578785D"/>
    <w:rsid w:val="05887257"/>
    <w:rsid w:val="05CD222A"/>
    <w:rsid w:val="05E00D37"/>
    <w:rsid w:val="05FE7402"/>
    <w:rsid w:val="05FF46B1"/>
    <w:rsid w:val="06284F47"/>
    <w:rsid w:val="06287400"/>
    <w:rsid w:val="065F2C9C"/>
    <w:rsid w:val="06816950"/>
    <w:rsid w:val="06EC048E"/>
    <w:rsid w:val="06F73010"/>
    <w:rsid w:val="073A1E93"/>
    <w:rsid w:val="075951D2"/>
    <w:rsid w:val="07656842"/>
    <w:rsid w:val="076B3AA9"/>
    <w:rsid w:val="078260C4"/>
    <w:rsid w:val="07DE18C8"/>
    <w:rsid w:val="08157B45"/>
    <w:rsid w:val="08275F3E"/>
    <w:rsid w:val="084F24D1"/>
    <w:rsid w:val="086325B4"/>
    <w:rsid w:val="08A6123D"/>
    <w:rsid w:val="08ED7DB9"/>
    <w:rsid w:val="08FA1588"/>
    <w:rsid w:val="091D0AB4"/>
    <w:rsid w:val="095E3965"/>
    <w:rsid w:val="09673489"/>
    <w:rsid w:val="09880DFE"/>
    <w:rsid w:val="098C6C86"/>
    <w:rsid w:val="099E7346"/>
    <w:rsid w:val="09AD07B5"/>
    <w:rsid w:val="09B34A27"/>
    <w:rsid w:val="09BF5116"/>
    <w:rsid w:val="09EE6E95"/>
    <w:rsid w:val="0A702FC6"/>
    <w:rsid w:val="0AD138E5"/>
    <w:rsid w:val="0ADB1EC4"/>
    <w:rsid w:val="0AE64409"/>
    <w:rsid w:val="0AFB0D0D"/>
    <w:rsid w:val="0AFC0FE8"/>
    <w:rsid w:val="0AFD0EBC"/>
    <w:rsid w:val="0B091C0E"/>
    <w:rsid w:val="0B177A7E"/>
    <w:rsid w:val="0B1C1431"/>
    <w:rsid w:val="0B3E09C6"/>
    <w:rsid w:val="0B5D0BD9"/>
    <w:rsid w:val="0BA13D85"/>
    <w:rsid w:val="0BA37C3B"/>
    <w:rsid w:val="0BA55730"/>
    <w:rsid w:val="0C526355"/>
    <w:rsid w:val="0C637294"/>
    <w:rsid w:val="0C9A3574"/>
    <w:rsid w:val="0CAD1E3F"/>
    <w:rsid w:val="0CBA039B"/>
    <w:rsid w:val="0CCB22A3"/>
    <w:rsid w:val="0CCE728F"/>
    <w:rsid w:val="0CE13FE7"/>
    <w:rsid w:val="0CE37F83"/>
    <w:rsid w:val="0D3E1715"/>
    <w:rsid w:val="0D40165A"/>
    <w:rsid w:val="0DAA28D1"/>
    <w:rsid w:val="0DB908DB"/>
    <w:rsid w:val="0DF26CD2"/>
    <w:rsid w:val="0E19425F"/>
    <w:rsid w:val="0E1C3DD4"/>
    <w:rsid w:val="0E1E74F1"/>
    <w:rsid w:val="0E8D2083"/>
    <w:rsid w:val="0E8F0AAE"/>
    <w:rsid w:val="0E9A2BC2"/>
    <w:rsid w:val="0EA31D7A"/>
    <w:rsid w:val="0EB962B0"/>
    <w:rsid w:val="0ECA5A1A"/>
    <w:rsid w:val="0EF867C3"/>
    <w:rsid w:val="0F194577"/>
    <w:rsid w:val="0F46008D"/>
    <w:rsid w:val="0F580DB7"/>
    <w:rsid w:val="0F5E1E62"/>
    <w:rsid w:val="0F7567BA"/>
    <w:rsid w:val="0F7974C3"/>
    <w:rsid w:val="0F872F52"/>
    <w:rsid w:val="0F916077"/>
    <w:rsid w:val="0FA509B5"/>
    <w:rsid w:val="0FFC5BE6"/>
    <w:rsid w:val="10471646"/>
    <w:rsid w:val="1060742F"/>
    <w:rsid w:val="10687C1A"/>
    <w:rsid w:val="108375D6"/>
    <w:rsid w:val="10923B44"/>
    <w:rsid w:val="10DE4491"/>
    <w:rsid w:val="110977BC"/>
    <w:rsid w:val="11225B26"/>
    <w:rsid w:val="112851FD"/>
    <w:rsid w:val="113A3916"/>
    <w:rsid w:val="11430EC5"/>
    <w:rsid w:val="11501139"/>
    <w:rsid w:val="11564B24"/>
    <w:rsid w:val="11625DC1"/>
    <w:rsid w:val="116D5804"/>
    <w:rsid w:val="11734767"/>
    <w:rsid w:val="11831DEC"/>
    <w:rsid w:val="11B607BD"/>
    <w:rsid w:val="11B94C53"/>
    <w:rsid w:val="11E20A7B"/>
    <w:rsid w:val="11EE0DAF"/>
    <w:rsid w:val="11F27423"/>
    <w:rsid w:val="11F744C2"/>
    <w:rsid w:val="11FD79F3"/>
    <w:rsid w:val="12035184"/>
    <w:rsid w:val="122E77A3"/>
    <w:rsid w:val="123E4699"/>
    <w:rsid w:val="124F46F3"/>
    <w:rsid w:val="12A95883"/>
    <w:rsid w:val="12C624DB"/>
    <w:rsid w:val="12F73112"/>
    <w:rsid w:val="13187091"/>
    <w:rsid w:val="1331795E"/>
    <w:rsid w:val="133956CC"/>
    <w:rsid w:val="134F1DB9"/>
    <w:rsid w:val="13632BDB"/>
    <w:rsid w:val="136C4E31"/>
    <w:rsid w:val="13751DAE"/>
    <w:rsid w:val="137D5290"/>
    <w:rsid w:val="13B42314"/>
    <w:rsid w:val="13BE3AB4"/>
    <w:rsid w:val="141243CA"/>
    <w:rsid w:val="14B97378"/>
    <w:rsid w:val="14E31122"/>
    <w:rsid w:val="151D31F9"/>
    <w:rsid w:val="153068E7"/>
    <w:rsid w:val="158B2477"/>
    <w:rsid w:val="15A765F4"/>
    <w:rsid w:val="15BB3E4D"/>
    <w:rsid w:val="16045886"/>
    <w:rsid w:val="1629321E"/>
    <w:rsid w:val="16396572"/>
    <w:rsid w:val="164752A5"/>
    <w:rsid w:val="164847F3"/>
    <w:rsid w:val="164A63ED"/>
    <w:rsid w:val="166C55C2"/>
    <w:rsid w:val="16A86080"/>
    <w:rsid w:val="16AC6039"/>
    <w:rsid w:val="171D33E4"/>
    <w:rsid w:val="1765414D"/>
    <w:rsid w:val="178C4B81"/>
    <w:rsid w:val="17E052C5"/>
    <w:rsid w:val="17E70A14"/>
    <w:rsid w:val="180B10BC"/>
    <w:rsid w:val="180B1B5A"/>
    <w:rsid w:val="182920EC"/>
    <w:rsid w:val="183154D2"/>
    <w:rsid w:val="18751392"/>
    <w:rsid w:val="188967FD"/>
    <w:rsid w:val="18927D8F"/>
    <w:rsid w:val="189C30AD"/>
    <w:rsid w:val="18B43EE8"/>
    <w:rsid w:val="18CD6BC6"/>
    <w:rsid w:val="190827BC"/>
    <w:rsid w:val="190B7C05"/>
    <w:rsid w:val="19191980"/>
    <w:rsid w:val="194843C7"/>
    <w:rsid w:val="199005F8"/>
    <w:rsid w:val="19B72B7E"/>
    <w:rsid w:val="19C20BB7"/>
    <w:rsid w:val="19C239FC"/>
    <w:rsid w:val="19C5529B"/>
    <w:rsid w:val="19C75A80"/>
    <w:rsid w:val="19F773EB"/>
    <w:rsid w:val="1A204BC7"/>
    <w:rsid w:val="1A2D77E8"/>
    <w:rsid w:val="1AA7685B"/>
    <w:rsid w:val="1AAE3F0C"/>
    <w:rsid w:val="1AD96DDF"/>
    <w:rsid w:val="1AE04A49"/>
    <w:rsid w:val="1AED393F"/>
    <w:rsid w:val="1AF72561"/>
    <w:rsid w:val="1B2E6738"/>
    <w:rsid w:val="1B390718"/>
    <w:rsid w:val="1B4548E5"/>
    <w:rsid w:val="1B83048A"/>
    <w:rsid w:val="1BD178CF"/>
    <w:rsid w:val="1BD231D9"/>
    <w:rsid w:val="1BD866B3"/>
    <w:rsid w:val="1BE64814"/>
    <w:rsid w:val="1C0302FC"/>
    <w:rsid w:val="1C99272F"/>
    <w:rsid w:val="1CA23E86"/>
    <w:rsid w:val="1CD174C1"/>
    <w:rsid w:val="1CDF04BB"/>
    <w:rsid w:val="1CF5687F"/>
    <w:rsid w:val="1D1B0CF1"/>
    <w:rsid w:val="1D265651"/>
    <w:rsid w:val="1D8B208F"/>
    <w:rsid w:val="1D952DC8"/>
    <w:rsid w:val="1D9E652E"/>
    <w:rsid w:val="1DAC3655"/>
    <w:rsid w:val="1DE2466D"/>
    <w:rsid w:val="1DE45B80"/>
    <w:rsid w:val="1E0D1FB6"/>
    <w:rsid w:val="1E6A01BF"/>
    <w:rsid w:val="1EFF5CBE"/>
    <w:rsid w:val="1F0A5813"/>
    <w:rsid w:val="1F4711E8"/>
    <w:rsid w:val="1F5F3A9B"/>
    <w:rsid w:val="1F6B6461"/>
    <w:rsid w:val="1F7E6617"/>
    <w:rsid w:val="1FC54DAC"/>
    <w:rsid w:val="1FDC333E"/>
    <w:rsid w:val="1FEB1241"/>
    <w:rsid w:val="1FF266BE"/>
    <w:rsid w:val="1FF640DD"/>
    <w:rsid w:val="20065D8F"/>
    <w:rsid w:val="20116E43"/>
    <w:rsid w:val="207F19D9"/>
    <w:rsid w:val="20823833"/>
    <w:rsid w:val="20B9306D"/>
    <w:rsid w:val="20D94402"/>
    <w:rsid w:val="210B5C89"/>
    <w:rsid w:val="21104077"/>
    <w:rsid w:val="21625C1D"/>
    <w:rsid w:val="21701F90"/>
    <w:rsid w:val="21AC4814"/>
    <w:rsid w:val="21FC7B27"/>
    <w:rsid w:val="2201405F"/>
    <w:rsid w:val="220637EA"/>
    <w:rsid w:val="222473F9"/>
    <w:rsid w:val="22285CB9"/>
    <w:rsid w:val="223E539D"/>
    <w:rsid w:val="22433622"/>
    <w:rsid w:val="22D71A68"/>
    <w:rsid w:val="22E22825"/>
    <w:rsid w:val="23146F5C"/>
    <w:rsid w:val="23506F8C"/>
    <w:rsid w:val="238A487C"/>
    <w:rsid w:val="23B755D9"/>
    <w:rsid w:val="23B97E48"/>
    <w:rsid w:val="23CB363C"/>
    <w:rsid w:val="23E34573"/>
    <w:rsid w:val="24055832"/>
    <w:rsid w:val="2414485B"/>
    <w:rsid w:val="24205B19"/>
    <w:rsid w:val="24570A8C"/>
    <w:rsid w:val="24701B7C"/>
    <w:rsid w:val="24880C3C"/>
    <w:rsid w:val="24976961"/>
    <w:rsid w:val="24A31690"/>
    <w:rsid w:val="24BD5806"/>
    <w:rsid w:val="25652FE5"/>
    <w:rsid w:val="256D59A8"/>
    <w:rsid w:val="25804017"/>
    <w:rsid w:val="25936091"/>
    <w:rsid w:val="259A256A"/>
    <w:rsid w:val="25B51151"/>
    <w:rsid w:val="25D476F1"/>
    <w:rsid w:val="25E45F63"/>
    <w:rsid w:val="25F330E7"/>
    <w:rsid w:val="25F77FE0"/>
    <w:rsid w:val="26045291"/>
    <w:rsid w:val="26180414"/>
    <w:rsid w:val="262928CF"/>
    <w:rsid w:val="26362DEA"/>
    <w:rsid w:val="26536E70"/>
    <w:rsid w:val="266F36FB"/>
    <w:rsid w:val="26780215"/>
    <w:rsid w:val="268968FC"/>
    <w:rsid w:val="268D524F"/>
    <w:rsid w:val="26A56238"/>
    <w:rsid w:val="26BD5600"/>
    <w:rsid w:val="26ED5E39"/>
    <w:rsid w:val="26FF638E"/>
    <w:rsid w:val="275A503A"/>
    <w:rsid w:val="277A7ED7"/>
    <w:rsid w:val="277C5482"/>
    <w:rsid w:val="27C50CF8"/>
    <w:rsid w:val="27CF4A7F"/>
    <w:rsid w:val="27DA3BAA"/>
    <w:rsid w:val="284A5607"/>
    <w:rsid w:val="285F611A"/>
    <w:rsid w:val="29214A2D"/>
    <w:rsid w:val="293F25AC"/>
    <w:rsid w:val="296434D8"/>
    <w:rsid w:val="298A5BB9"/>
    <w:rsid w:val="29BC09A8"/>
    <w:rsid w:val="29C968BF"/>
    <w:rsid w:val="29E44D3F"/>
    <w:rsid w:val="2A134266"/>
    <w:rsid w:val="2A3C2ACC"/>
    <w:rsid w:val="2A86034D"/>
    <w:rsid w:val="2AC94666"/>
    <w:rsid w:val="2ADF3F76"/>
    <w:rsid w:val="2AEF1E49"/>
    <w:rsid w:val="2B401485"/>
    <w:rsid w:val="2B4E2C5C"/>
    <w:rsid w:val="2B7652CE"/>
    <w:rsid w:val="2B874618"/>
    <w:rsid w:val="2B8C5C18"/>
    <w:rsid w:val="2C1A1476"/>
    <w:rsid w:val="2C1D4ECA"/>
    <w:rsid w:val="2C273B93"/>
    <w:rsid w:val="2C387B4E"/>
    <w:rsid w:val="2C392009"/>
    <w:rsid w:val="2C45628D"/>
    <w:rsid w:val="2C671A4A"/>
    <w:rsid w:val="2C6876DE"/>
    <w:rsid w:val="2CD215A7"/>
    <w:rsid w:val="2CDD1BA8"/>
    <w:rsid w:val="2CF25F4F"/>
    <w:rsid w:val="2D281971"/>
    <w:rsid w:val="2D3561E7"/>
    <w:rsid w:val="2D670325"/>
    <w:rsid w:val="2D7E66F1"/>
    <w:rsid w:val="2D9371DA"/>
    <w:rsid w:val="2DA3549B"/>
    <w:rsid w:val="2DAD2843"/>
    <w:rsid w:val="2DD44E4E"/>
    <w:rsid w:val="2DF90FEB"/>
    <w:rsid w:val="2E5549E7"/>
    <w:rsid w:val="2E88669A"/>
    <w:rsid w:val="2E9A11A6"/>
    <w:rsid w:val="2EA259F0"/>
    <w:rsid w:val="2ECD29CF"/>
    <w:rsid w:val="2ED26038"/>
    <w:rsid w:val="2EF35FAE"/>
    <w:rsid w:val="2F2C0D7A"/>
    <w:rsid w:val="2F607DF9"/>
    <w:rsid w:val="2F692F3E"/>
    <w:rsid w:val="2FBB0F0F"/>
    <w:rsid w:val="2FBD5B34"/>
    <w:rsid w:val="2FD61424"/>
    <w:rsid w:val="304C3BC8"/>
    <w:rsid w:val="304D6AF2"/>
    <w:rsid w:val="309472A7"/>
    <w:rsid w:val="30980AC9"/>
    <w:rsid w:val="310E3BB2"/>
    <w:rsid w:val="311F6EF8"/>
    <w:rsid w:val="312313DF"/>
    <w:rsid w:val="31234F7C"/>
    <w:rsid w:val="31404ADB"/>
    <w:rsid w:val="314B26DB"/>
    <w:rsid w:val="317950FC"/>
    <w:rsid w:val="31CE554C"/>
    <w:rsid w:val="31E14A69"/>
    <w:rsid w:val="320C1047"/>
    <w:rsid w:val="326B07F6"/>
    <w:rsid w:val="327B43A9"/>
    <w:rsid w:val="32825CC9"/>
    <w:rsid w:val="32F65C0D"/>
    <w:rsid w:val="331D0D86"/>
    <w:rsid w:val="331D76E7"/>
    <w:rsid w:val="33274478"/>
    <w:rsid w:val="33340117"/>
    <w:rsid w:val="33351DF0"/>
    <w:rsid w:val="334F6734"/>
    <w:rsid w:val="337B1BFD"/>
    <w:rsid w:val="33851B58"/>
    <w:rsid w:val="338A0D1C"/>
    <w:rsid w:val="338C28FC"/>
    <w:rsid w:val="33A65CE5"/>
    <w:rsid w:val="33CD096A"/>
    <w:rsid w:val="33CE29D7"/>
    <w:rsid w:val="33E359C9"/>
    <w:rsid w:val="342E4FC7"/>
    <w:rsid w:val="343251A4"/>
    <w:rsid w:val="343F6D1F"/>
    <w:rsid w:val="34444FB3"/>
    <w:rsid w:val="347A4129"/>
    <w:rsid w:val="348F47A2"/>
    <w:rsid w:val="34AF2977"/>
    <w:rsid w:val="34C659D6"/>
    <w:rsid w:val="34D677BA"/>
    <w:rsid w:val="34D92233"/>
    <w:rsid w:val="34E43BCF"/>
    <w:rsid w:val="34E53114"/>
    <w:rsid w:val="351B4FD0"/>
    <w:rsid w:val="35441FE0"/>
    <w:rsid w:val="356903C7"/>
    <w:rsid w:val="359E15E2"/>
    <w:rsid w:val="35D72AD4"/>
    <w:rsid w:val="36041569"/>
    <w:rsid w:val="362354AA"/>
    <w:rsid w:val="363F2D5B"/>
    <w:rsid w:val="366639A9"/>
    <w:rsid w:val="36A41BD3"/>
    <w:rsid w:val="36A63D03"/>
    <w:rsid w:val="37125937"/>
    <w:rsid w:val="3718648E"/>
    <w:rsid w:val="373F3945"/>
    <w:rsid w:val="375515B4"/>
    <w:rsid w:val="37700220"/>
    <w:rsid w:val="38137719"/>
    <w:rsid w:val="38201989"/>
    <w:rsid w:val="386F6042"/>
    <w:rsid w:val="38715D41"/>
    <w:rsid w:val="387A59D3"/>
    <w:rsid w:val="387B07CC"/>
    <w:rsid w:val="38A06017"/>
    <w:rsid w:val="38B659D3"/>
    <w:rsid w:val="38CE08F4"/>
    <w:rsid w:val="391915E3"/>
    <w:rsid w:val="39265C0F"/>
    <w:rsid w:val="392A57BD"/>
    <w:rsid w:val="393618B9"/>
    <w:rsid w:val="394D4BCF"/>
    <w:rsid w:val="394F20C7"/>
    <w:rsid w:val="395D72F1"/>
    <w:rsid w:val="39E63876"/>
    <w:rsid w:val="39E77348"/>
    <w:rsid w:val="39F72DF7"/>
    <w:rsid w:val="39FD20B6"/>
    <w:rsid w:val="3A26317D"/>
    <w:rsid w:val="3A32635E"/>
    <w:rsid w:val="3A58211C"/>
    <w:rsid w:val="3A720B54"/>
    <w:rsid w:val="3AA073CE"/>
    <w:rsid w:val="3AAA536B"/>
    <w:rsid w:val="3ADA7FA0"/>
    <w:rsid w:val="3AE535B8"/>
    <w:rsid w:val="3AEE2903"/>
    <w:rsid w:val="3B0136EC"/>
    <w:rsid w:val="3B1D426C"/>
    <w:rsid w:val="3B263535"/>
    <w:rsid w:val="3B4A51B8"/>
    <w:rsid w:val="3B661E94"/>
    <w:rsid w:val="3B893A52"/>
    <w:rsid w:val="3BA23236"/>
    <w:rsid w:val="3BD31D7B"/>
    <w:rsid w:val="3C0A0ADE"/>
    <w:rsid w:val="3C26573E"/>
    <w:rsid w:val="3C34517E"/>
    <w:rsid w:val="3C49591E"/>
    <w:rsid w:val="3CAC025C"/>
    <w:rsid w:val="3D206AE1"/>
    <w:rsid w:val="3D61758A"/>
    <w:rsid w:val="3D665B9C"/>
    <w:rsid w:val="3DB95EAB"/>
    <w:rsid w:val="3DDA6CB7"/>
    <w:rsid w:val="3E015FF2"/>
    <w:rsid w:val="3E22274E"/>
    <w:rsid w:val="3E295D60"/>
    <w:rsid w:val="3E33697C"/>
    <w:rsid w:val="3EA81909"/>
    <w:rsid w:val="3EBF7C5B"/>
    <w:rsid w:val="3EC86424"/>
    <w:rsid w:val="3F1C0367"/>
    <w:rsid w:val="3F584337"/>
    <w:rsid w:val="400E4D46"/>
    <w:rsid w:val="401D2FA7"/>
    <w:rsid w:val="403F39C6"/>
    <w:rsid w:val="4045633B"/>
    <w:rsid w:val="40713AD5"/>
    <w:rsid w:val="40A627E4"/>
    <w:rsid w:val="40BB0C2F"/>
    <w:rsid w:val="40E45720"/>
    <w:rsid w:val="40F100CB"/>
    <w:rsid w:val="40F16515"/>
    <w:rsid w:val="41110C42"/>
    <w:rsid w:val="417137CD"/>
    <w:rsid w:val="41B15F81"/>
    <w:rsid w:val="41E61631"/>
    <w:rsid w:val="41EB681A"/>
    <w:rsid w:val="4206416C"/>
    <w:rsid w:val="425075FD"/>
    <w:rsid w:val="428D40C8"/>
    <w:rsid w:val="4291797E"/>
    <w:rsid w:val="42B26EE3"/>
    <w:rsid w:val="42E03A84"/>
    <w:rsid w:val="4320568E"/>
    <w:rsid w:val="43371725"/>
    <w:rsid w:val="4349650B"/>
    <w:rsid w:val="43572B58"/>
    <w:rsid w:val="43841AE2"/>
    <w:rsid w:val="43A44C44"/>
    <w:rsid w:val="43BE27BD"/>
    <w:rsid w:val="43CF26EE"/>
    <w:rsid w:val="446C572C"/>
    <w:rsid w:val="44AD1275"/>
    <w:rsid w:val="44E06689"/>
    <w:rsid w:val="44FF5255"/>
    <w:rsid w:val="455530C7"/>
    <w:rsid w:val="45BE781E"/>
    <w:rsid w:val="45C9356A"/>
    <w:rsid w:val="460366D7"/>
    <w:rsid w:val="46043E80"/>
    <w:rsid w:val="469E262A"/>
    <w:rsid w:val="46AB001C"/>
    <w:rsid w:val="46B017C3"/>
    <w:rsid w:val="46BD2CD2"/>
    <w:rsid w:val="46E706F1"/>
    <w:rsid w:val="47331E95"/>
    <w:rsid w:val="4754799E"/>
    <w:rsid w:val="477270D6"/>
    <w:rsid w:val="4781463F"/>
    <w:rsid w:val="47A541EC"/>
    <w:rsid w:val="47D34F2D"/>
    <w:rsid w:val="47E90C28"/>
    <w:rsid w:val="481F5A7B"/>
    <w:rsid w:val="483562CA"/>
    <w:rsid w:val="483A049F"/>
    <w:rsid w:val="483F42E6"/>
    <w:rsid w:val="4864156E"/>
    <w:rsid w:val="48822766"/>
    <w:rsid w:val="48937BD1"/>
    <w:rsid w:val="48A44149"/>
    <w:rsid w:val="48A9289D"/>
    <w:rsid w:val="48B63E7D"/>
    <w:rsid w:val="48B6702D"/>
    <w:rsid w:val="48BF44AC"/>
    <w:rsid w:val="48E35A7E"/>
    <w:rsid w:val="49026BF4"/>
    <w:rsid w:val="490E2315"/>
    <w:rsid w:val="49177011"/>
    <w:rsid w:val="491931AD"/>
    <w:rsid w:val="495733F2"/>
    <w:rsid w:val="4966657D"/>
    <w:rsid w:val="497E2BEC"/>
    <w:rsid w:val="499125F1"/>
    <w:rsid w:val="4A0E0D9F"/>
    <w:rsid w:val="4A592677"/>
    <w:rsid w:val="4A6A06B6"/>
    <w:rsid w:val="4A9D02BC"/>
    <w:rsid w:val="4AC52317"/>
    <w:rsid w:val="4AC84139"/>
    <w:rsid w:val="4B05490B"/>
    <w:rsid w:val="4B2406CF"/>
    <w:rsid w:val="4B3A6A14"/>
    <w:rsid w:val="4B69064C"/>
    <w:rsid w:val="4B707344"/>
    <w:rsid w:val="4B79660A"/>
    <w:rsid w:val="4BF06457"/>
    <w:rsid w:val="4C212CB3"/>
    <w:rsid w:val="4C4A6E65"/>
    <w:rsid w:val="4CB87E8C"/>
    <w:rsid w:val="4CCF7724"/>
    <w:rsid w:val="4D0C5F4F"/>
    <w:rsid w:val="4D0F7FFF"/>
    <w:rsid w:val="4D184C4C"/>
    <w:rsid w:val="4D196014"/>
    <w:rsid w:val="4D553F4E"/>
    <w:rsid w:val="4D651206"/>
    <w:rsid w:val="4D8209DD"/>
    <w:rsid w:val="4D8F2A4A"/>
    <w:rsid w:val="4D9329DF"/>
    <w:rsid w:val="4D9E7067"/>
    <w:rsid w:val="4DBB3EC8"/>
    <w:rsid w:val="4E051752"/>
    <w:rsid w:val="4E061163"/>
    <w:rsid w:val="4E10216C"/>
    <w:rsid w:val="4E1900F5"/>
    <w:rsid w:val="4E200716"/>
    <w:rsid w:val="4E5A37A3"/>
    <w:rsid w:val="4EAC7057"/>
    <w:rsid w:val="4EBE2625"/>
    <w:rsid w:val="4EBE2AE0"/>
    <w:rsid w:val="4F091FE6"/>
    <w:rsid w:val="4F093316"/>
    <w:rsid w:val="4F0E5419"/>
    <w:rsid w:val="4F103130"/>
    <w:rsid w:val="4F1F09CE"/>
    <w:rsid w:val="4F2542E9"/>
    <w:rsid w:val="4F2A1C13"/>
    <w:rsid w:val="4F4E7F12"/>
    <w:rsid w:val="4FA804E9"/>
    <w:rsid w:val="4FD615AF"/>
    <w:rsid w:val="4FEA0304"/>
    <w:rsid w:val="501A03D3"/>
    <w:rsid w:val="508126D0"/>
    <w:rsid w:val="50DA0AD0"/>
    <w:rsid w:val="50FC5F1E"/>
    <w:rsid w:val="511648F9"/>
    <w:rsid w:val="515A59BF"/>
    <w:rsid w:val="5165265C"/>
    <w:rsid w:val="516C2F33"/>
    <w:rsid w:val="51794097"/>
    <w:rsid w:val="5193460E"/>
    <w:rsid w:val="51991768"/>
    <w:rsid w:val="51994AA7"/>
    <w:rsid w:val="51DC1D71"/>
    <w:rsid w:val="51DD0963"/>
    <w:rsid w:val="51DF3448"/>
    <w:rsid w:val="51E613B4"/>
    <w:rsid w:val="522352D9"/>
    <w:rsid w:val="523878FD"/>
    <w:rsid w:val="523A56C9"/>
    <w:rsid w:val="523F6CB3"/>
    <w:rsid w:val="52742FD2"/>
    <w:rsid w:val="5279146A"/>
    <w:rsid w:val="52794838"/>
    <w:rsid w:val="52923850"/>
    <w:rsid w:val="52AC63CA"/>
    <w:rsid w:val="52C41033"/>
    <w:rsid w:val="52C8183A"/>
    <w:rsid w:val="52D95337"/>
    <w:rsid w:val="53270D14"/>
    <w:rsid w:val="53277E51"/>
    <w:rsid w:val="533E53A8"/>
    <w:rsid w:val="53545E36"/>
    <w:rsid w:val="536F4F48"/>
    <w:rsid w:val="537406C9"/>
    <w:rsid w:val="538708F0"/>
    <w:rsid w:val="538C4158"/>
    <w:rsid w:val="53922FB7"/>
    <w:rsid w:val="539F5829"/>
    <w:rsid w:val="53B931EA"/>
    <w:rsid w:val="53BA1776"/>
    <w:rsid w:val="548C0D1A"/>
    <w:rsid w:val="549E4AC8"/>
    <w:rsid w:val="54C80134"/>
    <w:rsid w:val="555E38D2"/>
    <w:rsid w:val="55F90831"/>
    <w:rsid w:val="55F91E6B"/>
    <w:rsid w:val="5668515A"/>
    <w:rsid w:val="56A20DAA"/>
    <w:rsid w:val="56C51B2C"/>
    <w:rsid w:val="56E11E48"/>
    <w:rsid w:val="57076C37"/>
    <w:rsid w:val="57106E4E"/>
    <w:rsid w:val="573F5383"/>
    <w:rsid w:val="57433371"/>
    <w:rsid w:val="575C0CCD"/>
    <w:rsid w:val="57667B2E"/>
    <w:rsid w:val="579502B5"/>
    <w:rsid w:val="580E02F4"/>
    <w:rsid w:val="58266054"/>
    <w:rsid w:val="582F0D60"/>
    <w:rsid w:val="58597148"/>
    <w:rsid w:val="58F41BBE"/>
    <w:rsid w:val="58FF4688"/>
    <w:rsid w:val="59275C71"/>
    <w:rsid w:val="599A5276"/>
    <w:rsid w:val="59A1166F"/>
    <w:rsid w:val="59A93C47"/>
    <w:rsid w:val="59BE699D"/>
    <w:rsid w:val="59EE66D4"/>
    <w:rsid w:val="59F80047"/>
    <w:rsid w:val="5A040EEC"/>
    <w:rsid w:val="5A074538"/>
    <w:rsid w:val="5A2B28D0"/>
    <w:rsid w:val="5A3C270F"/>
    <w:rsid w:val="5A592FC1"/>
    <w:rsid w:val="5A655703"/>
    <w:rsid w:val="5A9C57B5"/>
    <w:rsid w:val="5AC8131C"/>
    <w:rsid w:val="5AD34005"/>
    <w:rsid w:val="5AD53984"/>
    <w:rsid w:val="5AFF2821"/>
    <w:rsid w:val="5B064AE1"/>
    <w:rsid w:val="5B156231"/>
    <w:rsid w:val="5B7B463C"/>
    <w:rsid w:val="5B8F6CFD"/>
    <w:rsid w:val="5B9E7BC8"/>
    <w:rsid w:val="5BA966A8"/>
    <w:rsid w:val="5BAB6C05"/>
    <w:rsid w:val="5BB713C3"/>
    <w:rsid w:val="5BDA6BEA"/>
    <w:rsid w:val="5C1C2BAE"/>
    <w:rsid w:val="5C4D08B6"/>
    <w:rsid w:val="5C9554D6"/>
    <w:rsid w:val="5CB41412"/>
    <w:rsid w:val="5D01405D"/>
    <w:rsid w:val="5D076E85"/>
    <w:rsid w:val="5D095BAE"/>
    <w:rsid w:val="5D5A08CD"/>
    <w:rsid w:val="5D687D8B"/>
    <w:rsid w:val="5D6E3CF2"/>
    <w:rsid w:val="5D94717A"/>
    <w:rsid w:val="5DFA430F"/>
    <w:rsid w:val="5E03730E"/>
    <w:rsid w:val="5E2958BD"/>
    <w:rsid w:val="5E330DDF"/>
    <w:rsid w:val="5E5166CA"/>
    <w:rsid w:val="5EAF7499"/>
    <w:rsid w:val="5EB32EE1"/>
    <w:rsid w:val="5EBA1FDC"/>
    <w:rsid w:val="5EDD02A8"/>
    <w:rsid w:val="5EDD05CE"/>
    <w:rsid w:val="5F064A76"/>
    <w:rsid w:val="5F227DDC"/>
    <w:rsid w:val="5F5F0AD9"/>
    <w:rsid w:val="5FB213EA"/>
    <w:rsid w:val="5FC54ED2"/>
    <w:rsid w:val="60013E67"/>
    <w:rsid w:val="602725C9"/>
    <w:rsid w:val="60310561"/>
    <w:rsid w:val="60421B4F"/>
    <w:rsid w:val="60751C66"/>
    <w:rsid w:val="6075301F"/>
    <w:rsid w:val="6085265B"/>
    <w:rsid w:val="60AC3215"/>
    <w:rsid w:val="60C03693"/>
    <w:rsid w:val="60DE5A49"/>
    <w:rsid w:val="61365606"/>
    <w:rsid w:val="61431749"/>
    <w:rsid w:val="61432F1A"/>
    <w:rsid w:val="61720E25"/>
    <w:rsid w:val="619B3FD0"/>
    <w:rsid w:val="61CB6119"/>
    <w:rsid w:val="61DB131A"/>
    <w:rsid w:val="61E12101"/>
    <w:rsid w:val="61F30DB8"/>
    <w:rsid w:val="62143968"/>
    <w:rsid w:val="629D6CC7"/>
    <w:rsid w:val="62AA476A"/>
    <w:rsid w:val="62E66AA7"/>
    <w:rsid w:val="631635FF"/>
    <w:rsid w:val="631E6365"/>
    <w:rsid w:val="636A17C6"/>
    <w:rsid w:val="638E56DB"/>
    <w:rsid w:val="639F303E"/>
    <w:rsid w:val="63B1110F"/>
    <w:rsid w:val="63BA6ABF"/>
    <w:rsid w:val="63BE3763"/>
    <w:rsid w:val="63C641C2"/>
    <w:rsid w:val="63C72A84"/>
    <w:rsid w:val="63FB6FC8"/>
    <w:rsid w:val="63FE69AC"/>
    <w:rsid w:val="640953EC"/>
    <w:rsid w:val="6410048D"/>
    <w:rsid w:val="64177A6E"/>
    <w:rsid w:val="643E149E"/>
    <w:rsid w:val="64567AF7"/>
    <w:rsid w:val="64705249"/>
    <w:rsid w:val="649D15ED"/>
    <w:rsid w:val="64A21A2D"/>
    <w:rsid w:val="64D55E44"/>
    <w:rsid w:val="64FB6A08"/>
    <w:rsid w:val="65455808"/>
    <w:rsid w:val="65657810"/>
    <w:rsid w:val="65806305"/>
    <w:rsid w:val="65946093"/>
    <w:rsid w:val="65A92947"/>
    <w:rsid w:val="660B5B71"/>
    <w:rsid w:val="661F70AE"/>
    <w:rsid w:val="66373E26"/>
    <w:rsid w:val="664D50FC"/>
    <w:rsid w:val="66783384"/>
    <w:rsid w:val="670359C1"/>
    <w:rsid w:val="671866E1"/>
    <w:rsid w:val="671A1344"/>
    <w:rsid w:val="6722228D"/>
    <w:rsid w:val="67322237"/>
    <w:rsid w:val="67951189"/>
    <w:rsid w:val="67974E1F"/>
    <w:rsid w:val="679F4002"/>
    <w:rsid w:val="68263E9E"/>
    <w:rsid w:val="68566BDF"/>
    <w:rsid w:val="68AA0B82"/>
    <w:rsid w:val="68D44BE3"/>
    <w:rsid w:val="68E76220"/>
    <w:rsid w:val="68F62348"/>
    <w:rsid w:val="69724608"/>
    <w:rsid w:val="697A5A54"/>
    <w:rsid w:val="697E6350"/>
    <w:rsid w:val="699D2E51"/>
    <w:rsid w:val="69CF4947"/>
    <w:rsid w:val="6A122AE0"/>
    <w:rsid w:val="6A1567FD"/>
    <w:rsid w:val="6A22716C"/>
    <w:rsid w:val="6A427C3D"/>
    <w:rsid w:val="6A82750E"/>
    <w:rsid w:val="6AEE1328"/>
    <w:rsid w:val="6AF11120"/>
    <w:rsid w:val="6B4220F9"/>
    <w:rsid w:val="6B4C76AF"/>
    <w:rsid w:val="6B6B29FF"/>
    <w:rsid w:val="6B9B2D32"/>
    <w:rsid w:val="6BD153AB"/>
    <w:rsid w:val="6BD31FE8"/>
    <w:rsid w:val="6BDD2530"/>
    <w:rsid w:val="6BE21B12"/>
    <w:rsid w:val="6C0A469B"/>
    <w:rsid w:val="6C1F079C"/>
    <w:rsid w:val="6C53185F"/>
    <w:rsid w:val="6C65552C"/>
    <w:rsid w:val="6CE201C5"/>
    <w:rsid w:val="6CF564B6"/>
    <w:rsid w:val="6D27045B"/>
    <w:rsid w:val="6D4447EC"/>
    <w:rsid w:val="6D543E19"/>
    <w:rsid w:val="6D602C23"/>
    <w:rsid w:val="6D752839"/>
    <w:rsid w:val="6D7C6B93"/>
    <w:rsid w:val="6D877A12"/>
    <w:rsid w:val="6D98369F"/>
    <w:rsid w:val="6D9C02B4"/>
    <w:rsid w:val="6DA32B19"/>
    <w:rsid w:val="6DA85746"/>
    <w:rsid w:val="6DAD337A"/>
    <w:rsid w:val="6DBA066E"/>
    <w:rsid w:val="6DC9627D"/>
    <w:rsid w:val="6DEA3B9A"/>
    <w:rsid w:val="6DFC58D2"/>
    <w:rsid w:val="6DFC73BF"/>
    <w:rsid w:val="6E007061"/>
    <w:rsid w:val="6E3C285F"/>
    <w:rsid w:val="6E6E1333"/>
    <w:rsid w:val="6ECD02A6"/>
    <w:rsid w:val="6EE439B6"/>
    <w:rsid w:val="6EE452B6"/>
    <w:rsid w:val="6EEB76D5"/>
    <w:rsid w:val="6F65153D"/>
    <w:rsid w:val="6F8C31F6"/>
    <w:rsid w:val="6F9D5EC5"/>
    <w:rsid w:val="6FC324D3"/>
    <w:rsid w:val="6FF71F7C"/>
    <w:rsid w:val="6FF84BF7"/>
    <w:rsid w:val="700F13B2"/>
    <w:rsid w:val="704277B4"/>
    <w:rsid w:val="70445090"/>
    <w:rsid w:val="706346C8"/>
    <w:rsid w:val="707B432A"/>
    <w:rsid w:val="709E7BD1"/>
    <w:rsid w:val="70AD1CDF"/>
    <w:rsid w:val="70B328CC"/>
    <w:rsid w:val="70CE3BAA"/>
    <w:rsid w:val="71003A35"/>
    <w:rsid w:val="71020071"/>
    <w:rsid w:val="713409E4"/>
    <w:rsid w:val="7137621B"/>
    <w:rsid w:val="71480EF7"/>
    <w:rsid w:val="71B344B4"/>
    <w:rsid w:val="71CE323A"/>
    <w:rsid w:val="71EB4F2E"/>
    <w:rsid w:val="7240750B"/>
    <w:rsid w:val="72432464"/>
    <w:rsid w:val="726B3F64"/>
    <w:rsid w:val="72730565"/>
    <w:rsid w:val="727748A5"/>
    <w:rsid w:val="72CE5BF7"/>
    <w:rsid w:val="72F03761"/>
    <w:rsid w:val="731C29AB"/>
    <w:rsid w:val="733749E1"/>
    <w:rsid w:val="733D14C2"/>
    <w:rsid w:val="734B14EC"/>
    <w:rsid w:val="735E2DA8"/>
    <w:rsid w:val="73730DA8"/>
    <w:rsid w:val="738C3DDE"/>
    <w:rsid w:val="73AC00C7"/>
    <w:rsid w:val="73B35FDA"/>
    <w:rsid w:val="73E42497"/>
    <w:rsid w:val="7441186B"/>
    <w:rsid w:val="745D14CD"/>
    <w:rsid w:val="74721F92"/>
    <w:rsid w:val="74F65FDA"/>
    <w:rsid w:val="752D582D"/>
    <w:rsid w:val="75302E62"/>
    <w:rsid w:val="757C6350"/>
    <w:rsid w:val="757F2EE9"/>
    <w:rsid w:val="758B2F20"/>
    <w:rsid w:val="76135FB8"/>
    <w:rsid w:val="765D3A06"/>
    <w:rsid w:val="7676090F"/>
    <w:rsid w:val="76853C7B"/>
    <w:rsid w:val="76AE76CF"/>
    <w:rsid w:val="76D878F5"/>
    <w:rsid w:val="76EC740F"/>
    <w:rsid w:val="77146D03"/>
    <w:rsid w:val="7717055D"/>
    <w:rsid w:val="774466E2"/>
    <w:rsid w:val="7763641C"/>
    <w:rsid w:val="776F5D0F"/>
    <w:rsid w:val="777A7BD9"/>
    <w:rsid w:val="77BC5482"/>
    <w:rsid w:val="77DF30DC"/>
    <w:rsid w:val="780B717A"/>
    <w:rsid w:val="781A19CA"/>
    <w:rsid w:val="78247AC8"/>
    <w:rsid w:val="78420875"/>
    <w:rsid w:val="78983387"/>
    <w:rsid w:val="78E201F2"/>
    <w:rsid w:val="78EB5903"/>
    <w:rsid w:val="78F341AE"/>
    <w:rsid w:val="79005D96"/>
    <w:rsid w:val="790C526F"/>
    <w:rsid w:val="791C756C"/>
    <w:rsid w:val="791E6FF5"/>
    <w:rsid w:val="79236758"/>
    <w:rsid w:val="79314456"/>
    <w:rsid w:val="796055BB"/>
    <w:rsid w:val="797739AF"/>
    <w:rsid w:val="798845C5"/>
    <w:rsid w:val="79BE214E"/>
    <w:rsid w:val="79C84BBC"/>
    <w:rsid w:val="79CF4946"/>
    <w:rsid w:val="79DB05A5"/>
    <w:rsid w:val="79E81468"/>
    <w:rsid w:val="7A037EEE"/>
    <w:rsid w:val="7A2A61BE"/>
    <w:rsid w:val="7A5B2F65"/>
    <w:rsid w:val="7A5E23ED"/>
    <w:rsid w:val="7A5F6D0B"/>
    <w:rsid w:val="7A697E46"/>
    <w:rsid w:val="7AD618FC"/>
    <w:rsid w:val="7ADB139D"/>
    <w:rsid w:val="7AE715F0"/>
    <w:rsid w:val="7AE97D27"/>
    <w:rsid w:val="7B03623F"/>
    <w:rsid w:val="7B046B46"/>
    <w:rsid w:val="7B1D5512"/>
    <w:rsid w:val="7B2F4C29"/>
    <w:rsid w:val="7B6E4BE6"/>
    <w:rsid w:val="7B7844B7"/>
    <w:rsid w:val="7B817BAE"/>
    <w:rsid w:val="7B910C90"/>
    <w:rsid w:val="7B96414A"/>
    <w:rsid w:val="7B9D2AF7"/>
    <w:rsid w:val="7BDA16FC"/>
    <w:rsid w:val="7BF831EC"/>
    <w:rsid w:val="7BFE3A38"/>
    <w:rsid w:val="7C0B476A"/>
    <w:rsid w:val="7C0C33B7"/>
    <w:rsid w:val="7C5861E3"/>
    <w:rsid w:val="7C59128F"/>
    <w:rsid w:val="7C8737CE"/>
    <w:rsid w:val="7C982923"/>
    <w:rsid w:val="7CA436E6"/>
    <w:rsid w:val="7D00706C"/>
    <w:rsid w:val="7D071D6F"/>
    <w:rsid w:val="7D1E420E"/>
    <w:rsid w:val="7D401740"/>
    <w:rsid w:val="7D43515D"/>
    <w:rsid w:val="7D535BB4"/>
    <w:rsid w:val="7D785512"/>
    <w:rsid w:val="7DEF74BD"/>
    <w:rsid w:val="7E041620"/>
    <w:rsid w:val="7E204004"/>
    <w:rsid w:val="7E9A585D"/>
    <w:rsid w:val="7EEA35A1"/>
    <w:rsid w:val="7EF81106"/>
    <w:rsid w:val="7EFA6B2A"/>
    <w:rsid w:val="7F595BC9"/>
    <w:rsid w:val="7F8F7E3F"/>
    <w:rsid w:val="7FAC3308"/>
    <w:rsid w:val="7FF20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nhideWhenUsed="0" w:uiPriority="0" w:semiHidden="0" w:name="heading 5"/>
    <w:lsdException w:qFormat="1"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99" w:semiHidden="0" w:name="caption"/>
    <w:lsdException w:qFormat="1" w:uiPriority="0" w:semiHidden="0" w:name="table of figures"/>
    <w:lsdException w:qFormat="1" w:unhideWhenUsed="0" w:uiPriority="0" w:semiHidden="0" w:name="envelope address"/>
    <w:lsdException w:qFormat="1" w:unhideWhenUsed="0" w:uiPriority="0" w:semiHidden="0" w:name="envelope return"/>
    <w:lsdException w:qFormat="1" w:uiPriority="0" w:semiHidden="0" w:name="footnote reference"/>
    <w:lsdException w:qFormat="1" w:unhideWhenUsed="0"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qFormat="1" w:uiPriority="0" w:semiHidden="0" w:name="endnote text"/>
    <w:lsdException w:unhideWhenUsed="0" w:uiPriority="0" w:semiHidden="0" w:name="table of authorities"/>
    <w:lsdException w:qFormat="1" w:unhideWhenUsed="0" w:uiPriority="0" w:semiHidden="0" w:name="macro"/>
    <w:lsdException w:qFormat="1" w:unhideWhenUsed="0" w:uiPriority="99" w:semiHidden="0" w:name="toa heading"/>
    <w:lsdException w:qFormat="1" w:unhideWhenUsed="0" w:uiPriority="99" w:semiHidden="0" w:name="List"/>
    <w:lsdException w:qFormat="1" w:unhideWhenUsed="0" w:uiPriority="99"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qFormat="1" w:uiPriority="0" w:semiHidden="0" w:name="Closing"/>
    <w:lsdException w:qFormat="1"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semiHidden="0" w:name="Message Header"/>
    <w:lsdException w:qFormat="1" w:unhideWhenUsed="0" w:uiPriority="11" w:semiHidden="0" w:name="Subtitle"/>
    <w:lsdException w:qFormat="1" w:uiPriority="0" w:semiHidden="0" w:name="Salutation"/>
    <w:lsdException w:qFormat="1" w:unhideWhenUsed="0" w:uiPriority="99" w:semiHidden="0" w:name="Date"/>
    <w:lsdException w:qFormat="1" w:unhideWhenUsed="0" w:uiPriority="99" w:semiHidden="0" w:name="Body Text First Indent"/>
    <w:lsdException w:qFormat="1" w:unhideWhenUsed="0" w:uiPriority="0" w:semiHidden="0" w:name="Body Text First Indent 2"/>
    <w:lsdException w:qFormat="1" w:uiPriority="0" w:semiHidden="0" w:name="Note Heading"/>
    <w:lsdException w:qFormat="1" w:unhideWhenUsed="0" w:uiPriority="0"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qFormat="1" w:uiPriority="0" w:semiHidden="0" w:name="E-mail Signature"/>
    <w:lsdException w:qFormat="1" w:unhideWhenUsed="0" w:uiPriority="99" w:semiHidden="0" w:name="Normal (Web)"/>
    <w:lsdException w:unhideWhenUsed="0" w:uiPriority="0" w:semiHidden="0" w:name="HTML Acronym"/>
    <w:lsdException w:qFormat="1" w:uiPriority="0" w:semiHidden="0" w:name="HTML Address"/>
    <w:lsdException w:unhideWhenUsed="0" w:uiPriority="0" w:semiHidden="0" w:name="HTML Cite"/>
    <w:lsdException w:qFormat="1"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qFormat="1" w:uiPriority="99" w:semiHidden="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216"/>
    <w:qFormat/>
    <w:uiPriority w:val="99"/>
    <w:pPr>
      <w:pageBreakBefore/>
      <w:outlineLvl w:val="0"/>
    </w:pPr>
    <w:rPr>
      <w:kern w:val="0"/>
      <w:sz w:val="32"/>
    </w:rPr>
  </w:style>
  <w:style w:type="paragraph" w:styleId="4">
    <w:name w:val="heading 2"/>
    <w:basedOn w:val="1"/>
    <w:next w:val="1"/>
    <w:link w:val="204"/>
    <w:qFormat/>
    <w:uiPriority w:val="0"/>
    <w:pPr>
      <w:keepNext/>
      <w:keepLines/>
      <w:adjustRightInd w:val="0"/>
      <w:snapToGrid w:val="0"/>
      <w:spacing w:before="100" w:beforeLines="100" w:line="360" w:lineRule="auto"/>
      <w:jc w:val="center"/>
      <w:outlineLvl w:val="1"/>
    </w:pPr>
    <w:rPr>
      <w:rFonts w:ascii="黑体" w:hAnsi="Arial"/>
      <w:b/>
      <w:sz w:val="30"/>
    </w:rPr>
  </w:style>
  <w:style w:type="paragraph" w:styleId="5">
    <w:name w:val="heading 3"/>
    <w:basedOn w:val="1"/>
    <w:next w:val="1"/>
    <w:link w:val="218"/>
    <w:qFormat/>
    <w:uiPriority w:val="0"/>
    <w:pPr>
      <w:outlineLvl w:val="2"/>
    </w:pPr>
    <w:rPr>
      <w:rFonts w:ascii="黑体"/>
    </w:rPr>
  </w:style>
  <w:style w:type="paragraph" w:styleId="6">
    <w:name w:val="heading 4"/>
    <w:basedOn w:val="1"/>
    <w:next w:val="1"/>
    <w:link w:val="217"/>
    <w:qFormat/>
    <w:uiPriority w:val="99"/>
    <w:pPr>
      <w:keepNext/>
      <w:keepLines/>
      <w:adjustRightInd w:val="0"/>
      <w:snapToGrid w:val="0"/>
      <w:spacing w:line="360" w:lineRule="auto"/>
      <w:ind w:firstLine="200" w:firstLineChars="200"/>
      <w:jc w:val="left"/>
      <w:outlineLvl w:val="3"/>
    </w:pPr>
    <w:rPr>
      <w:rFonts w:ascii="Arial" w:hAnsi="Arial"/>
      <w:b/>
      <w:sz w:val="24"/>
    </w:rPr>
  </w:style>
  <w:style w:type="paragraph" w:styleId="7">
    <w:name w:val="heading 5"/>
    <w:basedOn w:val="1"/>
    <w:next w:val="1"/>
    <w:link w:val="215"/>
    <w:qFormat/>
    <w:uiPriority w:val="0"/>
    <w:pPr>
      <w:keepNext/>
      <w:keepLines/>
      <w:spacing w:before="280" w:after="290" w:line="376" w:lineRule="auto"/>
      <w:ind w:firstLine="200" w:firstLineChars="200"/>
      <w:outlineLvl w:val="4"/>
    </w:pPr>
    <w:rPr>
      <w:b/>
      <w:bCs/>
      <w:sz w:val="28"/>
      <w:szCs w:val="28"/>
    </w:rPr>
  </w:style>
  <w:style w:type="paragraph" w:styleId="8">
    <w:name w:val="heading 6"/>
    <w:basedOn w:val="1"/>
    <w:next w:val="1"/>
    <w:link w:val="290"/>
    <w:unhideWhenUsed/>
    <w:qFormat/>
    <w:uiPriority w:val="0"/>
    <w:pPr>
      <w:keepNext/>
      <w:keepLines/>
      <w:spacing w:before="240" w:after="64" w:line="320" w:lineRule="auto"/>
      <w:outlineLvl w:val="5"/>
    </w:pPr>
    <w:rPr>
      <w:rFonts w:ascii="等线 Light" w:hAnsi="等线 Light" w:eastAsia="等线 Light"/>
      <w:b/>
      <w:bCs/>
      <w:sz w:val="24"/>
      <w:szCs w:val="24"/>
    </w:rPr>
  </w:style>
  <w:style w:type="paragraph" w:styleId="9">
    <w:name w:val="heading 7"/>
    <w:basedOn w:val="1"/>
    <w:next w:val="1"/>
    <w:link w:val="339"/>
    <w:autoRedefine/>
    <w:qFormat/>
    <w:uiPriority w:val="99"/>
    <w:pPr>
      <w:keepNext/>
      <w:keepLines/>
      <w:tabs>
        <w:tab w:val="left" w:pos="1296"/>
      </w:tabs>
      <w:spacing w:before="240" w:after="64" w:line="320" w:lineRule="auto"/>
      <w:ind w:left="1296" w:hanging="1296" w:firstLineChars="200"/>
      <w:outlineLvl w:val="6"/>
    </w:pPr>
    <w:rPr>
      <w:b/>
      <w:bCs/>
      <w:sz w:val="28"/>
      <w:szCs w:val="24"/>
    </w:rPr>
  </w:style>
  <w:style w:type="paragraph" w:styleId="10">
    <w:name w:val="heading 8"/>
    <w:basedOn w:val="1"/>
    <w:next w:val="1"/>
    <w:link w:val="340"/>
    <w:autoRedefine/>
    <w:qFormat/>
    <w:uiPriority w:val="99"/>
    <w:pPr>
      <w:keepNext/>
      <w:keepLines/>
      <w:tabs>
        <w:tab w:val="left" w:pos="1440"/>
      </w:tabs>
      <w:spacing w:before="240" w:after="64" w:line="320" w:lineRule="auto"/>
      <w:ind w:left="1440" w:hanging="1440" w:firstLineChars="200"/>
      <w:outlineLvl w:val="7"/>
    </w:pPr>
    <w:rPr>
      <w:rFonts w:ascii="Arial" w:hAnsi="Arial" w:eastAsia="黑体"/>
      <w:sz w:val="28"/>
      <w:szCs w:val="24"/>
    </w:rPr>
  </w:style>
  <w:style w:type="paragraph" w:styleId="11">
    <w:name w:val="heading 9"/>
    <w:basedOn w:val="1"/>
    <w:next w:val="1"/>
    <w:link w:val="341"/>
    <w:autoRedefine/>
    <w:qFormat/>
    <w:uiPriority w:val="99"/>
    <w:pPr>
      <w:keepNext/>
      <w:keepLines/>
      <w:tabs>
        <w:tab w:val="left" w:pos="1584"/>
      </w:tabs>
      <w:spacing w:before="240" w:after="64" w:line="320" w:lineRule="auto"/>
      <w:ind w:left="1584" w:hanging="1584" w:firstLineChars="200"/>
      <w:outlineLvl w:val="8"/>
    </w:pPr>
    <w:rPr>
      <w:rFonts w:ascii="Arial" w:hAnsi="Arial" w:eastAsia="黑体"/>
      <w:szCs w:val="21"/>
    </w:rPr>
  </w:style>
  <w:style w:type="character" w:default="1" w:styleId="79">
    <w:name w:val="Default Paragraph Font"/>
    <w:semiHidden/>
    <w:unhideWhenUsed/>
    <w:qFormat/>
    <w:uiPriority w:val="1"/>
  </w:style>
  <w:style w:type="table" w:default="1" w:styleId="76">
    <w:name w:val="Normal Table"/>
    <w:semiHidden/>
    <w:unhideWhenUsed/>
    <w:qFormat/>
    <w:uiPriority w:val="99"/>
    <w:tblPr>
      <w:tblCellMar>
        <w:top w:w="0" w:type="dxa"/>
        <w:left w:w="108" w:type="dxa"/>
        <w:bottom w:w="0" w:type="dxa"/>
        <w:right w:w="108" w:type="dxa"/>
      </w:tblCellMar>
    </w:tblPr>
  </w:style>
  <w:style w:type="paragraph" w:styleId="2">
    <w:name w:val="macro"/>
    <w:link w:val="342"/>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qFormat/>
    <w:uiPriority w:val="0"/>
    <w:pPr>
      <w:ind w:left="100" w:leftChars="400" w:hanging="200" w:hangingChars="200"/>
    </w:pPr>
    <w:rPr>
      <w:rFonts w:ascii="宋体" w:hAnsi="Courier New"/>
      <w:sz w:val="28"/>
      <w:szCs w:val="21"/>
    </w:rPr>
  </w:style>
  <w:style w:type="paragraph" w:styleId="13">
    <w:name w:val="List Number 2"/>
    <w:basedOn w:val="1"/>
    <w:qFormat/>
    <w:uiPriority w:val="0"/>
    <w:pPr>
      <w:tabs>
        <w:tab w:val="left" w:pos="720"/>
      </w:tabs>
      <w:spacing w:line="520" w:lineRule="exact"/>
    </w:pPr>
    <w:rPr>
      <w:rFonts w:ascii="仿宋" w:hAnsi="仿宋" w:eastAsia="仿宋"/>
      <w:sz w:val="28"/>
      <w:szCs w:val="24"/>
    </w:rPr>
  </w:style>
  <w:style w:type="paragraph" w:styleId="14">
    <w:name w:val="Note Heading"/>
    <w:basedOn w:val="1"/>
    <w:next w:val="1"/>
    <w:link w:val="322"/>
    <w:autoRedefine/>
    <w:unhideWhenUsed/>
    <w:qFormat/>
    <w:uiPriority w:val="0"/>
    <w:pPr>
      <w:adjustRightInd w:val="0"/>
      <w:snapToGrid w:val="0"/>
      <w:spacing w:line="360" w:lineRule="auto"/>
      <w:ind w:firstLine="200" w:firstLineChars="200"/>
      <w:jc w:val="center"/>
    </w:pPr>
    <w:rPr>
      <w:sz w:val="28"/>
      <w:szCs w:val="22"/>
    </w:rPr>
  </w:style>
  <w:style w:type="paragraph" w:styleId="15">
    <w:name w:val="List Bullet 4"/>
    <w:basedOn w:val="1"/>
    <w:qFormat/>
    <w:uiPriority w:val="0"/>
    <w:pPr>
      <w:tabs>
        <w:tab w:val="left" w:pos="1620"/>
      </w:tabs>
      <w:spacing w:line="520" w:lineRule="exact"/>
      <w:ind w:left="1620" w:leftChars="600" w:hanging="360" w:hangingChars="200"/>
    </w:pPr>
    <w:rPr>
      <w:rFonts w:ascii="仿宋" w:hAnsi="仿宋" w:eastAsia="仿宋"/>
      <w:sz w:val="28"/>
      <w:szCs w:val="24"/>
    </w:rPr>
  </w:style>
  <w:style w:type="paragraph" w:styleId="16">
    <w:name w:val="index 8"/>
    <w:basedOn w:val="1"/>
    <w:next w:val="1"/>
    <w:autoRedefine/>
    <w:qFormat/>
    <w:uiPriority w:val="0"/>
    <w:pPr>
      <w:ind w:left="1400" w:leftChars="1400"/>
    </w:pPr>
  </w:style>
  <w:style w:type="paragraph" w:styleId="17">
    <w:name w:val="E-mail Signature"/>
    <w:basedOn w:val="1"/>
    <w:link w:val="323"/>
    <w:autoRedefine/>
    <w:unhideWhenUsed/>
    <w:qFormat/>
    <w:uiPriority w:val="0"/>
    <w:pPr>
      <w:adjustRightInd w:val="0"/>
      <w:snapToGrid w:val="0"/>
      <w:spacing w:line="360" w:lineRule="auto"/>
      <w:ind w:firstLine="200" w:firstLineChars="200"/>
    </w:pPr>
    <w:rPr>
      <w:sz w:val="28"/>
      <w:szCs w:val="22"/>
    </w:rPr>
  </w:style>
  <w:style w:type="paragraph" w:styleId="18">
    <w:name w:val="List Number"/>
    <w:basedOn w:val="1"/>
    <w:qFormat/>
    <w:uiPriority w:val="0"/>
    <w:pPr>
      <w:tabs>
        <w:tab w:val="left" w:pos="1535"/>
      </w:tabs>
      <w:spacing w:line="520" w:lineRule="exact"/>
    </w:pPr>
    <w:rPr>
      <w:rFonts w:ascii="仿宋" w:hAnsi="仿宋" w:eastAsia="仿宋"/>
      <w:sz w:val="28"/>
      <w:szCs w:val="24"/>
    </w:rPr>
  </w:style>
  <w:style w:type="paragraph" w:styleId="19">
    <w:name w:val="Normal Indent"/>
    <w:basedOn w:val="1"/>
    <w:link w:val="219"/>
    <w:qFormat/>
    <w:uiPriority w:val="0"/>
    <w:pPr>
      <w:adjustRightInd w:val="0"/>
      <w:spacing w:line="360" w:lineRule="atLeast"/>
      <w:ind w:firstLine="420"/>
      <w:jc w:val="left"/>
      <w:textAlignment w:val="baseline"/>
    </w:pPr>
    <w:rPr>
      <w:kern w:val="0"/>
      <w:sz w:val="24"/>
    </w:rPr>
  </w:style>
  <w:style w:type="paragraph" w:styleId="20">
    <w:name w:val="caption"/>
    <w:basedOn w:val="1"/>
    <w:next w:val="1"/>
    <w:link w:val="343"/>
    <w:qFormat/>
    <w:uiPriority w:val="99"/>
    <w:pPr>
      <w:spacing w:before="152" w:after="160"/>
    </w:pPr>
    <w:rPr>
      <w:rFonts w:ascii="Arial" w:hAnsi="Arial" w:eastAsia="黑体" w:cs="Arial"/>
      <w:sz w:val="20"/>
    </w:rPr>
  </w:style>
  <w:style w:type="paragraph" w:styleId="21">
    <w:name w:val="List Bullet"/>
    <w:basedOn w:val="1"/>
    <w:qFormat/>
    <w:uiPriority w:val="99"/>
    <w:pPr>
      <w:tabs>
        <w:tab w:val="left" w:pos="360"/>
      </w:tabs>
      <w:spacing w:line="480" w:lineRule="exact"/>
      <w:ind w:firstLine="200" w:firstLineChars="200"/>
      <w:jc w:val="left"/>
    </w:pPr>
    <w:rPr>
      <w:kern w:val="0"/>
      <w:sz w:val="28"/>
      <w:szCs w:val="28"/>
    </w:rPr>
  </w:style>
  <w:style w:type="paragraph" w:styleId="22">
    <w:name w:val="envelope address"/>
    <w:basedOn w:val="1"/>
    <w:qFormat/>
    <w:uiPriority w:val="0"/>
    <w:pPr>
      <w:framePr w:w="7920" w:h="1980" w:hRule="exact" w:hSpace="180" w:wrap="around" w:vAnchor="margin" w:hAnchor="page" w:xAlign="center" w:yAlign="bottom"/>
      <w:snapToGrid w:val="0"/>
      <w:spacing w:line="520" w:lineRule="exact"/>
      <w:ind w:left="100" w:leftChars="1400" w:firstLine="640" w:firstLineChars="200"/>
    </w:pPr>
    <w:rPr>
      <w:rFonts w:ascii="Arial" w:hAnsi="Arial" w:eastAsia="仿宋" w:cs="Arial"/>
      <w:sz w:val="24"/>
      <w:szCs w:val="24"/>
    </w:rPr>
  </w:style>
  <w:style w:type="paragraph" w:styleId="23">
    <w:name w:val="Document Map"/>
    <w:basedOn w:val="1"/>
    <w:link w:val="220"/>
    <w:qFormat/>
    <w:uiPriority w:val="99"/>
    <w:pPr>
      <w:shd w:val="clear" w:color="auto" w:fill="000080"/>
    </w:pPr>
  </w:style>
  <w:style w:type="paragraph" w:styleId="24">
    <w:name w:val="toa heading"/>
    <w:basedOn w:val="1"/>
    <w:next w:val="1"/>
    <w:qFormat/>
    <w:uiPriority w:val="99"/>
    <w:pPr>
      <w:spacing w:before="120"/>
    </w:pPr>
    <w:rPr>
      <w:rFonts w:ascii="Microsoft YaHei UI" w:hAnsi="Microsoft YaHei UI" w:eastAsia="仿宋_GB2312" w:cs="Microsoft YaHei UI"/>
      <w:sz w:val="24"/>
      <w:szCs w:val="24"/>
    </w:rPr>
  </w:style>
  <w:style w:type="paragraph" w:styleId="25">
    <w:name w:val="annotation text"/>
    <w:basedOn w:val="1"/>
    <w:link w:val="221"/>
    <w:qFormat/>
    <w:uiPriority w:val="99"/>
    <w:pPr>
      <w:jc w:val="left"/>
    </w:pPr>
  </w:style>
  <w:style w:type="paragraph" w:styleId="26">
    <w:name w:val="index 6"/>
    <w:basedOn w:val="1"/>
    <w:next w:val="1"/>
    <w:qFormat/>
    <w:uiPriority w:val="0"/>
    <w:pPr>
      <w:ind w:left="2100" w:firstLine="200" w:firstLineChars="200"/>
      <w:jc w:val="center"/>
    </w:pPr>
    <w:rPr>
      <w:rFonts w:ascii="Tahoma" w:hAnsi="Tahoma" w:eastAsia="仿宋_GB2312" w:cs="Tahoma"/>
      <w:sz w:val="28"/>
      <w:szCs w:val="28"/>
    </w:rPr>
  </w:style>
  <w:style w:type="paragraph" w:styleId="27">
    <w:name w:val="Salutation"/>
    <w:basedOn w:val="1"/>
    <w:next w:val="1"/>
    <w:link w:val="346"/>
    <w:autoRedefine/>
    <w:unhideWhenUsed/>
    <w:qFormat/>
    <w:uiPriority w:val="0"/>
    <w:pPr>
      <w:adjustRightInd w:val="0"/>
      <w:snapToGrid w:val="0"/>
      <w:spacing w:line="360" w:lineRule="auto"/>
      <w:ind w:firstLine="200" w:firstLineChars="200"/>
    </w:pPr>
    <w:rPr>
      <w:sz w:val="28"/>
      <w:szCs w:val="22"/>
    </w:rPr>
  </w:style>
  <w:style w:type="paragraph" w:styleId="28">
    <w:name w:val="Body Text 3"/>
    <w:basedOn w:val="1"/>
    <w:link w:val="222"/>
    <w:qFormat/>
    <w:uiPriority w:val="99"/>
    <w:rPr>
      <w:rFonts w:eastAsia="仿宋_GB2312"/>
      <w:color w:val="FF0000"/>
      <w:sz w:val="28"/>
    </w:rPr>
  </w:style>
  <w:style w:type="paragraph" w:styleId="29">
    <w:name w:val="Closing"/>
    <w:basedOn w:val="1"/>
    <w:link w:val="325"/>
    <w:autoRedefine/>
    <w:unhideWhenUsed/>
    <w:qFormat/>
    <w:uiPriority w:val="0"/>
    <w:pPr>
      <w:adjustRightInd w:val="0"/>
      <w:snapToGrid w:val="0"/>
      <w:spacing w:line="360" w:lineRule="auto"/>
      <w:ind w:left="100" w:leftChars="2100" w:firstLine="200" w:firstLineChars="200"/>
    </w:pPr>
    <w:rPr>
      <w:sz w:val="28"/>
      <w:szCs w:val="22"/>
    </w:rPr>
  </w:style>
  <w:style w:type="paragraph" w:styleId="30">
    <w:name w:val="List Bullet 3"/>
    <w:basedOn w:val="1"/>
    <w:qFormat/>
    <w:uiPriority w:val="0"/>
    <w:pPr>
      <w:tabs>
        <w:tab w:val="left" w:pos="1200"/>
      </w:tabs>
      <w:spacing w:line="520" w:lineRule="exact"/>
      <w:ind w:left="1200" w:leftChars="400" w:hanging="360" w:hangingChars="200"/>
    </w:pPr>
    <w:rPr>
      <w:rFonts w:ascii="仿宋" w:hAnsi="仿宋" w:eastAsia="仿宋"/>
      <w:sz w:val="28"/>
      <w:szCs w:val="24"/>
    </w:rPr>
  </w:style>
  <w:style w:type="paragraph" w:styleId="31">
    <w:name w:val="Body Text"/>
    <w:basedOn w:val="1"/>
    <w:link w:val="223"/>
    <w:qFormat/>
    <w:uiPriority w:val="0"/>
    <w:rPr>
      <w:rFonts w:eastAsia="仿宋_GB2312"/>
      <w:sz w:val="28"/>
    </w:rPr>
  </w:style>
  <w:style w:type="paragraph" w:styleId="32">
    <w:name w:val="Body Text Indent"/>
    <w:basedOn w:val="1"/>
    <w:link w:val="224"/>
    <w:qFormat/>
    <w:uiPriority w:val="99"/>
    <w:pPr>
      <w:ind w:firstLine="538" w:firstLineChars="192"/>
    </w:pPr>
    <w:rPr>
      <w:rFonts w:eastAsia="仿宋_GB2312"/>
      <w:sz w:val="28"/>
    </w:rPr>
  </w:style>
  <w:style w:type="paragraph" w:styleId="33">
    <w:name w:val="List Number 3"/>
    <w:basedOn w:val="1"/>
    <w:qFormat/>
    <w:uiPriority w:val="0"/>
    <w:pPr>
      <w:tabs>
        <w:tab w:val="left" w:pos="1200"/>
      </w:tabs>
      <w:spacing w:line="520" w:lineRule="exact"/>
      <w:ind w:left="1200" w:leftChars="400" w:hanging="360" w:hangingChars="200"/>
    </w:pPr>
    <w:rPr>
      <w:rFonts w:ascii="仿宋" w:hAnsi="仿宋" w:eastAsia="仿宋"/>
      <w:sz w:val="28"/>
      <w:szCs w:val="24"/>
    </w:rPr>
  </w:style>
  <w:style w:type="paragraph" w:styleId="34">
    <w:name w:val="List 2"/>
    <w:basedOn w:val="1"/>
    <w:qFormat/>
    <w:uiPriority w:val="0"/>
    <w:pPr>
      <w:ind w:left="100" w:leftChars="200" w:hanging="200" w:hangingChars="200"/>
    </w:pPr>
    <w:rPr>
      <w:rFonts w:ascii="宋体" w:hAnsi="Courier New"/>
      <w:sz w:val="28"/>
      <w:szCs w:val="21"/>
    </w:rPr>
  </w:style>
  <w:style w:type="paragraph" w:styleId="35">
    <w:name w:val="List Continue"/>
    <w:basedOn w:val="1"/>
    <w:qFormat/>
    <w:uiPriority w:val="0"/>
    <w:pPr>
      <w:spacing w:after="120" w:line="520" w:lineRule="exact"/>
      <w:ind w:left="420" w:leftChars="200" w:firstLine="640" w:firstLineChars="200"/>
    </w:pPr>
    <w:rPr>
      <w:rFonts w:ascii="仿宋" w:hAnsi="仿宋" w:eastAsia="仿宋"/>
      <w:sz w:val="28"/>
      <w:szCs w:val="24"/>
    </w:rPr>
  </w:style>
  <w:style w:type="paragraph" w:styleId="36">
    <w:name w:val="Block Text"/>
    <w:basedOn w:val="1"/>
    <w:autoRedefine/>
    <w:qFormat/>
    <w:uiPriority w:val="0"/>
    <w:pPr>
      <w:adjustRightInd w:val="0"/>
      <w:snapToGrid w:val="0"/>
      <w:spacing w:line="700" w:lineRule="exact"/>
      <w:ind w:left="-85" w:right="-321" w:firstLine="570"/>
    </w:pPr>
    <w:rPr>
      <w:sz w:val="28"/>
      <w:szCs w:val="24"/>
    </w:rPr>
  </w:style>
  <w:style w:type="paragraph" w:styleId="37">
    <w:name w:val="List Bullet 2"/>
    <w:basedOn w:val="1"/>
    <w:qFormat/>
    <w:uiPriority w:val="0"/>
    <w:pPr>
      <w:tabs>
        <w:tab w:val="left" w:pos="495"/>
      </w:tabs>
      <w:ind w:left="495" w:hanging="495"/>
    </w:pPr>
    <w:rPr>
      <w:rFonts w:ascii="Tahoma" w:hAnsi="Tahoma" w:eastAsia="仿宋_GB2312" w:cs="Tahoma"/>
      <w:sz w:val="28"/>
      <w:szCs w:val="28"/>
    </w:rPr>
  </w:style>
  <w:style w:type="paragraph" w:styleId="38">
    <w:name w:val="HTML Address"/>
    <w:basedOn w:val="1"/>
    <w:link w:val="326"/>
    <w:autoRedefine/>
    <w:unhideWhenUsed/>
    <w:qFormat/>
    <w:uiPriority w:val="0"/>
    <w:pPr>
      <w:spacing w:line="360" w:lineRule="auto"/>
      <w:ind w:firstLine="480" w:firstLineChars="200"/>
      <w:jc w:val="left"/>
    </w:pPr>
    <w:rPr>
      <w:rFonts w:eastAsia="仿宋_GB2312"/>
      <w:i/>
      <w:iCs/>
      <w:kern w:val="0"/>
      <w:sz w:val="28"/>
      <w:szCs w:val="48"/>
    </w:rPr>
  </w:style>
  <w:style w:type="paragraph" w:styleId="39">
    <w:name w:val="index 4"/>
    <w:basedOn w:val="1"/>
    <w:next w:val="1"/>
    <w:qFormat/>
    <w:uiPriority w:val="0"/>
    <w:pPr>
      <w:spacing w:line="520" w:lineRule="exact"/>
      <w:ind w:left="600" w:leftChars="600" w:firstLine="640" w:firstLineChars="200"/>
    </w:pPr>
    <w:rPr>
      <w:rFonts w:ascii="仿宋" w:hAnsi="仿宋" w:eastAsia="仿宋"/>
      <w:sz w:val="28"/>
      <w:szCs w:val="24"/>
    </w:rPr>
  </w:style>
  <w:style w:type="paragraph" w:styleId="40">
    <w:name w:val="toc 3"/>
    <w:basedOn w:val="1"/>
    <w:next w:val="1"/>
    <w:qFormat/>
    <w:uiPriority w:val="39"/>
    <w:pPr>
      <w:ind w:left="840" w:leftChars="400"/>
    </w:pPr>
  </w:style>
  <w:style w:type="paragraph" w:styleId="41">
    <w:name w:val="Plain Text"/>
    <w:basedOn w:val="1"/>
    <w:link w:val="92"/>
    <w:qFormat/>
    <w:uiPriority w:val="0"/>
    <w:rPr>
      <w:rFonts w:ascii="宋体" w:hAnsi="Courier New"/>
    </w:rPr>
  </w:style>
  <w:style w:type="paragraph" w:styleId="42">
    <w:name w:val="List Bullet 5"/>
    <w:basedOn w:val="1"/>
    <w:qFormat/>
    <w:uiPriority w:val="0"/>
    <w:pPr>
      <w:tabs>
        <w:tab w:val="left" w:pos="2040"/>
      </w:tabs>
      <w:spacing w:line="520" w:lineRule="exact"/>
      <w:ind w:left="2040" w:leftChars="800" w:hanging="360" w:hangingChars="200"/>
    </w:pPr>
    <w:rPr>
      <w:rFonts w:ascii="仿宋" w:hAnsi="仿宋" w:eastAsia="仿宋"/>
      <w:sz w:val="28"/>
      <w:szCs w:val="24"/>
    </w:rPr>
  </w:style>
  <w:style w:type="paragraph" w:styleId="43">
    <w:name w:val="List Number 4"/>
    <w:basedOn w:val="1"/>
    <w:qFormat/>
    <w:uiPriority w:val="0"/>
    <w:pPr>
      <w:tabs>
        <w:tab w:val="left" w:pos="1620"/>
      </w:tabs>
      <w:spacing w:line="520" w:lineRule="exact"/>
      <w:ind w:left="1620" w:leftChars="600" w:hanging="360" w:hangingChars="200"/>
    </w:pPr>
    <w:rPr>
      <w:rFonts w:ascii="仿宋" w:hAnsi="仿宋" w:eastAsia="仿宋"/>
      <w:sz w:val="28"/>
      <w:szCs w:val="24"/>
    </w:rPr>
  </w:style>
  <w:style w:type="paragraph" w:styleId="44">
    <w:name w:val="Date"/>
    <w:basedOn w:val="1"/>
    <w:next w:val="1"/>
    <w:link w:val="165"/>
    <w:qFormat/>
    <w:uiPriority w:val="99"/>
    <w:pPr>
      <w:ind w:left="100" w:leftChars="2500"/>
    </w:pPr>
  </w:style>
  <w:style w:type="paragraph" w:styleId="45">
    <w:name w:val="Body Text Indent 2"/>
    <w:basedOn w:val="1"/>
    <w:link w:val="225"/>
    <w:qFormat/>
    <w:uiPriority w:val="99"/>
    <w:pPr>
      <w:spacing w:line="300" w:lineRule="auto"/>
      <w:ind w:firstLine="560" w:firstLineChars="200"/>
    </w:pPr>
    <w:rPr>
      <w:rFonts w:ascii="宋体" w:hAnsi="宋体"/>
      <w:sz w:val="28"/>
    </w:rPr>
  </w:style>
  <w:style w:type="paragraph" w:styleId="46">
    <w:name w:val="endnote text"/>
    <w:basedOn w:val="1"/>
    <w:link w:val="352"/>
    <w:autoRedefine/>
    <w:unhideWhenUsed/>
    <w:qFormat/>
    <w:uiPriority w:val="0"/>
    <w:pPr>
      <w:adjustRightInd w:val="0"/>
      <w:snapToGrid w:val="0"/>
      <w:spacing w:line="360" w:lineRule="auto"/>
      <w:ind w:firstLine="200" w:firstLineChars="200"/>
      <w:jc w:val="left"/>
    </w:pPr>
    <w:rPr>
      <w:sz w:val="28"/>
      <w:szCs w:val="22"/>
    </w:rPr>
  </w:style>
  <w:style w:type="paragraph" w:styleId="47">
    <w:name w:val="List Continue 5"/>
    <w:basedOn w:val="1"/>
    <w:qFormat/>
    <w:uiPriority w:val="0"/>
    <w:pPr>
      <w:spacing w:after="120"/>
      <w:ind w:left="2100" w:leftChars="1000"/>
      <w:jc w:val="left"/>
    </w:pPr>
    <w:rPr>
      <w:kern w:val="0"/>
      <w:sz w:val="24"/>
      <w:szCs w:val="24"/>
    </w:rPr>
  </w:style>
  <w:style w:type="paragraph" w:styleId="48">
    <w:name w:val="Balloon Text"/>
    <w:basedOn w:val="1"/>
    <w:link w:val="226"/>
    <w:qFormat/>
    <w:uiPriority w:val="99"/>
    <w:rPr>
      <w:sz w:val="18"/>
      <w:szCs w:val="18"/>
    </w:rPr>
  </w:style>
  <w:style w:type="paragraph" w:styleId="49">
    <w:name w:val="footer"/>
    <w:basedOn w:val="1"/>
    <w:link w:val="102"/>
    <w:qFormat/>
    <w:uiPriority w:val="0"/>
    <w:pPr>
      <w:tabs>
        <w:tab w:val="center" w:pos="4153"/>
        <w:tab w:val="right" w:pos="8306"/>
      </w:tabs>
      <w:snapToGrid w:val="0"/>
      <w:jc w:val="left"/>
    </w:pPr>
    <w:rPr>
      <w:sz w:val="18"/>
    </w:rPr>
  </w:style>
  <w:style w:type="paragraph" w:styleId="50">
    <w:name w:val="envelope return"/>
    <w:basedOn w:val="1"/>
    <w:qFormat/>
    <w:uiPriority w:val="0"/>
    <w:pPr>
      <w:snapToGrid w:val="0"/>
      <w:spacing w:line="520" w:lineRule="exact"/>
      <w:ind w:firstLine="640" w:firstLineChars="200"/>
    </w:pPr>
    <w:rPr>
      <w:rFonts w:ascii="Arial" w:hAnsi="Arial" w:eastAsia="仿宋" w:cs="Arial"/>
      <w:sz w:val="28"/>
      <w:szCs w:val="24"/>
    </w:rPr>
  </w:style>
  <w:style w:type="paragraph" w:styleId="51">
    <w:name w:val="header"/>
    <w:basedOn w:val="1"/>
    <w:link w:val="291"/>
    <w:qFormat/>
    <w:uiPriority w:val="0"/>
    <w:pPr>
      <w:pBdr>
        <w:bottom w:val="single" w:color="auto" w:sz="6" w:space="1"/>
      </w:pBdr>
      <w:tabs>
        <w:tab w:val="center" w:pos="4153"/>
        <w:tab w:val="right" w:pos="8306"/>
      </w:tabs>
      <w:snapToGrid w:val="0"/>
      <w:jc w:val="center"/>
    </w:pPr>
    <w:rPr>
      <w:sz w:val="18"/>
    </w:rPr>
  </w:style>
  <w:style w:type="paragraph" w:styleId="52">
    <w:name w:val="Signature"/>
    <w:basedOn w:val="1"/>
    <w:link w:val="330"/>
    <w:autoRedefine/>
    <w:unhideWhenUsed/>
    <w:qFormat/>
    <w:uiPriority w:val="0"/>
    <w:pPr>
      <w:adjustRightInd w:val="0"/>
      <w:snapToGrid w:val="0"/>
      <w:spacing w:line="360" w:lineRule="auto"/>
      <w:ind w:left="100" w:leftChars="2100" w:firstLine="200" w:firstLineChars="200"/>
    </w:pPr>
    <w:rPr>
      <w:sz w:val="28"/>
      <w:szCs w:val="22"/>
    </w:rPr>
  </w:style>
  <w:style w:type="paragraph" w:styleId="53">
    <w:name w:val="toc 1"/>
    <w:basedOn w:val="1"/>
    <w:next w:val="1"/>
    <w:link w:val="356"/>
    <w:qFormat/>
    <w:uiPriority w:val="39"/>
    <w:pPr>
      <w:spacing w:before="120" w:after="120"/>
      <w:jc w:val="left"/>
    </w:pPr>
    <w:rPr>
      <w:b/>
      <w:caps/>
      <w:sz w:val="20"/>
    </w:rPr>
  </w:style>
  <w:style w:type="paragraph" w:styleId="54">
    <w:name w:val="List Continue 4"/>
    <w:basedOn w:val="1"/>
    <w:qFormat/>
    <w:uiPriority w:val="0"/>
    <w:pPr>
      <w:spacing w:after="120" w:line="520" w:lineRule="exact"/>
      <w:ind w:left="1680" w:leftChars="800" w:firstLine="640" w:firstLineChars="200"/>
    </w:pPr>
    <w:rPr>
      <w:rFonts w:ascii="仿宋" w:hAnsi="仿宋" w:eastAsia="仿宋"/>
      <w:sz w:val="28"/>
      <w:szCs w:val="24"/>
    </w:rPr>
  </w:style>
  <w:style w:type="paragraph" w:styleId="55">
    <w:name w:val="toc 4"/>
    <w:basedOn w:val="1"/>
    <w:next w:val="1"/>
    <w:autoRedefine/>
    <w:qFormat/>
    <w:uiPriority w:val="39"/>
    <w:pPr>
      <w:widowControl/>
      <w:ind w:left="420"/>
      <w:jc w:val="left"/>
    </w:pPr>
    <w:rPr>
      <w:rFonts w:ascii="Calibri" w:hAnsi="Calibri"/>
      <w:sz w:val="20"/>
    </w:rPr>
  </w:style>
  <w:style w:type="paragraph" w:styleId="56">
    <w:name w:val="Subtitle"/>
    <w:basedOn w:val="1"/>
    <w:next w:val="1"/>
    <w:link w:val="227"/>
    <w:qFormat/>
    <w:uiPriority w:val="11"/>
    <w:pPr>
      <w:spacing w:before="240" w:after="60" w:line="312" w:lineRule="auto"/>
      <w:ind w:firstLine="200" w:firstLineChars="200"/>
      <w:jc w:val="center"/>
      <w:outlineLvl w:val="1"/>
    </w:pPr>
    <w:rPr>
      <w:rFonts w:ascii="Cambria" w:hAnsi="Cambria"/>
      <w:b/>
      <w:bCs/>
      <w:kern w:val="28"/>
      <w:sz w:val="32"/>
      <w:szCs w:val="32"/>
    </w:rPr>
  </w:style>
  <w:style w:type="paragraph" w:styleId="57">
    <w:name w:val="List Number 5"/>
    <w:basedOn w:val="1"/>
    <w:qFormat/>
    <w:uiPriority w:val="0"/>
    <w:pPr>
      <w:tabs>
        <w:tab w:val="left" w:pos="2040"/>
      </w:tabs>
      <w:spacing w:line="520" w:lineRule="exact"/>
      <w:ind w:left="2040" w:leftChars="800" w:hanging="360" w:hangingChars="200"/>
    </w:pPr>
    <w:rPr>
      <w:rFonts w:ascii="仿宋" w:hAnsi="仿宋" w:eastAsia="仿宋"/>
      <w:sz w:val="28"/>
      <w:szCs w:val="24"/>
    </w:rPr>
  </w:style>
  <w:style w:type="paragraph" w:styleId="58">
    <w:name w:val="List"/>
    <w:basedOn w:val="1"/>
    <w:qFormat/>
    <w:uiPriority w:val="99"/>
    <w:pPr>
      <w:ind w:left="200" w:hanging="200" w:hangingChars="200"/>
      <w:contextualSpacing/>
    </w:pPr>
  </w:style>
  <w:style w:type="paragraph" w:styleId="59">
    <w:name w:val="footnote text"/>
    <w:basedOn w:val="1"/>
    <w:link w:val="358"/>
    <w:autoRedefine/>
    <w:unhideWhenUsed/>
    <w:qFormat/>
    <w:uiPriority w:val="0"/>
    <w:pPr>
      <w:adjustRightInd w:val="0"/>
      <w:snapToGrid w:val="0"/>
      <w:spacing w:line="360" w:lineRule="auto"/>
      <w:ind w:firstLine="200" w:firstLineChars="200"/>
      <w:jc w:val="left"/>
    </w:pPr>
    <w:rPr>
      <w:sz w:val="18"/>
      <w:szCs w:val="22"/>
    </w:rPr>
  </w:style>
  <w:style w:type="paragraph" w:styleId="60">
    <w:name w:val="List 5"/>
    <w:basedOn w:val="1"/>
    <w:qFormat/>
    <w:uiPriority w:val="0"/>
    <w:pPr>
      <w:ind w:left="100" w:leftChars="800" w:hanging="200" w:hangingChars="200"/>
    </w:pPr>
    <w:rPr>
      <w:sz w:val="28"/>
      <w:szCs w:val="28"/>
    </w:rPr>
  </w:style>
  <w:style w:type="paragraph" w:styleId="61">
    <w:name w:val="Body Text Indent 3"/>
    <w:basedOn w:val="1"/>
    <w:link w:val="228"/>
    <w:qFormat/>
    <w:uiPriority w:val="99"/>
    <w:pPr>
      <w:adjustRightInd w:val="0"/>
      <w:snapToGrid w:val="0"/>
      <w:spacing w:line="360" w:lineRule="auto"/>
      <w:ind w:firstLine="515" w:firstLineChars="192"/>
    </w:pPr>
    <w:rPr>
      <w:rFonts w:ascii="仿宋_GB2312" w:eastAsia="仿宋_GB2312"/>
      <w:spacing w:val="-6"/>
      <w:sz w:val="28"/>
    </w:rPr>
  </w:style>
  <w:style w:type="paragraph" w:styleId="62">
    <w:name w:val="table of figures"/>
    <w:basedOn w:val="1"/>
    <w:next w:val="1"/>
    <w:link w:val="360"/>
    <w:autoRedefine/>
    <w:unhideWhenUsed/>
    <w:qFormat/>
    <w:uiPriority w:val="0"/>
    <w:pPr>
      <w:adjustRightInd w:val="0"/>
      <w:snapToGrid w:val="0"/>
      <w:spacing w:line="360" w:lineRule="auto"/>
      <w:ind w:left="200" w:leftChars="200" w:hanging="200" w:hangingChars="200"/>
    </w:pPr>
    <w:rPr>
      <w:sz w:val="28"/>
      <w:szCs w:val="22"/>
    </w:rPr>
  </w:style>
  <w:style w:type="paragraph" w:styleId="63">
    <w:name w:val="toc 2"/>
    <w:basedOn w:val="1"/>
    <w:next w:val="1"/>
    <w:qFormat/>
    <w:uiPriority w:val="39"/>
    <w:pPr>
      <w:ind w:left="210"/>
      <w:jc w:val="left"/>
    </w:pPr>
    <w:rPr>
      <w:smallCaps/>
      <w:sz w:val="20"/>
    </w:rPr>
  </w:style>
  <w:style w:type="paragraph" w:styleId="64">
    <w:name w:val="Body Text 2"/>
    <w:basedOn w:val="1"/>
    <w:link w:val="229"/>
    <w:qFormat/>
    <w:uiPriority w:val="0"/>
    <w:pPr>
      <w:adjustRightInd w:val="0"/>
      <w:snapToGrid w:val="0"/>
      <w:jc w:val="center"/>
    </w:pPr>
    <w:rPr>
      <w:rFonts w:eastAsia="仿宋_GB2312"/>
      <w:sz w:val="24"/>
    </w:rPr>
  </w:style>
  <w:style w:type="paragraph" w:styleId="65">
    <w:name w:val="List 4"/>
    <w:basedOn w:val="1"/>
    <w:qFormat/>
    <w:uiPriority w:val="0"/>
    <w:pPr>
      <w:ind w:left="100" w:leftChars="600" w:hanging="200" w:hangingChars="200"/>
    </w:pPr>
    <w:rPr>
      <w:sz w:val="28"/>
      <w:szCs w:val="28"/>
    </w:rPr>
  </w:style>
  <w:style w:type="paragraph" w:styleId="66">
    <w:name w:val="List Continue 2"/>
    <w:basedOn w:val="1"/>
    <w:qFormat/>
    <w:uiPriority w:val="0"/>
    <w:pPr>
      <w:spacing w:after="120"/>
      <w:ind w:left="840" w:leftChars="400"/>
    </w:pPr>
    <w:rPr>
      <w:sz w:val="28"/>
      <w:szCs w:val="28"/>
    </w:rPr>
  </w:style>
  <w:style w:type="paragraph" w:styleId="67">
    <w:name w:val="Message Header"/>
    <w:basedOn w:val="1"/>
    <w:link w:val="362"/>
    <w:autoRedefine/>
    <w:unhideWhenUsed/>
    <w:qFormat/>
    <w:uiPriority w:val="0"/>
    <w:pPr>
      <w:pBdr>
        <w:top w:val="single" w:color="auto" w:sz="6" w:space="1"/>
        <w:left w:val="single" w:color="auto" w:sz="6" w:space="1"/>
        <w:bottom w:val="single" w:color="auto" w:sz="6" w:space="1"/>
        <w:right w:val="single" w:color="auto" w:sz="6" w:space="1"/>
      </w:pBdr>
      <w:shd w:val="pct20" w:color="auto" w:fill="auto"/>
      <w:adjustRightInd w:val="0"/>
      <w:snapToGrid w:val="0"/>
      <w:spacing w:line="360" w:lineRule="auto"/>
      <w:ind w:left="1080" w:leftChars="500" w:hanging="1080" w:hangingChars="500"/>
    </w:pPr>
    <w:rPr>
      <w:rFonts w:ascii="Arial" w:hAnsi="Arial"/>
      <w:sz w:val="24"/>
      <w:szCs w:val="22"/>
    </w:rPr>
  </w:style>
  <w:style w:type="paragraph" w:styleId="68">
    <w:name w:val="HTML Preformatted"/>
    <w:basedOn w:val="1"/>
    <w:link w:val="363"/>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8"/>
      <w:szCs w:val="24"/>
    </w:rPr>
  </w:style>
  <w:style w:type="paragraph" w:styleId="69">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70">
    <w:name w:val="List Continue 3"/>
    <w:basedOn w:val="1"/>
    <w:qFormat/>
    <w:uiPriority w:val="0"/>
    <w:pPr>
      <w:spacing w:after="120" w:line="520" w:lineRule="exact"/>
      <w:ind w:left="1260" w:leftChars="600" w:firstLine="640" w:firstLineChars="200"/>
    </w:pPr>
    <w:rPr>
      <w:rFonts w:ascii="仿宋" w:hAnsi="仿宋" w:eastAsia="仿宋"/>
      <w:sz w:val="28"/>
      <w:szCs w:val="24"/>
    </w:rPr>
  </w:style>
  <w:style w:type="paragraph" w:styleId="71">
    <w:name w:val="index 1"/>
    <w:basedOn w:val="1"/>
    <w:next w:val="1"/>
    <w:autoRedefine/>
    <w:qFormat/>
    <w:uiPriority w:val="0"/>
    <w:pPr>
      <w:spacing w:line="360" w:lineRule="auto"/>
      <w:ind w:firstLine="560" w:firstLineChars="200"/>
    </w:pPr>
    <w:rPr>
      <w:sz w:val="30"/>
      <w:szCs w:val="24"/>
    </w:rPr>
  </w:style>
  <w:style w:type="paragraph" w:styleId="72">
    <w:name w:val="Title"/>
    <w:basedOn w:val="3"/>
    <w:link w:val="230"/>
    <w:qFormat/>
    <w:uiPriority w:val="10"/>
    <w:rPr>
      <w:sz w:val="30"/>
    </w:rPr>
  </w:style>
  <w:style w:type="paragraph" w:styleId="73">
    <w:name w:val="annotation subject"/>
    <w:basedOn w:val="25"/>
    <w:next w:val="25"/>
    <w:link w:val="231"/>
    <w:qFormat/>
    <w:uiPriority w:val="99"/>
    <w:rPr>
      <w:b/>
      <w:bCs/>
    </w:rPr>
  </w:style>
  <w:style w:type="paragraph" w:styleId="74">
    <w:name w:val="Body Text First Indent"/>
    <w:basedOn w:val="31"/>
    <w:link w:val="232"/>
    <w:qFormat/>
    <w:uiPriority w:val="99"/>
    <w:pPr>
      <w:spacing w:after="120"/>
      <w:ind w:firstLine="420" w:firstLineChars="100"/>
    </w:pPr>
    <w:rPr>
      <w:rFonts w:eastAsia="宋体"/>
      <w:sz w:val="30"/>
      <w:szCs w:val="30"/>
    </w:rPr>
  </w:style>
  <w:style w:type="paragraph" w:styleId="75">
    <w:name w:val="Body Text First Indent 2"/>
    <w:basedOn w:val="1"/>
    <w:next w:val="1"/>
    <w:link w:val="233"/>
    <w:qFormat/>
    <w:uiPriority w:val="0"/>
    <w:pPr>
      <w:spacing w:after="120"/>
      <w:ind w:left="420" w:leftChars="200" w:firstLine="420"/>
    </w:pPr>
  </w:style>
  <w:style w:type="table" w:styleId="77">
    <w:name w:val="Table Grid"/>
    <w:basedOn w:val="7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8">
    <w:name w:val="Table Grid 7"/>
    <w:basedOn w:val="76"/>
    <w:autoRedefine/>
    <w:unhideWhenUsed/>
    <w:qFormat/>
    <w:uiPriority w:val="99"/>
    <w:pPr>
      <w:widowControl w:val="0"/>
      <w:jc w:val="both"/>
    </w:pPr>
    <w:rPr>
      <w:b/>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Row">
      <w:rPr>
        <w:b w:val="0"/>
        <w:bCs w:val="0"/>
      </w:rPr>
      <w:tblPr/>
      <w:tcPr>
        <w:tcBorders>
          <w:top w:val="nil"/>
          <w:left w:val="single" w:color="000000" w:sz="12" w:space="0"/>
          <w:bottom w:val="nil"/>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80">
    <w:name w:val="Strong"/>
    <w:basedOn w:val="79"/>
    <w:qFormat/>
    <w:uiPriority w:val="0"/>
    <w:rPr>
      <w:b/>
      <w:bCs/>
    </w:rPr>
  </w:style>
  <w:style w:type="character" w:styleId="81">
    <w:name w:val="page number"/>
    <w:basedOn w:val="79"/>
    <w:qFormat/>
    <w:uiPriority w:val="99"/>
  </w:style>
  <w:style w:type="character" w:styleId="82">
    <w:name w:val="FollowedHyperlink"/>
    <w:qFormat/>
    <w:uiPriority w:val="99"/>
    <w:rPr>
      <w:color w:val="800080"/>
      <w:u w:val="single"/>
    </w:rPr>
  </w:style>
  <w:style w:type="character" w:styleId="83">
    <w:name w:val="Emphasis"/>
    <w:qFormat/>
    <w:uiPriority w:val="20"/>
    <w:rPr>
      <w:i/>
      <w:iCs/>
    </w:rPr>
  </w:style>
  <w:style w:type="character" w:styleId="84">
    <w:name w:val="Hyperlink"/>
    <w:qFormat/>
    <w:uiPriority w:val="99"/>
    <w:rPr>
      <w:color w:val="0000FF"/>
      <w:u w:val="single"/>
    </w:rPr>
  </w:style>
  <w:style w:type="character" w:styleId="85">
    <w:name w:val="HTML Code"/>
    <w:basedOn w:val="79"/>
    <w:autoRedefine/>
    <w:unhideWhenUsed/>
    <w:qFormat/>
    <w:uiPriority w:val="0"/>
    <w:rPr>
      <w:rFonts w:hint="default" w:ascii="Courier New" w:hAnsi="Courier New" w:eastAsia="Times New Roman" w:cs="Courier New"/>
      <w:sz w:val="20"/>
    </w:rPr>
  </w:style>
  <w:style w:type="character" w:styleId="86">
    <w:name w:val="annotation reference"/>
    <w:qFormat/>
    <w:uiPriority w:val="99"/>
    <w:rPr>
      <w:sz w:val="21"/>
      <w:szCs w:val="21"/>
    </w:rPr>
  </w:style>
  <w:style w:type="character" w:styleId="87">
    <w:name w:val="footnote reference"/>
    <w:basedOn w:val="79"/>
    <w:autoRedefine/>
    <w:unhideWhenUsed/>
    <w:qFormat/>
    <w:uiPriority w:val="0"/>
    <w:rPr>
      <w:rFonts w:hint="default" w:ascii="Times New Roman" w:hAnsi="Times New Roman" w:cs="Times New Roman"/>
      <w:vertAlign w:val="superscript"/>
    </w:rPr>
  </w:style>
  <w:style w:type="paragraph" w:customStyle="1" w:styleId="88">
    <w:name w:val="Default"/>
    <w:link w:val="368"/>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9">
    <w:name w:val="我的正文"/>
    <w:basedOn w:val="1"/>
    <w:next w:val="1"/>
    <w:qFormat/>
    <w:uiPriority w:val="0"/>
    <w:pPr>
      <w:ind w:firstLine="480"/>
    </w:pPr>
    <w:rPr>
      <w:rFonts w:cs="宋体"/>
    </w:rPr>
  </w:style>
  <w:style w:type="character" w:customStyle="1" w:styleId="90">
    <w:name w:val="表头 Char"/>
    <w:link w:val="91"/>
    <w:qFormat/>
    <w:uiPriority w:val="0"/>
    <w:rPr>
      <w:rFonts w:eastAsia="黑体"/>
      <w:sz w:val="24"/>
    </w:rPr>
  </w:style>
  <w:style w:type="paragraph" w:customStyle="1" w:styleId="91">
    <w:name w:val="表头"/>
    <w:basedOn w:val="1"/>
    <w:link w:val="90"/>
    <w:qFormat/>
    <w:uiPriority w:val="0"/>
    <w:pPr>
      <w:spacing w:line="360" w:lineRule="auto"/>
      <w:jc w:val="center"/>
      <w:textAlignment w:val="center"/>
    </w:pPr>
    <w:rPr>
      <w:rFonts w:eastAsia="黑体"/>
      <w:kern w:val="0"/>
      <w:sz w:val="24"/>
    </w:rPr>
  </w:style>
  <w:style w:type="character" w:customStyle="1" w:styleId="92">
    <w:name w:val="纯文本 字符"/>
    <w:link w:val="41"/>
    <w:qFormat/>
    <w:uiPriority w:val="0"/>
    <w:rPr>
      <w:rFonts w:ascii="宋体" w:hAnsi="Courier New" w:eastAsia="宋体"/>
      <w:kern w:val="2"/>
      <w:sz w:val="21"/>
      <w:lang w:val="en-US" w:eastAsia="zh-CN"/>
    </w:rPr>
  </w:style>
  <w:style w:type="paragraph" w:customStyle="1" w:styleId="93">
    <w:name w:val="Char2"/>
    <w:basedOn w:val="23"/>
    <w:qFormat/>
    <w:uiPriority w:val="0"/>
    <w:pPr>
      <w:adjustRightInd w:val="0"/>
      <w:spacing w:line="436" w:lineRule="exact"/>
      <w:ind w:left="357"/>
      <w:jc w:val="left"/>
      <w:outlineLvl w:val="3"/>
    </w:pPr>
    <w:rPr>
      <w:rFonts w:ascii="Tahoma" w:hAnsi="Tahoma"/>
      <w:b/>
      <w:sz w:val="24"/>
      <w:szCs w:val="24"/>
    </w:rPr>
  </w:style>
  <w:style w:type="paragraph" w:customStyle="1" w:styleId="94">
    <w:name w:val="正文文字缩进2"/>
    <w:basedOn w:val="45"/>
    <w:qFormat/>
    <w:uiPriority w:val="0"/>
    <w:pPr>
      <w:spacing w:line="240" w:lineRule="auto"/>
    </w:pPr>
    <w:rPr>
      <w:rFonts w:ascii="仿宋_GB2312" w:hAnsi="Times New Roman" w:eastAsia="仿宋_GB2312"/>
      <w:szCs w:val="24"/>
    </w:rPr>
  </w:style>
  <w:style w:type="paragraph" w:customStyle="1" w:styleId="95">
    <w:name w:val="样式3"/>
    <w:basedOn w:val="1"/>
    <w:link w:val="947"/>
    <w:qFormat/>
    <w:uiPriority w:val="0"/>
    <w:pPr>
      <w:spacing w:line="760" w:lineRule="exact"/>
      <w:ind w:firstLine="200" w:firstLineChars="200"/>
      <w:jc w:val="left"/>
    </w:pPr>
    <w:rPr>
      <w:sz w:val="28"/>
      <w:szCs w:val="24"/>
    </w:rPr>
  </w:style>
  <w:style w:type="paragraph" w:customStyle="1" w:styleId="96">
    <w:name w:val="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97">
    <w:name w:val="xl44"/>
    <w:basedOn w:val="1"/>
    <w:qFormat/>
    <w:uiPriority w:val="99"/>
    <w:pPr>
      <w:widowControl/>
      <w:spacing w:before="100" w:beforeAutospacing="1" w:after="100" w:afterAutospacing="1"/>
      <w:jc w:val="center"/>
      <w:textAlignment w:val="center"/>
    </w:pPr>
    <w:rPr>
      <w:kern w:val="0"/>
      <w:sz w:val="24"/>
      <w:szCs w:val="24"/>
    </w:rPr>
  </w:style>
  <w:style w:type="paragraph" w:customStyle="1" w:styleId="98">
    <w:name w:val="Char Char Char1 Char Char Char Char Char Char Char"/>
    <w:basedOn w:val="1"/>
    <w:qFormat/>
    <w:uiPriority w:val="0"/>
    <w:pPr>
      <w:snapToGrid w:val="0"/>
      <w:spacing w:line="360" w:lineRule="auto"/>
      <w:ind w:firstLine="200" w:firstLineChars="200"/>
    </w:pPr>
    <w:rPr>
      <w:rFonts w:eastAsia="仿宋_GB2312"/>
      <w:sz w:val="24"/>
      <w:szCs w:val="24"/>
    </w:rPr>
  </w:style>
  <w:style w:type="paragraph" w:customStyle="1" w:styleId="99">
    <w:name w:val="Char21"/>
    <w:basedOn w:val="23"/>
    <w:qFormat/>
    <w:uiPriority w:val="0"/>
    <w:pPr>
      <w:adjustRightInd w:val="0"/>
      <w:spacing w:line="436" w:lineRule="exact"/>
      <w:ind w:left="357"/>
      <w:jc w:val="left"/>
      <w:outlineLvl w:val="3"/>
    </w:pPr>
    <w:rPr>
      <w:rFonts w:ascii="Tahoma" w:hAnsi="Tahoma"/>
      <w:b/>
      <w:sz w:val="24"/>
      <w:szCs w:val="24"/>
    </w:rPr>
  </w:style>
  <w:style w:type="paragraph" w:customStyle="1" w:styleId="100">
    <w:name w:val="Char4"/>
    <w:basedOn w:val="1"/>
    <w:qFormat/>
    <w:uiPriority w:val="0"/>
    <w:pPr>
      <w:spacing w:line="360" w:lineRule="auto"/>
      <w:ind w:firstLine="200" w:firstLineChars="200"/>
    </w:pPr>
    <w:rPr>
      <w:rFonts w:ascii="宋体" w:hAnsi="宋体" w:cs="宋体"/>
      <w:sz w:val="24"/>
      <w:szCs w:val="24"/>
    </w:rPr>
  </w:style>
  <w:style w:type="paragraph" w:customStyle="1" w:styleId="101">
    <w:name w:val="Char"/>
    <w:basedOn w:val="1"/>
    <w:qFormat/>
    <w:uiPriority w:val="0"/>
    <w:rPr>
      <w:szCs w:val="24"/>
    </w:rPr>
  </w:style>
  <w:style w:type="character" w:customStyle="1" w:styleId="102">
    <w:name w:val="页脚 字符"/>
    <w:link w:val="49"/>
    <w:qFormat/>
    <w:uiPriority w:val="0"/>
    <w:rPr>
      <w:kern w:val="2"/>
      <w:sz w:val="18"/>
    </w:rPr>
  </w:style>
  <w:style w:type="paragraph" w:customStyle="1" w:styleId="103">
    <w:name w:val="Char Char Char1 Char Char Char Char Char Char Char1"/>
    <w:basedOn w:val="1"/>
    <w:qFormat/>
    <w:uiPriority w:val="0"/>
    <w:pPr>
      <w:snapToGrid w:val="0"/>
      <w:spacing w:line="360" w:lineRule="auto"/>
      <w:ind w:firstLine="200" w:firstLineChars="200"/>
    </w:pPr>
    <w:rPr>
      <w:rFonts w:eastAsia="仿宋_GB2312"/>
      <w:sz w:val="24"/>
      <w:szCs w:val="24"/>
    </w:rPr>
  </w:style>
  <w:style w:type="paragraph" w:customStyle="1" w:styleId="104">
    <w:name w:val="Char1"/>
    <w:basedOn w:val="1"/>
    <w:qFormat/>
    <w:uiPriority w:val="99"/>
    <w:rPr>
      <w:rFonts w:ascii="仿宋_GB2312" w:eastAsia="仿宋_GB2312"/>
      <w:b/>
      <w:sz w:val="32"/>
      <w:szCs w:val="32"/>
    </w:rPr>
  </w:style>
  <w:style w:type="paragraph" w:customStyle="1" w:styleId="105">
    <w:name w:val="xl41"/>
    <w:basedOn w:val="1"/>
    <w:qFormat/>
    <w:uiPriority w:val="99"/>
    <w:pPr>
      <w:widowControl/>
      <w:pBdr>
        <w:bottom w:val="single" w:color="auto" w:sz="4" w:space="0"/>
      </w:pBdr>
      <w:spacing w:before="100" w:beforeAutospacing="1" w:after="100" w:afterAutospacing="1"/>
      <w:jc w:val="center"/>
    </w:pPr>
    <w:rPr>
      <w:kern w:val="0"/>
    </w:rPr>
  </w:style>
  <w:style w:type="paragraph" w:customStyle="1" w:styleId="106">
    <w:name w:val="默认段落字体 Para Char"/>
    <w:basedOn w:val="1"/>
    <w:next w:val="1"/>
    <w:qFormat/>
    <w:uiPriority w:val="99"/>
    <w:pPr>
      <w:spacing w:line="360" w:lineRule="auto"/>
      <w:ind w:firstLine="200" w:firstLineChars="200"/>
    </w:pPr>
  </w:style>
  <w:style w:type="character" w:customStyle="1" w:styleId="107">
    <w:name w:val="页码1"/>
    <w:qFormat/>
    <w:uiPriority w:val="0"/>
  </w:style>
  <w:style w:type="character" w:customStyle="1" w:styleId="108">
    <w:name w:val="页眉 Char"/>
    <w:link w:val="109"/>
    <w:qFormat/>
    <w:uiPriority w:val="99"/>
    <w:rPr>
      <w:kern w:val="2"/>
      <w:sz w:val="18"/>
    </w:rPr>
  </w:style>
  <w:style w:type="paragraph" w:customStyle="1" w:styleId="109">
    <w:name w:val="页眉1"/>
    <w:basedOn w:val="1"/>
    <w:link w:val="108"/>
    <w:qFormat/>
    <w:uiPriority w:val="99"/>
    <w:pPr>
      <w:tabs>
        <w:tab w:val="center" w:pos="4153"/>
        <w:tab w:val="right" w:pos="8306"/>
      </w:tabs>
      <w:snapToGrid w:val="0"/>
      <w:spacing w:line="360" w:lineRule="auto"/>
      <w:ind w:firstLine="200" w:firstLineChars="200"/>
      <w:jc w:val="center"/>
    </w:pPr>
    <w:rPr>
      <w:sz w:val="18"/>
    </w:rPr>
  </w:style>
  <w:style w:type="paragraph" w:customStyle="1" w:styleId="110">
    <w:name w:val="页脚1"/>
    <w:basedOn w:val="1"/>
    <w:qFormat/>
    <w:uiPriority w:val="0"/>
    <w:pPr>
      <w:tabs>
        <w:tab w:val="center" w:pos="4153"/>
        <w:tab w:val="right" w:pos="8306"/>
      </w:tabs>
      <w:snapToGrid w:val="0"/>
      <w:spacing w:line="360" w:lineRule="auto"/>
      <w:ind w:firstLine="200" w:firstLineChars="200"/>
      <w:jc w:val="left"/>
    </w:pPr>
    <w:rPr>
      <w:rFonts w:eastAsia="华文中宋"/>
      <w:sz w:val="18"/>
    </w:rPr>
  </w:style>
  <w:style w:type="character" w:customStyle="1" w:styleId="111">
    <w:name w:val="fontstyle11"/>
    <w:qFormat/>
    <w:uiPriority w:val="0"/>
    <w:rPr>
      <w:rFonts w:hint="eastAsia" w:ascii="宋体" w:hAnsi="宋体" w:eastAsia="宋体" w:cs="宋体"/>
      <w:color w:val="000000"/>
      <w:sz w:val="24"/>
      <w:szCs w:val="24"/>
    </w:rPr>
  </w:style>
  <w:style w:type="character" w:customStyle="1" w:styleId="112">
    <w:name w:val="fontstyle01"/>
    <w:qFormat/>
    <w:uiPriority w:val="0"/>
    <w:rPr>
      <w:rFonts w:hint="default" w:ascii="TimesNewRomanPSMT" w:hAnsi="TimesNewRomanPSMT" w:cs="宋体"/>
      <w:color w:val="000000"/>
      <w:sz w:val="24"/>
      <w:szCs w:val="24"/>
    </w:rPr>
  </w:style>
  <w:style w:type="paragraph" w:customStyle="1" w:styleId="113">
    <w:name w:val="_正文格式"/>
    <w:basedOn w:val="1"/>
    <w:link w:val="114"/>
    <w:qFormat/>
    <w:uiPriority w:val="0"/>
    <w:pPr>
      <w:spacing w:line="560" w:lineRule="exact"/>
      <w:ind w:firstLine="200" w:firstLineChars="200"/>
    </w:pPr>
    <w:rPr>
      <w:rFonts w:eastAsia="仿宋_GB2312"/>
      <w:sz w:val="28"/>
      <w:lang w:val="zh-CN"/>
    </w:rPr>
  </w:style>
  <w:style w:type="character" w:customStyle="1" w:styleId="114">
    <w:name w:val="_正文格式 Char1"/>
    <w:link w:val="113"/>
    <w:qFormat/>
    <w:uiPriority w:val="0"/>
    <w:rPr>
      <w:rFonts w:eastAsia="仿宋_GB2312"/>
      <w:kern w:val="2"/>
      <w:sz w:val="28"/>
      <w:lang w:val="zh-CN" w:eastAsia="zh-CN"/>
    </w:rPr>
  </w:style>
  <w:style w:type="paragraph" w:customStyle="1" w:styleId="115">
    <w:name w:val="图名表名"/>
    <w:basedOn w:val="1"/>
    <w:link w:val="116"/>
    <w:qFormat/>
    <w:uiPriority w:val="0"/>
    <w:pPr>
      <w:jc w:val="center"/>
    </w:pPr>
    <w:rPr>
      <w:rFonts w:ascii="宋体" w:hAnsi="宋体" w:cs="仿宋"/>
    </w:rPr>
  </w:style>
  <w:style w:type="character" w:customStyle="1" w:styleId="116">
    <w:name w:val="图名表名 Char"/>
    <w:basedOn w:val="79"/>
    <w:link w:val="115"/>
    <w:qFormat/>
    <w:uiPriority w:val="0"/>
    <w:rPr>
      <w:rFonts w:ascii="宋体" w:hAnsi="宋体" w:cs="仿宋"/>
      <w:kern w:val="2"/>
      <w:sz w:val="21"/>
    </w:rPr>
  </w:style>
  <w:style w:type="character" w:customStyle="1" w:styleId="117">
    <w:name w:val="报告正文 Char Char"/>
    <w:link w:val="118"/>
    <w:qFormat/>
    <w:uiPriority w:val="0"/>
    <w:rPr>
      <w:rFonts w:ascii="宋体" w:hAnsi="宋体"/>
      <w:color w:val="000000"/>
      <w:kern w:val="2"/>
      <w:sz w:val="24"/>
      <w:szCs w:val="28"/>
    </w:rPr>
  </w:style>
  <w:style w:type="paragraph" w:customStyle="1" w:styleId="118">
    <w:name w:val="报告正文"/>
    <w:basedOn w:val="64"/>
    <w:next w:val="31"/>
    <w:link w:val="117"/>
    <w:qFormat/>
    <w:uiPriority w:val="0"/>
    <w:pPr>
      <w:spacing w:line="360" w:lineRule="auto"/>
      <w:ind w:firstLine="482" w:firstLineChars="200"/>
      <w:jc w:val="both"/>
    </w:pPr>
    <w:rPr>
      <w:rFonts w:ascii="宋体" w:hAnsi="宋体" w:eastAsia="宋体"/>
      <w:color w:val="000000"/>
      <w:szCs w:val="28"/>
    </w:rPr>
  </w:style>
  <w:style w:type="paragraph" w:customStyle="1" w:styleId="119">
    <w:name w:val="font5"/>
    <w:basedOn w:val="1"/>
    <w:qFormat/>
    <w:uiPriority w:val="0"/>
    <w:pPr>
      <w:widowControl/>
      <w:spacing w:before="100" w:beforeAutospacing="1" w:after="100" w:afterAutospacing="1"/>
      <w:jc w:val="left"/>
    </w:pPr>
    <w:rPr>
      <w:color w:val="000000"/>
      <w:kern w:val="0"/>
      <w:sz w:val="20"/>
    </w:rPr>
  </w:style>
  <w:style w:type="paragraph" w:customStyle="1" w:styleId="120">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1">
    <w:name w:val="font7"/>
    <w:basedOn w:val="1"/>
    <w:qFormat/>
    <w:uiPriority w:val="0"/>
    <w:pPr>
      <w:widowControl/>
      <w:spacing w:before="100" w:beforeAutospacing="1" w:after="100" w:afterAutospacing="1"/>
      <w:jc w:val="left"/>
    </w:pPr>
    <w:rPr>
      <w:rFonts w:ascii="宋体" w:hAnsi="宋体" w:cs="宋体"/>
      <w:b/>
      <w:bCs/>
      <w:color w:val="000000"/>
      <w:kern w:val="0"/>
      <w:sz w:val="22"/>
      <w:szCs w:val="22"/>
    </w:rPr>
  </w:style>
  <w:style w:type="paragraph" w:customStyle="1" w:styleId="122">
    <w:name w:val="font8"/>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123">
    <w:name w:val="font9"/>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24">
    <w:name w:val="font10"/>
    <w:basedOn w:val="1"/>
    <w:qFormat/>
    <w:uiPriority w:val="0"/>
    <w:pPr>
      <w:widowControl/>
      <w:spacing w:before="100" w:beforeAutospacing="1" w:after="100" w:afterAutospacing="1"/>
      <w:jc w:val="left"/>
    </w:pPr>
    <w:rPr>
      <w:color w:val="000000"/>
      <w:kern w:val="0"/>
      <w:sz w:val="20"/>
    </w:rPr>
  </w:style>
  <w:style w:type="paragraph" w:customStyle="1" w:styleId="125">
    <w:name w:val="font1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26">
    <w:name w:val="font12"/>
    <w:basedOn w:val="1"/>
    <w:qFormat/>
    <w:uiPriority w:val="99"/>
    <w:pPr>
      <w:widowControl/>
      <w:spacing w:before="100" w:beforeAutospacing="1" w:after="100" w:afterAutospacing="1"/>
      <w:jc w:val="left"/>
    </w:pPr>
    <w:rPr>
      <w:kern w:val="0"/>
      <w:sz w:val="20"/>
    </w:rPr>
  </w:style>
  <w:style w:type="paragraph" w:customStyle="1" w:styleId="127">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28">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129">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30">
    <w:name w:val="xl66"/>
    <w:basedOn w:val="1"/>
    <w:qFormat/>
    <w:uiPriority w:val="0"/>
    <w:pPr>
      <w:widowControl/>
      <w:spacing w:before="100" w:beforeAutospacing="1" w:after="100" w:afterAutospacing="1"/>
      <w:jc w:val="center"/>
      <w:textAlignment w:val="center"/>
    </w:pPr>
    <w:rPr>
      <w:kern w:val="0"/>
      <w:sz w:val="20"/>
    </w:rPr>
  </w:style>
  <w:style w:type="paragraph" w:customStyle="1" w:styleId="13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132">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33">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34">
    <w:name w:val="xl70"/>
    <w:basedOn w:val="1"/>
    <w:qFormat/>
    <w:uiPriority w:val="0"/>
    <w:pPr>
      <w:widowControl/>
      <w:spacing w:before="100" w:beforeAutospacing="1" w:after="100" w:afterAutospacing="1"/>
      <w:jc w:val="center"/>
      <w:textAlignment w:val="center"/>
    </w:pPr>
    <w:rPr>
      <w:kern w:val="0"/>
      <w:sz w:val="20"/>
    </w:rPr>
  </w:style>
  <w:style w:type="paragraph" w:customStyle="1" w:styleId="13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36">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13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38">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39">
    <w:name w:val="xl7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40">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41">
    <w:name w:val="font13"/>
    <w:basedOn w:val="1"/>
    <w:qFormat/>
    <w:uiPriority w:val="99"/>
    <w:pPr>
      <w:widowControl/>
      <w:spacing w:before="100" w:beforeAutospacing="1" w:after="100" w:afterAutospacing="1"/>
      <w:jc w:val="left"/>
    </w:pPr>
    <w:rPr>
      <w:kern w:val="0"/>
      <w:sz w:val="20"/>
    </w:rPr>
  </w:style>
  <w:style w:type="paragraph" w:customStyle="1" w:styleId="142">
    <w:name w:val="font14"/>
    <w:basedOn w:val="1"/>
    <w:qFormat/>
    <w:uiPriority w:val="0"/>
    <w:pPr>
      <w:widowControl/>
      <w:spacing w:before="100" w:beforeAutospacing="1" w:after="100" w:afterAutospacing="1"/>
      <w:jc w:val="left"/>
    </w:pPr>
    <w:rPr>
      <w:rFonts w:ascii="宋体" w:hAnsi="宋体" w:cs="宋体"/>
      <w:kern w:val="0"/>
      <w:sz w:val="20"/>
    </w:rPr>
  </w:style>
  <w:style w:type="paragraph" w:customStyle="1" w:styleId="143">
    <w:name w:val="font15"/>
    <w:basedOn w:val="1"/>
    <w:qFormat/>
    <w:uiPriority w:val="0"/>
    <w:pPr>
      <w:widowControl/>
      <w:spacing w:before="100" w:beforeAutospacing="1" w:after="100" w:afterAutospacing="1"/>
      <w:jc w:val="left"/>
    </w:pPr>
    <w:rPr>
      <w:color w:val="000000"/>
      <w:kern w:val="0"/>
      <w:sz w:val="20"/>
    </w:rPr>
  </w:style>
  <w:style w:type="paragraph" w:customStyle="1" w:styleId="144">
    <w:name w:val="font16"/>
    <w:basedOn w:val="1"/>
    <w:qFormat/>
    <w:uiPriority w:val="0"/>
    <w:pPr>
      <w:widowControl/>
      <w:spacing w:before="100" w:beforeAutospacing="1" w:after="100" w:afterAutospacing="1"/>
      <w:jc w:val="left"/>
    </w:pPr>
    <w:rPr>
      <w:rFonts w:ascii="宋体" w:hAnsi="宋体" w:cs="宋体"/>
      <w:color w:val="000000"/>
      <w:kern w:val="0"/>
      <w:sz w:val="20"/>
    </w:rPr>
  </w:style>
  <w:style w:type="paragraph" w:styleId="145">
    <w:name w:val="List Paragraph"/>
    <w:basedOn w:val="1"/>
    <w:qFormat/>
    <w:uiPriority w:val="99"/>
    <w:pPr>
      <w:adjustRightInd w:val="0"/>
      <w:snapToGrid w:val="0"/>
      <w:spacing w:line="360" w:lineRule="auto"/>
      <w:ind w:firstLine="200" w:firstLineChars="200"/>
    </w:pPr>
    <w:rPr>
      <w:rFonts w:ascii="华文中宋" w:hAnsi="华文中宋" w:cs="华文中宋"/>
      <w:sz w:val="24"/>
    </w:rPr>
  </w:style>
  <w:style w:type="character" w:customStyle="1" w:styleId="146">
    <w:name w:val="answerref"/>
    <w:basedOn w:val="79"/>
    <w:qFormat/>
    <w:uiPriority w:val="0"/>
  </w:style>
  <w:style w:type="paragraph" w:customStyle="1" w:styleId="147">
    <w:name w:val="p0"/>
    <w:basedOn w:val="1"/>
    <w:qFormat/>
    <w:uiPriority w:val="99"/>
    <w:pPr>
      <w:widowControl/>
      <w:spacing w:line="408" w:lineRule="auto"/>
      <w:ind w:left="1"/>
      <w:textAlignment w:val="bottom"/>
    </w:pPr>
    <w:rPr>
      <w:color w:val="000000"/>
      <w:kern w:val="0"/>
      <w:sz w:val="30"/>
      <w:szCs w:val="30"/>
    </w:rPr>
  </w:style>
  <w:style w:type="character" w:customStyle="1" w:styleId="148">
    <w:name w:val="纯文本 字符1"/>
    <w:qFormat/>
    <w:uiPriority w:val="0"/>
    <w:rPr>
      <w:rFonts w:ascii="宋体" w:hAnsi="Courier New" w:eastAsia="宋体"/>
      <w:szCs w:val="21"/>
    </w:rPr>
  </w:style>
  <w:style w:type="paragraph" w:customStyle="1" w:styleId="149">
    <w:name w:val="xl77"/>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20"/>
    </w:rPr>
  </w:style>
  <w:style w:type="paragraph" w:customStyle="1" w:styleId="150">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0"/>
    </w:rPr>
  </w:style>
  <w:style w:type="paragraph" w:customStyle="1" w:styleId="151">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0"/>
    </w:rPr>
  </w:style>
  <w:style w:type="paragraph" w:customStyle="1" w:styleId="152">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0"/>
    </w:rPr>
  </w:style>
  <w:style w:type="paragraph" w:customStyle="1" w:styleId="153">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0"/>
      <w:u w:val="single"/>
    </w:rPr>
  </w:style>
  <w:style w:type="paragraph" w:customStyle="1" w:styleId="154">
    <w:name w:val="xl82"/>
    <w:basedOn w:val="1"/>
    <w:qFormat/>
    <w:uiPriority w:val="0"/>
    <w:pPr>
      <w:widowControl/>
      <w:shd w:val="clear" w:color="000000" w:fill="FFFF00"/>
      <w:spacing w:before="100" w:beforeAutospacing="1" w:after="100" w:afterAutospacing="1"/>
      <w:jc w:val="center"/>
      <w:textAlignment w:val="center"/>
    </w:pPr>
    <w:rPr>
      <w:rFonts w:ascii="宋体" w:hAnsi="宋体" w:cs="宋体"/>
      <w:color w:val="FF0000"/>
      <w:kern w:val="0"/>
      <w:sz w:val="20"/>
    </w:rPr>
  </w:style>
  <w:style w:type="paragraph" w:customStyle="1" w:styleId="15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156">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5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158">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0"/>
    </w:rPr>
  </w:style>
  <w:style w:type="paragraph" w:customStyle="1" w:styleId="159">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60">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61">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u w:val="single"/>
    </w:rPr>
  </w:style>
  <w:style w:type="paragraph" w:customStyle="1" w:styleId="16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0"/>
    </w:rPr>
  </w:style>
  <w:style w:type="paragraph" w:customStyle="1" w:styleId="163">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u w:val="single"/>
    </w:rPr>
  </w:style>
  <w:style w:type="character" w:customStyle="1" w:styleId="164">
    <w:name w:val="页脚 Char1"/>
    <w:qFormat/>
    <w:uiPriority w:val="99"/>
    <w:rPr>
      <w:rFonts w:eastAsia="宋体"/>
      <w:kern w:val="2"/>
      <w:sz w:val="18"/>
      <w:szCs w:val="18"/>
      <w:lang w:val="en-US" w:eastAsia="zh-CN" w:bidi="ar-SA"/>
    </w:rPr>
  </w:style>
  <w:style w:type="character" w:customStyle="1" w:styleId="165">
    <w:name w:val="日期 字符"/>
    <w:link w:val="44"/>
    <w:qFormat/>
    <w:uiPriority w:val="99"/>
    <w:rPr>
      <w:kern w:val="2"/>
      <w:sz w:val="21"/>
    </w:rPr>
  </w:style>
  <w:style w:type="character" w:customStyle="1" w:styleId="166">
    <w:name w:val="普通文字 Char Char2"/>
    <w:qFormat/>
    <w:uiPriority w:val="99"/>
    <w:rPr>
      <w:rFonts w:ascii="宋体" w:hAnsi="Courier New" w:eastAsia="宋体"/>
      <w:kern w:val="2"/>
      <w:sz w:val="21"/>
      <w:lang w:val="en-US" w:eastAsia="zh-CN"/>
    </w:rPr>
  </w:style>
  <w:style w:type="paragraph" w:customStyle="1" w:styleId="167">
    <w:name w:val="Table Paragraph"/>
    <w:basedOn w:val="1"/>
    <w:qFormat/>
    <w:uiPriority w:val="1"/>
    <w:pPr>
      <w:autoSpaceDE w:val="0"/>
      <w:autoSpaceDN w:val="0"/>
      <w:jc w:val="center"/>
    </w:pPr>
    <w:rPr>
      <w:rFonts w:ascii="宋体" w:hAnsi="宋体" w:cs="宋体"/>
      <w:kern w:val="0"/>
      <w:sz w:val="22"/>
      <w:szCs w:val="22"/>
      <w:lang w:val="zh-CN" w:bidi="zh-CN"/>
    </w:rPr>
  </w:style>
  <w:style w:type="character" w:customStyle="1" w:styleId="168">
    <w:name w:val="正文11111111111111111111 Char Char"/>
    <w:link w:val="169"/>
    <w:qFormat/>
    <w:uiPriority w:val="0"/>
    <w:rPr>
      <w:rFonts w:ascii="宋体" w:hAnsi="宋体"/>
      <w:sz w:val="24"/>
      <w:szCs w:val="24"/>
    </w:rPr>
  </w:style>
  <w:style w:type="paragraph" w:customStyle="1" w:styleId="169">
    <w:name w:val="正文11111111111111111111"/>
    <w:basedOn w:val="1"/>
    <w:link w:val="168"/>
    <w:qFormat/>
    <w:uiPriority w:val="0"/>
    <w:pPr>
      <w:spacing w:line="360" w:lineRule="auto"/>
      <w:ind w:firstLine="480" w:firstLineChars="200"/>
    </w:pPr>
    <w:rPr>
      <w:rFonts w:ascii="宋体" w:hAnsi="宋体"/>
      <w:kern w:val="0"/>
      <w:sz w:val="24"/>
      <w:szCs w:val="24"/>
    </w:rPr>
  </w:style>
  <w:style w:type="paragraph" w:customStyle="1" w:styleId="170">
    <w:name w:val="列出段落1"/>
    <w:basedOn w:val="1"/>
    <w:qFormat/>
    <w:uiPriority w:val="0"/>
    <w:pPr>
      <w:ind w:firstLine="420" w:firstLineChars="200"/>
    </w:pPr>
    <w:rPr>
      <w:szCs w:val="22"/>
    </w:rPr>
  </w:style>
  <w:style w:type="paragraph" w:customStyle="1" w:styleId="171">
    <w:name w:val="段"/>
    <w:link w:val="172"/>
    <w:qFormat/>
    <w:uiPriority w:val="0"/>
    <w:pPr>
      <w:autoSpaceDE w:val="0"/>
      <w:autoSpaceDN w:val="0"/>
      <w:ind w:firstLine="200" w:firstLineChars="200"/>
      <w:jc w:val="both"/>
    </w:pPr>
    <w:rPr>
      <w:rFonts w:ascii="宋体" w:hAnsi="Times New Roman" w:eastAsia="宋体" w:cs="Times New Roman"/>
      <w:kern w:val="2"/>
      <w:sz w:val="22"/>
      <w:lang w:val="en-US" w:eastAsia="zh-CN" w:bidi="ar-SA"/>
    </w:rPr>
  </w:style>
  <w:style w:type="character" w:customStyle="1" w:styleId="172">
    <w:name w:val="段 Char Char"/>
    <w:link w:val="171"/>
    <w:qFormat/>
    <w:locked/>
    <w:uiPriority w:val="0"/>
    <w:rPr>
      <w:rFonts w:ascii="宋体"/>
      <w:kern w:val="2"/>
      <w:sz w:val="22"/>
    </w:rPr>
  </w:style>
  <w:style w:type="paragraph" w:customStyle="1" w:styleId="173">
    <w:name w:val="表中"/>
    <w:qFormat/>
    <w:uiPriority w:val="0"/>
    <w:pPr>
      <w:spacing w:before="100" w:beforeAutospacing="1" w:after="100" w:afterAutospacing="1"/>
      <w:ind w:firstLine="420"/>
      <w:jc w:val="center"/>
    </w:pPr>
    <w:rPr>
      <w:rFonts w:ascii="宋体" w:hAnsi="宋体" w:eastAsia="宋体" w:cs="Times New Roman"/>
      <w:color w:val="000000"/>
      <w:kern w:val="44"/>
      <w:sz w:val="21"/>
      <w:szCs w:val="21"/>
      <w:lang w:val="en-US" w:eastAsia="zh-CN" w:bidi="ar-SA"/>
    </w:rPr>
  </w:style>
  <w:style w:type="character" w:customStyle="1" w:styleId="174">
    <w:name w:val="样式 宋体 四号"/>
    <w:basedOn w:val="79"/>
    <w:qFormat/>
    <w:uiPriority w:val="0"/>
    <w:rPr>
      <w:rFonts w:ascii="Times New Roman" w:hAnsi="Times New Roman" w:eastAsia="宋体"/>
      <w:sz w:val="28"/>
      <w:szCs w:val="28"/>
    </w:rPr>
  </w:style>
  <w:style w:type="character" w:customStyle="1" w:styleId="175">
    <w:name w:val="[1]正文 Char"/>
    <w:link w:val="176"/>
    <w:qFormat/>
    <w:uiPriority w:val="0"/>
    <w:rPr>
      <w:sz w:val="28"/>
      <w:szCs w:val="28"/>
    </w:rPr>
  </w:style>
  <w:style w:type="paragraph" w:customStyle="1" w:styleId="176">
    <w:name w:val="[1]正文"/>
    <w:basedOn w:val="1"/>
    <w:link w:val="175"/>
    <w:qFormat/>
    <w:uiPriority w:val="0"/>
    <w:pPr>
      <w:spacing w:line="360" w:lineRule="auto"/>
      <w:ind w:firstLine="200" w:firstLineChars="200"/>
    </w:pPr>
    <w:rPr>
      <w:kern w:val="0"/>
      <w:sz w:val="28"/>
      <w:szCs w:val="28"/>
    </w:rPr>
  </w:style>
  <w:style w:type="character" w:customStyle="1" w:styleId="177">
    <w:name w:val="样式 宋体 四号2 Char"/>
    <w:link w:val="178"/>
    <w:qFormat/>
    <w:uiPriority w:val="0"/>
    <w:rPr>
      <w:rFonts w:ascii="宋体" w:hAnsi="宋体" w:cs="宋体"/>
      <w:kern w:val="2"/>
      <w:sz w:val="28"/>
    </w:rPr>
  </w:style>
  <w:style w:type="paragraph" w:customStyle="1" w:styleId="178">
    <w:name w:val="样式 宋体 四号2"/>
    <w:basedOn w:val="1"/>
    <w:link w:val="177"/>
    <w:qFormat/>
    <w:uiPriority w:val="0"/>
    <w:pPr>
      <w:spacing w:line="520" w:lineRule="exact"/>
      <w:ind w:firstLine="200" w:firstLineChars="200"/>
    </w:pPr>
    <w:rPr>
      <w:rFonts w:ascii="宋体" w:hAnsi="宋体" w:cs="宋体"/>
      <w:sz w:val="28"/>
    </w:rPr>
  </w:style>
  <w:style w:type="character" w:customStyle="1" w:styleId="179">
    <w:name w:val="27-正文 Char"/>
    <w:link w:val="180"/>
    <w:qFormat/>
    <w:uiPriority w:val="0"/>
    <w:rPr>
      <w:kern w:val="2"/>
      <w:sz w:val="28"/>
      <w:szCs w:val="28"/>
    </w:rPr>
  </w:style>
  <w:style w:type="paragraph" w:customStyle="1" w:styleId="180">
    <w:name w:val="27-正文"/>
    <w:basedOn w:val="1"/>
    <w:link w:val="179"/>
    <w:qFormat/>
    <w:uiPriority w:val="0"/>
    <w:pPr>
      <w:spacing w:line="520" w:lineRule="exact"/>
      <w:ind w:firstLine="200" w:firstLineChars="200"/>
    </w:pPr>
    <w:rPr>
      <w:sz w:val="28"/>
      <w:szCs w:val="28"/>
    </w:rPr>
  </w:style>
  <w:style w:type="paragraph" w:customStyle="1" w:styleId="181">
    <w:name w:val="样式 标题 4 + 黑色 首行缩进:  2 字符"/>
    <w:basedOn w:val="6"/>
    <w:qFormat/>
    <w:uiPriority w:val="0"/>
    <w:pPr>
      <w:adjustRightInd/>
      <w:snapToGrid/>
      <w:spacing w:line="560" w:lineRule="exact"/>
      <w:ind w:firstLine="0" w:firstLineChars="0"/>
      <w:jc w:val="both"/>
    </w:pPr>
    <w:rPr>
      <w:rFonts w:ascii="Times New Roman" w:hAnsi="Times New Roman" w:cs="宋体"/>
      <w:b w:val="0"/>
      <w:bCs/>
      <w:color w:val="000000"/>
      <w:sz w:val="28"/>
    </w:rPr>
  </w:style>
  <w:style w:type="character" w:customStyle="1" w:styleId="182">
    <w:name w:val="font21"/>
    <w:basedOn w:val="79"/>
    <w:qFormat/>
    <w:uiPriority w:val="0"/>
    <w:rPr>
      <w:rFonts w:hint="eastAsia" w:ascii="宋体" w:hAnsi="宋体" w:eastAsia="宋体" w:cs="宋体"/>
      <w:b/>
      <w:bCs/>
      <w:color w:val="000000"/>
      <w:sz w:val="21"/>
      <w:szCs w:val="21"/>
      <w:u w:val="none"/>
    </w:rPr>
  </w:style>
  <w:style w:type="character" w:customStyle="1" w:styleId="183">
    <w:name w:val="font51"/>
    <w:basedOn w:val="79"/>
    <w:qFormat/>
    <w:uiPriority w:val="0"/>
    <w:rPr>
      <w:rFonts w:hint="eastAsia" w:ascii="宋体" w:hAnsi="宋体" w:eastAsia="宋体" w:cs="宋体"/>
      <w:b/>
      <w:bCs/>
      <w:color w:val="000000"/>
      <w:sz w:val="21"/>
      <w:szCs w:val="21"/>
      <w:u w:val="none"/>
      <w:vertAlign w:val="superscript"/>
    </w:rPr>
  </w:style>
  <w:style w:type="character" w:customStyle="1" w:styleId="184">
    <w:name w:val="font61"/>
    <w:basedOn w:val="79"/>
    <w:qFormat/>
    <w:uiPriority w:val="0"/>
    <w:rPr>
      <w:rFonts w:hint="eastAsia" w:ascii="宋体" w:hAnsi="宋体" w:eastAsia="宋体" w:cs="宋体"/>
      <w:color w:val="000000"/>
      <w:sz w:val="21"/>
      <w:szCs w:val="21"/>
      <w:u w:val="none"/>
      <w:vertAlign w:val="superscript"/>
    </w:rPr>
  </w:style>
  <w:style w:type="character" w:customStyle="1" w:styleId="185">
    <w:name w:val="font31"/>
    <w:basedOn w:val="79"/>
    <w:qFormat/>
    <w:uiPriority w:val="0"/>
    <w:rPr>
      <w:rFonts w:hint="eastAsia" w:ascii="宋体" w:hAnsi="宋体" w:eastAsia="宋体" w:cs="宋体"/>
      <w:color w:val="000000"/>
      <w:sz w:val="21"/>
      <w:szCs w:val="21"/>
      <w:u w:val="none"/>
    </w:rPr>
  </w:style>
  <w:style w:type="paragraph" w:customStyle="1" w:styleId="186">
    <w:name w:val="1-正文"/>
    <w:basedOn w:val="1"/>
    <w:qFormat/>
    <w:uiPriority w:val="0"/>
    <w:pPr>
      <w:ind w:firstLine="560" w:firstLineChars="200"/>
    </w:pPr>
    <w:rPr>
      <w:sz w:val="28"/>
      <w:szCs w:val="28"/>
    </w:rPr>
  </w:style>
  <w:style w:type="paragraph" w:customStyle="1" w:styleId="187">
    <w:name w:val="Table Text"/>
    <w:basedOn w:val="1"/>
    <w:semiHidden/>
    <w:qFormat/>
    <w:uiPriority w:val="0"/>
    <w:rPr>
      <w:rFonts w:ascii="宋体" w:hAnsi="宋体" w:cs="宋体"/>
      <w:szCs w:val="21"/>
      <w:lang w:eastAsia="en-US"/>
    </w:rPr>
  </w:style>
  <w:style w:type="table" w:customStyle="1" w:styleId="188">
    <w:name w:val="Table Normal"/>
    <w:unhideWhenUsed/>
    <w:qFormat/>
    <w:uiPriority w:val="0"/>
    <w:tblPr>
      <w:tblCellMar>
        <w:top w:w="0" w:type="dxa"/>
        <w:left w:w="0" w:type="dxa"/>
        <w:bottom w:w="0" w:type="dxa"/>
        <w:right w:w="0" w:type="dxa"/>
      </w:tblCellMar>
    </w:tblPr>
  </w:style>
  <w:style w:type="paragraph" w:customStyle="1" w:styleId="189">
    <w:name w:val="表"/>
    <w:basedOn w:val="1"/>
    <w:qFormat/>
    <w:uiPriority w:val="0"/>
    <w:pPr>
      <w:jc w:val="center"/>
    </w:pPr>
  </w:style>
  <w:style w:type="character" w:customStyle="1" w:styleId="190">
    <w:name w:val="font71"/>
    <w:basedOn w:val="79"/>
    <w:qFormat/>
    <w:uiPriority w:val="0"/>
    <w:rPr>
      <w:rFonts w:hint="eastAsia" w:ascii="宋体" w:hAnsi="宋体" w:eastAsia="宋体" w:cs="宋体"/>
      <w:b/>
      <w:bCs/>
      <w:color w:val="000000"/>
      <w:sz w:val="21"/>
      <w:szCs w:val="21"/>
      <w:u w:val="none"/>
      <w:vertAlign w:val="superscript"/>
    </w:rPr>
  </w:style>
  <w:style w:type="character" w:customStyle="1" w:styleId="191">
    <w:name w:val="font41"/>
    <w:basedOn w:val="79"/>
    <w:qFormat/>
    <w:uiPriority w:val="0"/>
    <w:rPr>
      <w:rFonts w:hint="eastAsia" w:ascii="宋体" w:hAnsi="宋体" w:eastAsia="宋体" w:cs="宋体"/>
      <w:color w:val="FF0000"/>
      <w:sz w:val="21"/>
      <w:szCs w:val="21"/>
      <w:u w:val="none"/>
      <w:vertAlign w:val="superscript"/>
    </w:rPr>
  </w:style>
  <w:style w:type="paragraph" w:customStyle="1" w:styleId="192">
    <w:name w:val="样式 左侧:  0 厘米 首行缩进:  0.85 厘米"/>
    <w:basedOn w:val="1"/>
    <w:qFormat/>
    <w:uiPriority w:val="0"/>
    <w:pPr>
      <w:ind w:firstLine="480"/>
    </w:pPr>
    <w:rPr>
      <w:rFonts w:cs="宋体"/>
    </w:rPr>
  </w:style>
  <w:style w:type="character" w:customStyle="1" w:styleId="193">
    <w:name w:val="font01"/>
    <w:basedOn w:val="79"/>
    <w:qFormat/>
    <w:uiPriority w:val="0"/>
    <w:rPr>
      <w:rFonts w:hint="eastAsia" w:ascii="宋体" w:hAnsi="宋体" w:eastAsia="宋体" w:cs="宋体"/>
      <w:color w:val="000000"/>
      <w:sz w:val="24"/>
      <w:szCs w:val="24"/>
      <w:u w:val="none"/>
    </w:rPr>
  </w:style>
  <w:style w:type="character" w:customStyle="1" w:styleId="194">
    <w:name w:val="font81"/>
    <w:basedOn w:val="79"/>
    <w:qFormat/>
    <w:uiPriority w:val="0"/>
    <w:rPr>
      <w:rFonts w:hint="eastAsia" w:ascii="宋体" w:hAnsi="宋体" w:eastAsia="宋体" w:cs="宋体"/>
      <w:color w:val="000000"/>
      <w:sz w:val="21"/>
      <w:szCs w:val="21"/>
      <w:u w:val="none"/>
      <w:vertAlign w:val="superscript"/>
    </w:rPr>
  </w:style>
  <w:style w:type="character" w:customStyle="1" w:styleId="195">
    <w:name w:val="font161"/>
    <w:basedOn w:val="79"/>
    <w:qFormat/>
    <w:uiPriority w:val="0"/>
    <w:rPr>
      <w:rFonts w:hint="eastAsia" w:ascii="宋体" w:hAnsi="宋体" w:eastAsia="宋体" w:cs="宋体"/>
      <w:color w:val="000000"/>
      <w:sz w:val="20"/>
      <w:szCs w:val="20"/>
      <w:u w:val="none"/>
      <w:vertAlign w:val="superscript"/>
    </w:rPr>
  </w:style>
  <w:style w:type="character" w:customStyle="1" w:styleId="196">
    <w:name w:val="font101"/>
    <w:basedOn w:val="79"/>
    <w:qFormat/>
    <w:uiPriority w:val="0"/>
    <w:rPr>
      <w:rFonts w:hint="eastAsia" w:ascii="宋体" w:hAnsi="宋体" w:eastAsia="宋体" w:cs="宋体"/>
      <w:color w:val="FF0000"/>
      <w:sz w:val="20"/>
      <w:szCs w:val="20"/>
      <w:u w:val="none"/>
    </w:rPr>
  </w:style>
  <w:style w:type="character" w:customStyle="1" w:styleId="197">
    <w:name w:val="font171"/>
    <w:basedOn w:val="79"/>
    <w:qFormat/>
    <w:uiPriority w:val="0"/>
    <w:rPr>
      <w:rFonts w:hint="eastAsia" w:ascii="宋体" w:hAnsi="宋体" w:eastAsia="宋体" w:cs="宋体"/>
      <w:color w:val="FF0000"/>
      <w:sz w:val="20"/>
      <w:szCs w:val="20"/>
      <w:u w:val="none"/>
      <w:vertAlign w:val="superscript"/>
    </w:rPr>
  </w:style>
  <w:style w:type="character" w:customStyle="1" w:styleId="198">
    <w:name w:val="font181"/>
    <w:basedOn w:val="79"/>
    <w:qFormat/>
    <w:uiPriority w:val="0"/>
    <w:rPr>
      <w:rFonts w:hint="default" w:ascii="Times New Roman" w:hAnsi="Times New Roman" w:cs="Times New Roman"/>
      <w:color w:val="000000"/>
      <w:sz w:val="20"/>
      <w:szCs w:val="20"/>
      <w:u w:val="none"/>
      <w:vertAlign w:val="superscript"/>
    </w:rPr>
  </w:style>
  <w:style w:type="character" w:customStyle="1" w:styleId="199">
    <w:name w:val="font191"/>
    <w:basedOn w:val="79"/>
    <w:qFormat/>
    <w:uiPriority w:val="0"/>
    <w:rPr>
      <w:rFonts w:hint="eastAsia" w:ascii="宋体" w:hAnsi="宋体" w:eastAsia="宋体" w:cs="宋体"/>
      <w:color w:val="FF0000"/>
      <w:sz w:val="21"/>
      <w:szCs w:val="21"/>
      <w:u w:val="none"/>
      <w:vertAlign w:val="superscript"/>
    </w:rPr>
  </w:style>
  <w:style w:type="character" w:customStyle="1" w:styleId="200">
    <w:name w:val="font131"/>
    <w:basedOn w:val="79"/>
    <w:qFormat/>
    <w:uiPriority w:val="0"/>
    <w:rPr>
      <w:rFonts w:hint="eastAsia" w:ascii="宋体" w:hAnsi="宋体" w:eastAsia="宋体" w:cs="宋体"/>
      <w:color w:val="FF0000"/>
      <w:sz w:val="21"/>
      <w:szCs w:val="21"/>
      <w:u w:val="none"/>
    </w:rPr>
  </w:style>
  <w:style w:type="character" w:customStyle="1" w:styleId="201">
    <w:name w:val="font141"/>
    <w:basedOn w:val="79"/>
    <w:qFormat/>
    <w:uiPriority w:val="0"/>
    <w:rPr>
      <w:rFonts w:hint="eastAsia" w:ascii="宋体" w:hAnsi="宋体" w:eastAsia="宋体" w:cs="宋体"/>
      <w:b/>
      <w:bCs/>
      <w:color w:val="FF0000"/>
      <w:sz w:val="18"/>
      <w:szCs w:val="18"/>
      <w:u w:val="none"/>
    </w:rPr>
  </w:style>
  <w:style w:type="character" w:customStyle="1" w:styleId="202">
    <w:name w:val="font201"/>
    <w:basedOn w:val="79"/>
    <w:qFormat/>
    <w:uiPriority w:val="0"/>
    <w:rPr>
      <w:rFonts w:hint="eastAsia" w:ascii="宋体" w:hAnsi="宋体" w:eastAsia="宋体" w:cs="宋体"/>
      <w:b/>
      <w:bCs/>
      <w:color w:val="FF0000"/>
      <w:sz w:val="18"/>
      <w:szCs w:val="18"/>
      <w:u w:val="none"/>
      <w:vertAlign w:val="superscript"/>
    </w:rPr>
  </w:style>
  <w:style w:type="paragraph" w:customStyle="1" w:styleId="203">
    <w:name w:val="表内"/>
    <w:basedOn w:val="115"/>
    <w:link w:val="249"/>
    <w:autoRedefine/>
    <w:qFormat/>
    <w:uiPriority w:val="0"/>
  </w:style>
  <w:style w:type="character" w:customStyle="1" w:styleId="204">
    <w:name w:val="标题 2 字符"/>
    <w:link w:val="4"/>
    <w:qFormat/>
    <w:uiPriority w:val="0"/>
    <w:rPr>
      <w:rFonts w:ascii="黑体" w:hAnsi="Arial"/>
      <w:b/>
      <w:sz w:val="30"/>
    </w:rPr>
  </w:style>
  <w:style w:type="paragraph" w:customStyle="1" w:styleId="205">
    <w:name w:val="AAAAAAAAA"/>
    <w:basedOn w:val="1"/>
    <w:qFormat/>
    <w:uiPriority w:val="0"/>
    <w:pPr>
      <w:ind w:firstLine="560"/>
    </w:pPr>
    <w:rPr>
      <w:rFonts w:ascii="仿宋_GB2312" w:hAnsi="宋体" w:eastAsia="仿宋_GB2312" w:cstheme="minorBidi"/>
    </w:rPr>
  </w:style>
  <w:style w:type="paragraph" w:customStyle="1" w:styleId="206">
    <w:name w:val="图名"/>
    <w:qFormat/>
    <w:uiPriority w:val="0"/>
    <w:pPr>
      <w:snapToGrid w:val="0"/>
      <w:jc w:val="center"/>
    </w:pPr>
    <w:rPr>
      <w:rFonts w:ascii="Times New Roman" w:hAnsi="Times New Roman" w:eastAsia="仿宋_GB2312" w:cs="Times New Roman"/>
      <w:lang w:val="en-US" w:eastAsia="zh-CN" w:bidi="ar-SA"/>
    </w:rPr>
  </w:style>
  <w:style w:type="paragraph" w:customStyle="1" w:styleId="207">
    <w:name w:val="样式 样式 宋体 四号 左1 + 首行缩进:  2 字符"/>
    <w:basedOn w:val="1"/>
    <w:qFormat/>
    <w:uiPriority w:val="0"/>
    <w:pPr>
      <w:spacing w:line="460" w:lineRule="exact"/>
      <w:ind w:firstLine="480" w:firstLineChars="200"/>
    </w:pPr>
    <w:rPr>
      <w:rFonts w:ascii="宋体" w:hAnsi="宋体" w:cs="宋体"/>
    </w:rPr>
  </w:style>
  <w:style w:type="character" w:customStyle="1" w:styleId="208">
    <w:name w:val="font212"/>
    <w:basedOn w:val="79"/>
    <w:qFormat/>
    <w:uiPriority w:val="0"/>
    <w:rPr>
      <w:rFonts w:hint="eastAsia" w:ascii="宋体" w:hAnsi="宋体" w:eastAsia="宋体" w:cs="宋体"/>
      <w:b/>
      <w:bCs/>
      <w:color w:val="000000"/>
      <w:sz w:val="22"/>
      <w:szCs w:val="22"/>
      <w:u w:val="none"/>
    </w:rPr>
  </w:style>
  <w:style w:type="character" w:customStyle="1" w:styleId="209">
    <w:name w:val="font91"/>
    <w:basedOn w:val="79"/>
    <w:qFormat/>
    <w:uiPriority w:val="0"/>
    <w:rPr>
      <w:rFonts w:hint="eastAsia" w:ascii="宋体" w:hAnsi="宋体" w:eastAsia="宋体" w:cs="宋体"/>
      <w:b/>
      <w:bCs/>
      <w:color w:val="000000"/>
      <w:sz w:val="22"/>
      <w:szCs w:val="22"/>
      <w:u w:val="none"/>
    </w:rPr>
  </w:style>
  <w:style w:type="character" w:customStyle="1" w:styleId="210">
    <w:name w:val="font112"/>
    <w:basedOn w:val="79"/>
    <w:qFormat/>
    <w:uiPriority w:val="0"/>
    <w:rPr>
      <w:rFonts w:hint="eastAsia" w:ascii="宋体" w:hAnsi="宋体" w:eastAsia="宋体" w:cs="宋体"/>
      <w:color w:val="000000"/>
      <w:sz w:val="21"/>
      <w:szCs w:val="21"/>
      <w:u w:val="none"/>
      <w:vertAlign w:val="superscript"/>
    </w:rPr>
  </w:style>
  <w:style w:type="character" w:customStyle="1" w:styleId="211">
    <w:name w:val="font121"/>
    <w:basedOn w:val="79"/>
    <w:qFormat/>
    <w:uiPriority w:val="0"/>
    <w:rPr>
      <w:rFonts w:hint="default" w:ascii="Times New Roman" w:hAnsi="Times New Roman" w:cs="Times New Roman"/>
      <w:color w:val="FF0000"/>
      <w:sz w:val="20"/>
      <w:szCs w:val="20"/>
      <w:u w:val="none"/>
    </w:rPr>
  </w:style>
  <w:style w:type="table" w:customStyle="1" w:styleId="212">
    <w:name w:val="Table Normal1"/>
    <w:semiHidden/>
    <w:unhideWhenUsed/>
    <w:qFormat/>
    <w:uiPriority w:val="0"/>
    <w:rPr>
      <w:rFonts w:ascii="Arial" w:hAnsi="Arial" w:eastAsia="等线" w:cs="Arial"/>
      <w:snapToGrid w:val="0"/>
      <w:color w:val="000000"/>
      <w:sz w:val="21"/>
      <w:szCs w:val="21"/>
      <w:lang w:eastAsia="en-US"/>
    </w:rPr>
    <w:tblPr>
      <w:tblCellMar>
        <w:top w:w="0" w:type="dxa"/>
        <w:left w:w="0" w:type="dxa"/>
        <w:bottom w:w="0" w:type="dxa"/>
        <w:right w:w="0" w:type="dxa"/>
      </w:tblCellMar>
    </w:tblPr>
  </w:style>
  <w:style w:type="table" w:customStyle="1" w:styleId="213">
    <w:name w:val="Table Normal2"/>
    <w:semiHidden/>
    <w:unhideWhenUsed/>
    <w:qFormat/>
    <w:uiPriority w:val="0"/>
    <w:rPr>
      <w:rFonts w:ascii="Calibri" w:hAnsi="Calibri"/>
    </w:rPr>
    <w:tblPr>
      <w:tblCellMar>
        <w:top w:w="0" w:type="dxa"/>
        <w:left w:w="0" w:type="dxa"/>
        <w:bottom w:w="0" w:type="dxa"/>
        <w:right w:w="0" w:type="dxa"/>
      </w:tblCellMar>
    </w:tblPr>
  </w:style>
  <w:style w:type="table" w:customStyle="1" w:styleId="214">
    <w:name w:val="Table Normal3"/>
    <w:semiHidden/>
    <w:unhideWhenUsed/>
    <w:qFormat/>
    <w:uiPriority w:val="0"/>
    <w:rPr>
      <w:rFonts w:ascii="Arial" w:hAnsi="Arial" w:eastAsia="等线" w:cs="Arial"/>
      <w:snapToGrid w:val="0"/>
      <w:color w:val="000000"/>
      <w:sz w:val="21"/>
      <w:szCs w:val="21"/>
      <w:lang w:eastAsia="en-US"/>
    </w:rPr>
    <w:tblPr>
      <w:tblCellMar>
        <w:top w:w="0" w:type="dxa"/>
        <w:left w:w="0" w:type="dxa"/>
        <w:bottom w:w="0" w:type="dxa"/>
        <w:right w:w="0" w:type="dxa"/>
      </w:tblCellMar>
    </w:tblPr>
  </w:style>
  <w:style w:type="character" w:customStyle="1" w:styleId="215">
    <w:name w:val="标题 5 字符"/>
    <w:basedOn w:val="79"/>
    <w:link w:val="7"/>
    <w:qFormat/>
    <w:uiPriority w:val="0"/>
    <w:rPr>
      <w:b/>
      <w:bCs/>
      <w:kern w:val="2"/>
      <w:sz w:val="28"/>
      <w:szCs w:val="28"/>
    </w:rPr>
  </w:style>
  <w:style w:type="character" w:customStyle="1" w:styleId="216">
    <w:name w:val="标题 1 字符"/>
    <w:link w:val="3"/>
    <w:qFormat/>
    <w:uiPriority w:val="99"/>
    <w:rPr>
      <w:sz w:val="32"/>
    </w:rPr>
  </w:style>
  <w:style w:type="character" w:customStyle="1" w:styleId="217">
    <w:name w:val="标题 4 字符"/>
    <w:link w:val="6"/>
    <w:qFormat/>
    <w:uiPriority w:val="99"/>
    <w:rPr>
      <w:rFonts w:ascii="Arial" w:hAnsi="Arial"/>
      <w:b/>
      <w:kern w:val="2"/>
      <w:sz w:val="24"/>
    </w:rPr>
  </w:style>
  <w:style w:type="character" w:customStyle="1" w:styleId="218">
    <w:name w:val="标题 3 字符"/>
    <w:link w:val="5"/>
    <w:qFormat/>
    <w:uiPriority w:val="0"/>
    <w:rPr>
      <w:rFonts w:ascii="黑体"/>
      <w:kern w:val="2"/>
      <w:sz w:val="21"/>
    </w:rPr>
  </w:style>
  <w:style w:type="character" w:customStyle="1" w:styleId="219">
    <w:name w:val="正文缩进 字符"/>
    <w:link w:val="19"/>
    <w:qFormat/>
    <w:uiPriority w:val="0"/>
    <w:rPr>
      <w:sz w:val="24"/>
    </w:rPr>
  </w:style>
  <w:style w:type="character" w:customStyle="1" w:styleId="220">
    <w:name w:val="文档结构图 字符"/>
    <w:link w:val="23"/>
    <w:qFormat/>
    <w:uiPriority w:val="99"/>
    <w:rPr>
      <w:kern w:val="2"/>
      <w:sz w:val="21"/>
      <w:shd w:val="clear" w:color="auto" w:fill="000080"/>
    </w:rPr>
  </w:style>
  <w:style w:type="character" w:customStyle="1" w:styleId="221">
    <w:name w:val="批注文字 字符"/>
    <w:link w:val="25"/>
    <w:qFormat/>
    <w:uiPriority w:val="99"/>
    <w:rPr>
      <w:kern w:val="2"/>
      <w:sz w:val="21"/>
    </w:rPr>
  </w:style>
  <w:style w:type="character" w:customStyle="1" w:styleId="222">
    <w:name w:val="正文文本 3 字符"/>
    <w:link w:val="28"/>
    <w:qFormat/>
    <w:uiPriority w:val="99"/>
    <w:rPr>
      <w:rFonts w:eastAsia="仿宋_GB2312"/>
      <w:color w:val="FF0000"/>
      <w:kern w:val="2"/>
      <w:sz w:val="28"/>
    </w:rPr>
  </w:style>
  <w:style w:type="character" w:customStyle="1" w:styleId="223">
    <w:name w:val="正文文本 字符"/>
    <w:link w:val="31"/>
    <w:qFormat/>
    <w:uiPriority w:val="0"/>
    <w:rPr>
      <w:rFonts w:eastAsia="仿宋_GB2312"/>
      <w:kern w:val="2"/>
      <w:sz w:val="28"/>
    </w:rPr>
  </w:style>
  <w:style w:type="character" w:customStyle="1" w:styleId="224">
    <w:name w:val="正文文本缩进 字符"/>
    <w:link w:val="32"/>
    <w:qFormat/>
    <w:uiPriority w:val="99"/>
    <w:rPr>
      <w:rFonts w:eastAsia="仿宋_GB2312"/>
      <w:kern w:val="2"/>
      <w:sz w:val="28"/>
    </w:rPr>
  </w:style>
  <w:style w:type="character" w:customStyle="1" w:styleId="225">
    <w:name w:val="正文文本缩进 2 字符"/>
    <w:link w:val="45"/>
    <w:qFormat/>
    <w:uiPriority w:val="99"/>
    <w:rPr>
      <w:rFonts w:ascii="宋体" w:hAnsi="宋体"/>
      <w:kern w:val="2"/>
      <w:sz w:val="28"/>
    </w:rPr>
  </w:style>
  <w:style w:type="character" w:customStyle="1" w:styleId="226">
    <w:name w:val="批注框文本 字符"/>
    <w:link w:val="48"/>
    <w:qFormat/>
    <w:uiPriority w:val="99"/>
    <w:rPr>
      <w:kern w:val="2"/>
      <w:sz w:val="18"/>
      <w:szCs w:val="18"/>
    </w:rPr>
  </w:style>
  <w:style w:type="character" w:customStyle="1" w:styleId="227">
    <w:name w:val="副标题 字符"/>
    <w:basedOn w:val="79"/>
    <w:link w:val="56"/>
    <w:qFormat/>
    <w:uiPriority w:val="11"/>
    <w:rPr>
      <w:rFonts w:ascii="Cambria" w:hAnsi="Cambria"/>
      <w:b/>
      <w:bCs/>
      <w:kern w:val="28"/>
      <w:sz w:val="32"/>
      <w:szCs w:val="32"/>
    </w:rPr>
  </w:style>
  <w:style w:type="character" w:customStyle="1" w:styleId="228">
    <w:name w:val="正文文本缩进 3 字符"/>
    <w:link w:val="61"/>
    <w:qFormat/>
    <w:uiPriority w:val="99"/>
    <w:rPr>
      <w:rFonts w:ascii="仿宋_GB2312" w:eastAsia="仿宋_GB2312"/>
      <w:spacing w:val="-6"/>
      <w:kern w:val="2"/>
      <w:sz w:val="28"/>
    </w:rPr>
  </w:style>
  <w:style w:type="character" w:customStyle="1" w:styleId="229">
    <w:name w:val="正文文本 2 字符"/>
    <w:link w:val="64"/>
    <w:qFormat/>
    <w:uiPriority w:val="0"/>
    <w:rPr>
      <w:rFonts w:eastAsia="仿宋_GB2312"/>
      <w:kern w:val="2"/>
      <w:sz w:val="24"/>
    </w:rPr>
  </w:style>
  <w:style w:type="character" w:customStyle="1" w:styleId="230">
    <w:name w:val="标题 字符"/>
    <w:link w:val="72"/>
    <w:qFormat/>
    <w:uiPriority w:val="10"/>
    <w:rPr>
      <w:sz w:val="30"/>
    </w:rPr>
  </w:style>
  <w:style w:type="character" w:customStyle="1" w:styleId="231">
    <w:name w:val="批注主题 字符"/>
    <w:link w:val="73"/>
    <w:qFormat/>
    <w:uiPriority w:val="99"/>
    <w:rPr>
      <w:b/>
      <w:bCs/>
      <w:kern w:val="2"/>
      <w:sz w:val="21"/>
    </w:rPr>
  </w:style>
  <w:style w:type="character" w:customStyle="1" w:styleId="232">
    <w:name w:val="正文文本首行缩进 字符"/>
    <w:link w:val="74"/>
    <w:qFormat/>
    <w:uiPriority w:val="99"/>
    <w:rPr>
      <w:kern w:val="2"/>
      <w:sz w:val="30"/>
      <w:szCs w:val="30"/>
    </w:rPr>
  </w:style>
  <w:style w:type="character" w:customStyle="1" w:styleId="233">
    <w:name w:val="正文文本首行缩进 2 字符"/>
    <w:link w:val="75"/>
    <w:qFormat/>
    <w:uiPriority w:val="0"/>
    <w:rPr>
      <w:kern w:val="2"/>
      <w:sz w:val="21"/>
    </w:rPr>
  </w:style>
  <w:style w:type="character" w:customStyle="1" w:styleId="234">
    <w:name w:val="不明显强调1"/>
    <w:qFormat/>
    <w:uiPriority w:val="19"/>
    <w:rPr>
      <w:i/>
      <w:iCs/>
      <w:color w:val="7F7F7F"/>
    </w:rPr>
  </w:style>
  <w:style w:type="character" w:customStyle="1" w:styleId="235">
    <w:name w:val="明显强调1"/>
    <w:qFormat/>
    <w:uiPriority w:val="21"/>
    <w:rPr>
      <w:b/>
      <w:bCs/>
      <w:i/>
      <w:iCs/>
      <w:color w:val="4F81BD"/>
    </w:rPr>
  </w:style>
  <w:style w:type="character" w:customStyle="1" w:styleId="236">
    <w:name w:val="不明显参考1"/>
    <w:qFormat/>
    <w:uiPriority w:val="31"/>
    <w:rPr>
      <w:smallCaps/>
      <w:color w:val="C0504D"/>
      <w:u w:val="single"/>
    </w:rPr>
  </w:style>
  <w:style w:type="character" w:customStyle="1" w:styleId="237">
    <w:name w:val="明显参考1"/>
    <w:qFormat/>
    <w:uiPriority w:val="32"/>
    <w:rPr>
      <w:b/>
      <w:bCs/>
      <w:smallCaps/>
      <w:color w:val="C0504D"/>
      <w:spacing w:val="5"/>
      <w:u w:val="single"/>
    </w:rPr>
  </w:style>
  <w:style w:type="character" w:customStyle="1" w:styleId="238">
    <w:name w:val="书籍标题1"/>
    <w:qFormat/>
    <w:uiPriority w:val="33"/>
    <w:rPr>
      <w:b/>
      <w:bCs/>
      <w:smallCaps/>
      <w:spacing w:val="5"/>
    </w:rPr>
  </w:style>
  <w:style w:type="paragraph" w:styleId="239">
    <w:name w:val="Intense Quote"/>
    <w:basedOn w:val="1"/>
    <w:next w:val="1"/>
    <w:link w:val="240"/>
    <w:qFormat/>
    <w:uiPriority w:val="30"/>
    <w:pPr>
      <w:pBdr>
        <w:bottom w:val="single" w:color="4F81BD" w:sz="4" w:space="4"/>
      </w:pBdr>
      <w:spacing w:before="200" w:after="280" w:line="360" w:lineRule="auto"/>
      <w:ind w:left="936" w:right="936" w:firstLine="200" w:firstLineChars="200"/>
    </w:pPr>
    <w:rPr>
      <w:b/>
      <w:bCs/>
      <w:i/>
      <w:iCs/>
      <w:color w:val="4F81BD"/>
      <w:sz w:val="24"/>
    </w:rPr>
  </w:style>
  <w:style w:type="character" w:customStyle="1" w:styleId="240">
    <w:name w:val="明显引用 字符"/>
    <w:basedOn w:val="79"/>
    <w:link w:val="239"/>
    <w:qFormat/>
    <w:uiPriority w:val="30"/>
    <w:rPr>
      <w:b/>
      <w:bCs/>
      <w:i/>
      <w:iCs/>
      <w:color w:val="4F81BD"/>
      <w:kern w:val="2"/>
      <w:sz w:val="24"/>
    </w:rPr>
  </w:style>
  <w:style w:type="paragraph" w:styleId="241">
    <w:name w:val="No Spacing"/>
    <w:qFormat/>
    <w:uiPriority w:val="1"/>
    <w:pPr>
      <w:widowControl w:val="0"/>
      <w:jc w:val="both"/>
    </w:pPr>
    <w:rPr>
      <w:rFonts w:ascii="Times New Roman" w:hAnsi="Times New Roman" w:eastAsia="宋体" w:cs="Times New Roman"/>
      <w:kern w:val="2"/>
      <w:sz w:val="21"/>
      <w:lang w:val="en-US" w:eastAsia="zh-CN" w:bidi="ar-SA"/>
    </w:rPr>
  </w:style>
  <w:style w:type="paragraph" w:styleId="242">
    <w:name w:val="Quote"/>
    <w:basedOn w:val="1"/>
    <w:next w:val="1"/>
    <w:link w:val="243"/>
    <w:qFormat/>
    <w:uiPriority w:val="29"/>
    <w:pPr>
      <w:spacing w:line="360" w:lineRule="auto"/>
      <w:ind w:firstLine="200" w:firstLineChars="200"/>
    </w:pPr>
    <w:rPr>
      <w:i/>
      <w:iCs/>
      <w:color w:val="000000"/>
      <w:sz w:val="24"/>
    </w:rPr>
  </w:style>
  <w:style w:type="character" w:customStyle="1" w:styleId="243">
    <w:name w:val="引用 字符"/>
    <w:basedOn w:val="79"/>
    <w:link w:val="242"/>
    <w:qFormat/>
    <w:uiPriority w:val="29"/>
    <w:rPr>
      <w:i/>
      <w:iCs/>
      <w:color w:val="000000"/>
      <w:kern w:val="2"/>
      <w:sz w:val="24"/>
    </w:rPr>
  </w:style>
  <w:style w:type="character" w:customStyle="1" w:styleId="244">
    <w:name w:val="_正文格式 Char Char"/>
    <w:qFormat/>
    <w:uiPriority w:val="0"/>
    <w:rPr>
      <w:rFonts w:eastAsia="仿宋_GB2312"/>
      <w:kern w:val="2"/>
      <w:sz w:val="28"/>
      <w:szCs w:val="24"/>
      <w:lang w:val="en-US" w:eastAsia="zh-CN" w:bidi="ar-SA"/>
    </w:rPr>
  </w:style>
  <w:style w:type="table" w:customStyle="1" w:styleId="245">
    <w:name w:val="Table Normal4"/>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246">
    <w:name w:val="标题4"/>
    <w:basedOn w:val="1"/>
    <w:link w:val="939"/>
    <w:qFormat/>
    <w:uiPriority w:val="0"/>
    <w:pPr>
      <w:jc w:val="left"/>
    </w:pPr>
    <w:rPr>
      <w:rFonts w:ascii="黑体" w:eastAsia="黑体"/>
      <w:sz w:val="24"/>
    </w:rPr>
  </w:style>
  <w:style w:type="paragraph" w:customStyle="1" w:styleId="247">
    <w:name w:val="Char10"/>
    <w:basedOn w:val="1"/>
    <w:qFormat/>
    <w:uiPriority w:val="0"/>
    <w:rPr>
      <w:szCs w:val="24"/>
    </w:rPr>
  </w:style>
  <w:style w:type="paragraph" w:customStyle="1" w:styleId="248">
    <w:name w:val="Char9"/>
    <w:basedOn w:val="1"/>
    <w:qFormat/>
    <w:uiPriority w:val="0"/>
    <w:rPr>
      <w:szCs w:val="24"/>
    </w:rPr>
  </w:style>
  <w:style w:type="character" w:customStyle="1" w:styleId="249">
    <w:name w:val="表内 Char"/>
    <w:link w:val="203"/>
    <w:qFormat/>
    <w:uiPriority w:val="0"/>
    <w:rPr>
      <w:rFonts w:ascii="宋体" w:hAnsi="宋体" w:cs="仿宋"/>
      <w:kern w:val="2"/>
      <w:sz w:val="21"/>
    </w:rPr>
  </w:style>
  <w:style w:type="paragraph" w:customStyle="1" w:styleId="250">
    <w:name w:val="Char8"/>
    <w:basedOn w:val="1"/>
    <w:qFormat/>
    <w:uiPriority w:val="0"/>
    <w:rPr>
      <w:szCs w:val="24"/>
    </w:rPr>
  </w:style>
  <w:style w:type="paragraph" w:customStyle="1" w:styleId="251">
    <w:name w:val="H正文"/>
    <w:qFormat/>
    <w:uiPriority w:val="0"/>
    <w:pPr>
      <w:spacing w:line="520" w:lineRule="exact"/>
      <w:ind w:firstLine="200" w:firstLineChars="200"/>
      <w:jc w:val="both"/>
      <w:textAlignment w:val="center"/>
    </w:pPr>
    <w:rPr>
      <w:rFonts w:ascii="Times New Roman" w:hAnsi="Times New Roman" w:eastAsia="宋体" w:cs="黑体"/>
      <w:kern w:val="2"/>
      <w:sz w:val="28"/>
      <w:szCs w:val="28"/>
      <w:lang w:val="en-US" w:eastAsia="zh-CN" w:bidi="ar-SA"/>
    </w:rPr>
  </w:style>
  <w:style w:type="paragraph" w:customStyle="1" w:styleId="252">
    <w:name w:val="CM11"/>
    <w:next w:val="51"/>
    <w:qFormat/>
    <w:uiPriority w:val="0"/>
    <w:pPr>
      <w:widowControl w:val="0"/>
      <w:autoSpaceDE w:val="0"/>
      <w:autoSpaceDN w:val="0"/>
      <w:adjustRightInd w:val="0"/>
      <w:spacing w:line="588" w:lineRule="atLeast"/>
    </w:pPr>
    <w:rPr>
      <w:rFonts w:ascii="宋体" w:hAnsi="Times New Roman" w:eastAsia="宋体" w:cs="Times New Roman"/>
      <w:sz w:val="24"/>
      <w:szCs w:val="24"/>
      <w:lang w:val="en-US" w:eastAsia="zh-CN" w:bidi="ar-SA"/>
    </w:rPr>
  </w:style>
  <w:style w:type="character" w:customStyle="1" w:styleId="253">
    <w:name w:val="_正文格式 Char"/>
    <w:qFormat/>
    <w:uiPriority w:val="0"/>
    <w:rPr>
      <w:rFonts w:ascii="Calibri" w:hAnsi="Calibri"/>
      <w:kern w:val="2"/>
      <w:sz w:val="24"/>
      <w:szCs w:val="24"/>
    </w:rPr>
  </w:style>
  <w:style w:type="paragraph" w:customStyle="1" w:styleId="254">
    <w:name w:val="Char7"/>
    <w:basedOn w:val="1"/>
    <w:qFormat/>
    <w:uiPriority w:val="0"/>
    <w:rPr>
      <w:szCs w:val="24"/>
    </w:rPr>
  </w:style>
  <w:style w:type="paragraph" w:customStyle="1" w:styleId="255">
    <w:name w:val="列出段落2"/>
    <w:basedOn w:val="1"/>
    <w:qFormat/>
    <w:uiPriority w:val="0"/>
    <w:pPr>
      <w:ind w:firstLine="420" w:firstLineChars="200"/>
    </w:pPr>
    <w:rPr>
      <w:szCs w:val="22"/>
    </w:rPr>
  </w:style>
  <w:style w:type="paragraph" w:customStyle="1" w:styleId="256">
    <w:name w:val="Char6"/>
    <w:basedOn w:val="1"/>
    <w:qFormat/>
    <w:uiPriority w:val="0"/>
    <w:rPr>
      <w:szCs w:val="24"/>
    </w:rPr>
  </w:style>
  <w:style w:type="paragraph" w:customStyle="1" w:styleId="257">
    <w:name w:val="Char5"/>
    <w:basedOn w:val="1"/>
    <w:qFormat/>
    <w:uiPriority w:val="0"/>
    <w:rPr>
      <w:szCs w:val="24"/>
    </w:rPr>
  </w:style>
  <w:style w:type="paragraph" w:customStyle="1" w:styleId="258">
    <w:name w:val="Char3"/>
    <w:basedOn w:val="1"/>
    <w:qFormat/>
    <w:uiPriority w:val="99"/>
    <w:rPr>
      <w:szCs w:val="24"/>
    </w:rPr>
  </w:style>
  <w:style w:type="paragraph" w:customStyle="1" w:styleId="259">
    <w:name w:val="BST-表内"/>
    <w:basedOn w:val="1"/>
    <w:next w:val="1"/>
    <w:link w:val="260"/>
    <w:qFormat/>
    <w:uiPriority w:val="0"/>
    <w:pPr>
      <w:adjustRightInd w:val="0"/>
      <w:snapToGrid w:val="0"/>
      <w:jc w:val="center"/>
    </w:pPr>
    <w:rPr>
      <w:rFonts w:ascii="宋体" w:hAnsi="宋体"/>
      <w:sz w:val="22"/>
      <w:szCs w:val="28"/>
    </w:rPr>
  </w:style>
  <w:style w:type="character" w:customStyle="1" w:styleId="260">
    <w:name w:val="BST-表内 字符"/>
    <w:link w:val="259"/>
    <w:qFormat/>
    <w:uiPriority w:val="0"/>
    <w:rPr>
      <w:rFonts w:ascii="宋体" w:hAnsi="宋体"/>
      <w:kern w:val="2"/>
      <w:sz w:val="22"/>
      <w:szCs w:val="28"/>
    </w:rPr>
  </w:style>
  <w:style w:type="paragraph" w:customStyle="1" w:styleId="261">
    <w:name w:val="BST-图名"/>
    <w:basedOn w:val="1"/>
    <w:next w:val="1"/>
    <w:link w:val="262"/>
    <w:qFormat/>
    <w:uiPriority w:val="0"/>
    <w:pPr>
      <w:adjustRightInd w:val="0"/>
      <w:snapToGrid w:val="0"/>
      <w:spacing w:after="50" w:line="360" w:lineRule="auto"/>
      <w:jc w:val="center"/>
    </w:pPr>
    <w:rPr>
      <w:rFonts w:ascii="宋体" w:hAnsi="宋体"/>
      <w:b/>
      <w:sz w:val="24"/>
      <w:szCs w:val="28"/>
    </w:rPr>
  </w:style>
  <w:style w:type="character" w:customStyle="1" w:styleId="262">
    <w:name w:val="BST-图名 字符"/>
    <w:link w:val="261"/>
    <w:qFormat/>
    <w:uiPriority w:val="0"/>
    <w:rPr>
      <w:rFonts w:ascii="宋体" w:hAnsi="宋体"/>
      <w:b/>
      <w:kern w:val="2"/>
      <w:sz w:val="24"/>
      <w:szCs w:val="28"/>
    </w:rPr>
  </w:style>
  <w:style w:type="paragraph" w:customStyle="1" w:styleId="263">
    <w:name w:val="BST-表名"/>
    <w:basedOn w:val="1"/>
    <w:next w:val="1"/>
    <w:link w:val="264"/>
    <w:qFormat/>
    <w:uiPriority w:val="0"/>
    <w:pPr>
      <w:keepNext/>
      <w:tabs>
        <w:tab w:val="center" w:pos="4224"/>
      </w:tabs>
      <w:adjustRightInd w:val="0"/>
      <w:snapToGrid w:val="0"/>
      <w:spacing w:line="560" w:lineRule="atLeast"/>
      <w:ind w:firstLine="198" w:firstLineChars="200"/>
      <w:jc w:val="left"/>
    </w:pPr>
    <w:rPr>
      <w:rFonts w:ascii="宋体" w:hAnsi="宋体"/>
      <w:b/>
      <w:kern w:val="0"/>
      <w:sz w:val="24"/>
      <w:szCs w:val="28"/>
    </w:rPr>
  </w:style>
  <w:style w:type="character" w:customStyle="1" w:styleId="264">
    <w:name w:val="BST-表名 字符"/>
    <w:link w:val="263"/>
    <w:qFormat/>
    <w:uiPriority w:val="0"/>
    <w:rPr>
      <w:rFonts w:ascii="宋体" w:hAnsi="宋体"/>
      <w:b/>
      <w:sz w:val="24"/>
      <w:szCs w:val="28"/>
    </w:rPr>
  </w:style>
  <w:style w:type="paragraph" w:customStyle="1" w:styleId="265">
    <w:name w:val="正文文字1"/>
    <w:basedOn w:val="1"/>
    <w:qFormat/>
    <w:uiPriority w:val="0"/>
    <w:pPr>
      <w:jc w:val="center"/>
    </w:pPr>
    <w:rPr>
      <w:rFonts w:ascii="Calibri" w:hAnsi="Calibri"/>
      <w:color w:val="000000"/>
      <w:szCs w:val="22"/>
    </w:rPr>
  </w:style>
  <w:style w:type="paragraph" w:customStyle="1" w:styleId="266">
    <w:name w:val="标题5"/>
    <w:basedOn w:val="1"/>
    <w:next w:val="1"/>
    <w:qFormat/>
    <w:uiPriority w:val="0"/>
    <w:pPr>
      <w:spacing w:line="360" w:lineRule="auto"/>
      <w:ind w:firstLine="480" w:firstLineChars="200"/>
      <w:outlineLvl w:val="4"/>
    </w:pPr>
    <w:rPr>
      <w:sz w:val="24"/>
    </w:rPr>
  </w:style>
  <w:style w:type="character" w:styleId="267">
    <w:name w:val="Placeholder Text"/>
    <w:semiHidden/>
    <w:qFormat/>
    <w:uiPriority w:val="99"/>
    <w:rPr>
      <w:color w:val="808080"/>
    </w:rPr>
  </w:style>
  <w:style w:type="paragraph" w:customStyle="1" w:styleId="268">
    <w:name w:val="Body text|1"/>
    <w:basedOn w:val="1"/>
    <w:link w:val="682"/>
    <w:qFormat/>
    <w:uiPriority w:val="0"/>
    <w:pPr>
      <w:spacing w:line="480" w:lineRule="auto"/>
      <w:ind w:firstLine="400" w:firstLineChars="200"/>
    </w:pPr>
    <w:rPr>
      <w:rFonts w:ascii="宋体" w:hAnsi="宋体" w:cs="宋体"/>
      <w:sz w:val="26"/>
      <w:szCs w:val="26"/>
      <w:lang w:val="zh-TW" w:eastAsia="zh-TW" w:bidi="zh-TW"/>
    </w:rPr>
  </w:style>
  <w:style w:type="paragraph" w:customStyle="1" w:styleId="269">
    <w:name w:val="Header or footer|1"/>
    <w:basedOn w:val="1"/>
    <w:qFormat/>
    <w:uiPriority w:val="0"/>
    <w:pPr>
      <w:spacing w:line="360" w:lineRule="auto"/>
      <w:ind w:firstLine="200" w:firstLineChars="200"/>
    </w:pPr>
    <w:rPr>
      <w:rFonts w:ascii="宋体" w:hAnsi="宋体" w:cs="宋体"/>
      <w:sz w:val="17"/>
      <w:szCs w:val="17"/>
      <w:lang w:val="zh-TW" w:eastAsia="zh-TW" w:bidi="zh-TW"/>
    </w:rPr>
  </w:style>
  <w:style w:type="paragraph" w:customStyle="1" w:styleId="270">
    <w:name w:val="Body text|3"/>
    <w:basedOn w:val="1"/>
    <w:qFormat/>
    <w:uiPriority w:val="0"/>
    <w:pPr>
      <w:spacing w:line="630" w:lineRule="exact"/>
      <w:ind w:firstLine="600" w:firstLineChars="200"/>
    </w:pPr>
    <w:rPr>
      <w:rFonts w:ascii="宋体" w:hAnsi="宋体" w:cs="宋体"/>
      <w:sz w:val="30"/>
      <w:szCs w:val="30"/>
      <w:lang w:val="zh-TW" w:eastAsia="zh-TW" w:bidi="zh-TW"/>
    </w:rPr>
  </w:style>
  <w:style w:type="paragraph" w:customStyle="1" w:styleId="271">
    <w:name w:val="Other|1"/>
    <w:basedOn w:val="1"/>
    <w:qFormat/>
    <w:uiPriority w:val="0"/>
    <w:pPr>
      <w:spacing w:line="480" w:lineRule="auto"/>
      <w:ind w:firstLine="400" w:firstLineChars="200"/>
    </w:pPr>
    <w:rPr>
      <w:rFonts w:ascii="宋体" w:hAnsi="宋体" w:cs="宋体"/>
      <w:sz w:val="26"/>
      <w:szCs w:val="26"/>
    </w:rPr>
  </w:style>
  <w:style w:type="paragraph" w:customStyle="1" w:styleId="272">
    <w:name w:val="Body text|2"/>
    <w:basedOn w:val="1"/>
    <w:qFormat/>
    <w:uiPriority w:val="0"/>
    <w:pPr>
      <w:spacing w:line="630" w:lineRule="exact"/>
      <w:ind w:firstLine="590" w:firstLineChars="200"/>
    </w:pPr>
    <w:rPr>
      <w:sz w:val="28"/>
      <w:szCs w:val="28"/>
      <w:lang w:val="zh-TW" w:eastAsia="zh-TW" w:bidi="zh-TW"/>
    </w:rPr>
  </w:style>
  <w:style w:type="paragraph" w:customStyle="1" w:styleId="273">
    <w:name w:val="Header or footer|2"/>
    <w:basedOn w:val="1"/>
    <w:qFormat/>
    <w:uiPriority w:val="0"/>
    <w:pPr>
      <w:spacing w:line="360" w:lineRule="auto"/>
      <w:ind w:firstLine="200" w:firstLineChars="200"/>
    </w:pPr>
    <w:rPr>
      <w:sz w:val="20"/>
      <w:lang w:val="zh-TW" w:eastAsia="zh-TW" w:bidi="zh-TW"/>
    </w:rPr>
  </w:style>
  <w:style w:type="paragraph" w:customStyle="1" w:styleId="274">
    <w:name w:val="Picture caption|1"/>
    <w:basedOn w:val="1"/>
    <w:qFormat/>
    <w:uiPriority w:val="0"/>
    <w:pPr>
      <w:spacing w:line="360" w:lineRule="auto"/>
      <w:ind w:firstLine="200" w:firstLineChars="200"/>
      <w:jc w:val="right"/>
    </w:pPr>
    <w:rPr>
      <w:rFonts w:ascii="宋体" w:hAnsi="宋体" w:cs="宋体"/>
      <w:sz w:val="20"/>
      <w:lang w:val="zh-TW" w:eastAsia="zh-TW" w:bidi="zh-TW"/>
    </w:rPr>
  </w:style>
  <w:style w:type="paragraph" w:customStyle="1" w:styleId="275">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276">
    <w:name w:val="Body text|4"/>
    <w:basedOn w:val="1"/>
    <w:qFormat/>
    <w:uiPriority w:val="0"/>
    <w:pPr>
      <w:spacing w:line="360" w:lineRule="auto"/>
      <w:ind w:firstLine="700" w:firstLineChars="200"/>
    </w:pPr>
    <w:rPr>
      <w:sz w:val="28"/>
      <w:szCs w:val="28"/>
      <w:lang w:val="zh-TW" w:eastAsia="zh-TW" w:bidi="zh-TW"/>
    </w:rPr>
  </w:style>
  <w:style w:type="paragraph" w:customStyle="1" w:styleId="277">
    <w:name w:val="Table caption|1"/>
    <w:basedOn w:val="1"/>
    <w:qFormat/>
    <w:uiPriority w:val="0"/>
    <w:pPr>
      <w:spacing w:line="360" w:lineRule="auto"/>
      <w:ind w:firstLine="200" w:firstLineChars="200"/>
    </w:pPr>
    <w:rPr>
      <w:rFonts w:ascii="宋体" w:hAnsi="宋体" w:cs="宋体"/>
      <w:sz w:val="17"/>
      <w:szCs w:val="17"/>
      <w:lang w:val="zh-TW" w:eastAsia="zh-TW" w:bidi="zh-TW"/>
    </w:rPr>
  </w:style>
  <w:style w:type="character" w:customStyle="1" w:styleId="278">
    <w:name w:val="不明显强调2"/>
    <w:qFormat/>
    <w:uiPriority w:val="19"/>
    <w:rPr>
      <w:i/>
      <w:iCs/>
      <w:color w:val="7F7F7F"/>
    </w:rPr>
  </w:style>
  <w:style w:type="character" w:customStyle="1" w:styleId="279">
    <w:name w:val="明显强调2"/>
    <w:qFormat/>
    <w:uiPriority w:val="21"/>
    <w:rPr>
      <w:b/>
      <w:bCs/>
      <w:i/>
      <w:iCs/>
      <w:color w:val="4F81BD"/>
    </w:rPr>
  </w:style>
  <w:style w:type="character" w:customStyle="1" w:styleId="280">
    <w:name w:val="不明显参考2"/>
    <w:qFormat/>
    <w:uiPriority w:val="31"/>
    <w:rPr>
      <w:smallCaps/>
      <w:color w:val="C0504D"/>
      <w:u w:val="single"/>
    </w:rPr>
  </w:style>
  <w:style w:type="character" w:customStyle="1" w:styleId="281">
    <w:name w:val="明显参考2"/>
    <w:qFormat/>
    <w:uiPriority w:val="32"/>
    <w:rPr>
      <w:b/>
      <w:bCs/>
      <w:smallCaps/>
      <w:color w:val="C0504D"/>
      <w:spacing w:val="5"/>
      <w:u w:val="single"/>
    </w:rPr>
  </w:style>
  <w:style w:type="character" w:customStyle="1" w:styleId="282">
    <w:name w:val="书籍标题2"/>
    <w:qFormat/>
    <w:uiPriority w:val="33"/>
    <w:rPr>
      <w:b/>
      <w:bCs/>
      <w:smallCaps/>
      <w:spacing w:val="5"/>
    </w:rPr>
  </w:style>
  <w:style w:type="table" w:customStyle="1" w:styleId="283">
    <w:name w:val="Table Normal5"/>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284">
    <w:name w:val="msonormal"/>
    <w:basedOn w:val="1"/>
    <w:qFormat/>
    <w:uiPriority w:val="0"/>
    <w:pPr>
      <w:widowControl/>
      <w:spacing w:before="100" w:beforeAutospacing="1" w:after="100" w:afterAutospacing="1"/>
      <w:jc w:val="left"/>
    </w:pPr>
    <w:rPr>
      <w:rFonts w:ascii="宋体" w:hAnsi="宋体" w:cs="宋体"/>
      <w:kern w:val="0"/>
      <w:sz w:val="24"/>
      <w:szCs w:val="24"/>
    </w:rPr>
  </w:style>
  <w:style w:type="table" w:customStyle="1" w:styleId="285">
    <w:name w:val="Table Normal6"/>
    <w:semiHidden/>
    <w:unhideWhenUsed/>
    <w:qFormat/>
    <w:uiPriority w:val="0"/>
    <w:rPr>
      <w:rFonts w:ascii="Calibri" w:hAnsi="Calibri"/>
    </w:rPr>
    <w:tblPr>
      <w:tblCellMar>
        <w:top w:w="0" w:type="dxa"/>
        <w:left w:w="0" w:type="dxa"/>
        <w:bottom w:w="0" w:type="dxa"/>
        <w:right w:w="0" w:type="dxa"/>
      </w:tblCellMar>
    </w:tblPr>
  </w:style>
  <w:style w:type="table" w:customStyle="1" w:styleId="286">
    <w:name w:val="Table Normal7"/>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7">
    <w:name w:val="Table Normal8"/>
    <w:semiHidden/>
    <w:unhideWhenUsed/>
    <w:qFormat/>
    <w:uiPriority w:val="0"/>
    <w:rPr>
      <w:rFonts w:ascii="Arial" w:hAnsi="Arial" w:eastAsia="等线" w:cs="Arial"/>
      <w:snapToGrid w:val="0"/>
      <w:color w:val="000000"/>
      <w:sz w:val="21"/>
      <w:szCs w:val="21"/>
      <w:lang w:eastAsia="en-US"/>
    </w:rPr>
    <w:tblPr>
      <w:tblCellMar>
        <w:top w:w="0" w:type="dxa"/>
        <w:left w:w="0" w:type="dxa"/>
        <w:bottom w:w="0" w:type="dxa"/>
        <w:right w:w="0" w:type="dxa"/>
      </w:tblCellMar>
    </w:tblPr>
  </w:style>
  <w:style w:type="table" w:customStyle="1" w:styleId="288">
    <w:name w:val="网格型1"/>
    <w:basedOn w:val="7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
    <w:name w:val="网格型2"/>
    <w:basedOn w:val="7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90">
    <w:name w:val="标题 6 字符"/>
    <w:basedOn w:val="79"/>
    <w:link w:val="8"/>
    <w:qFormat/>
    <w:uiPriority w:val="0"/>
    <w:rPr>
      <w:rFonts w:ascii="等线 Light" w:hAnsi="等线 Light" w:eastAsia="等线 Light"/>
      <w:b/>
      <w:bCs/>
      <w:kern w:val="2"/>
      <w:sz w:val="24"/>
      <w:szCs w:val="24"/>
    </w:rPr>
  </w:style>
  <w:style w:type="character" w:customStyle="1" w:styleId="291">
    <w:name w:val="页眉 字符"/>
    <w:basedOn w:val="79"/>
    <w:link w:val="51"/>
    <w:qFormat/>
    <w:uiPriority w:val="0"/>
    <w:rPr>
      <w:kern w:val="2"/>
      <w:sz w:val="18"/>
    </w:rPr>
  </w:style>
  <w:style w:type="paragraph" w:customStyle="1" w:styleId="292">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29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294">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szCs w:val="24"/>
    </w:rPr>
  </w:style>
  <w:style w:type="paragraph" w:customStyle="1" w:styleId="295">
    <w:name w:val="xl95"/>
    <w:basedOn w:val="1"/>
    <w:qFormat/>
    <w:uiPriority w:val="0"/>
    <w:pPr>
      <w:widowControl/>
      <w:spacing w:before="100" w:beforeAutospacing="1" w:after="100" w:afterAutospacing="1"/>
      <w:jc w:val="center"/>
    </w:pPr>
    <w:rPr>
      <w:rFonts w:ascii="宋体" w:hAnsi="宋体" w:cs="宋体"/>
      <w:kern w:val="0"/>
      <w:sz w:val="24"/>
      <w:szCs w:val="24"/>
    </w:rPr>
  </w:style>
  <w:style w:type="table" w:customStyle="1" w:styleId="296">
    <w:name w:val="网格型21"/>
    <w:basedOn w:val="76"/>
    <w:qFormat/>
    <w:uiPriority w:val="0"/>
    <w:pPr>
      <w:spacing w:after="200" w:line="276"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
    <w:name w:val="网格型22"/>
    <w:basedOn w:val="76"/>
    <w:qFormat/>
    <w:uiPriority w:val="0"/>
    <w:pPr>
      <w:spacing w:after="200" w:line="276"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98">
    <w:name w:val="font111"/>
    <w:basedOn w:val="79"/>
    <w:qFormat/>
    <w:uiPriority w:val="0"/>
    <w:rPr>
      <w:rFonts w:hint="eastAsia" w:ascii="宋体" w:hAnsi="宋体" w:eastAsia="宋体" w:cs="宋体"/>
      <w:color w:val="000000"/>
      <w:sz w:val="21"/>
      <w:szCs w:val="21"/>
      <w:u w:val="none"/>
    </w:rPr>
  </w:style>
  <w:style w:type="character" w:customStyle="1" w:styleId="299">
    <w:name w:val="font122"/>
    <w:basedOn w:val="79"/>
    <w:qFormat/>
    <w:uiPriority w:val="0"/>
    <w:rPr>
      <w:rFonts w:hint="default" w:ascii="Times New Roman" w:hAnsi="Times New Roman" w:cs="Times New Roman"/>
      <w:b/>
      <w:bCs/>
      <w:color w:val="000000"/>
      <w:sz w:val="20"/>
      <w:szCs w:val="20"/>
      <w:u w:val="none"/>
    </w:rPr>
  </w:style>
  <w:style w:type="paragraph" w:customStyle="1" w:styleId="300">
    <w:name w:val="表格"/>
    <w:basedOn w:val="1"/>
    <w:qFormat/>
    <w:uiPriority w:val="0"/>
    <w:pPr>
      <w:jc w:val="center"/>
      <w:textAlignment w:val="center"/>
    </w:pPr>
    <w:rPr>
      <w:kern w:val="0"/>
      <w:szCs w:val="21"/>
    </w:rPr>
  </w:style>
  <w:style w:type="table" w:customStyle="1" w:styleId="301">
    <w:name w:val="网格型3"/>
    <w:qFormat/>
    <w:uiPriority w:val="0"/>
    <w:pPr>
      <w:spacing w:after="200" w:line="276"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302">
    <w:name w:val="纯文本1"/>
    <w:qFormat/>
    <w:uiPriority w:val="0"/>
    <w:pPr>
      <w:widowControl w:val="0"/>
      <w:spacing w:line="360" w:lineRule="auto"/>
      <w:ind w:firstLine="200" w:firstLineChars="200"/>
      <w:jc w:val="both"/>
    </w:pPr>
    <w:rPr>
      <w:rFonts w:ascii="宋体" w:hAnsi="Courier New" w:eastAsia="宋体" w:cs="Times New Roman"/>
      <w:kern w:val="2"/>
      <w:szCs w:val="21"/>
      <w:lang w:val="en-US" w:eastAsia="zh-CN" w:bidi="ar-SA"/>
    </w:rPr>
  </w:style>
  <w:style w:type="paragraph" w:customStyle="1" w:styleId="303">
    <w:name w:val="标3"/>
    <w:basedOn w:val="1"/>
    <w:qFormat/>
    <w:uiPriority w:val="0"/>
    <w:pPr>
      <w:spacing w:line="360" w:lineRule="auto"/>
      <w:ind w:firstLine="964" w:firstLineChars="200"/>
      <w:jc w:val="left"/>
      <w:outlineLvl w:val="2"/>
    </w:pPr>
    <w:rPr>
      <w:rFonts w:ascii="宋体" w:hAnsi="宋体"/>
      <w:b/>
      <w:sz w:val="28"/>
      <w:szCs w:val="28"/>
    </w:rPr>
  </w:style>
  <w:style w:type="table" w:customStyle="1" w:styleId="304">
    <w:name w:val="网格型11"/>
    <w:qFormat/>
    <w:uiPriority w:val="0"/>
    <w:pPr>
      <w:widowControl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305">
    <w:name w:val="表文字"/>
    <w:link w:val="476"/>
    <w:autoRedefine/>
    <w:qFormat/>
    <w:uiPriority w:val="0"/>
    <w:pPr>
      <w:widowControl w:val="0"/>
      <w:spacing w:line="240" w:lineRule="exact"/>
      <w:jc w:val="center"/>
    </w:pPr>
    <w:rPr>
      <w:rFonts w:ascii="Times New Roman" w:hAnsi="Times New Roman" w:eastAsia="宋体" w:cs="Times New Roman"/>
      <w:color w:val="000000"/>
      <w:w w:val="95"/>
      <w:sz w:val="24"/>
      <w:lang w:val="en-US" w:eastAsia="zh-CN" w:bidi="ar-SA"/>
    </w:rPr>
  </w:style>
  <w:style w:type="character" w:customStyle="1" w:styleId="306">
    <w:name w:val="样式 小四 加粗"/>
    <w:basedOn w:val="79"/>
    <w:qFormat/>
    <w:uiPriority w:val="0"/>
    <w:rPr>
      <w:b/>
      <w:bCs/>
      <w:sz w:val="24"/>
    </w:rPr>
  </w:style>
  <w:style w:type="paragraph" w:customStyle="1" w:styleId="307">
    <w:name w:val="样式19"/>
    <w:basedOn w:val="1"/>
    <w:qFormat/>
    <w:uiPriority w:val="0"/>
    <w:pPr>
      <w:spacing w:before="120" w:beforeLines="50" w:line="560" w:lineRule="atLeast"/>
      <w:ind w:firstLine="480" w:firstLineChars="200"/>
      <w:jc w:val="left"/>
    </w:pPr>
    <w:rPr>
      <w:sz w:val="24"/>
      <w:szCs w:val="24"/>
    </w:rPr>
  </w:style>
  <w:style w:type="paragraph" w:customStyle="1" w:styleId="308">
    <w:name w:val="font1"/>
    <w:basedOn w:val="1"/>
    <w:qFormat/>
    <w:uiPriority w:val="99"/>
    <w:pPr>
      <w:widowControl/>
      <w:spacing w:before="100" w:beforeAutospacing="1" w:after="100" w:afterAutospacing="1"/>
      <w:jc w:val="left"/>
    </w:pPr>
    <w:rPr>
      <w:rFonts w:ascii="宋体" w:hAnsi="宋体" w:cs="宋体"/>
      <w:kern w:val="0"/>
      <w:sz w:val="22"/>
      <w:szCs w:val="22"/>
    </w:rPr>
  </w:style>
  <w:style w:type="table" w:customStyle="1" w:styleId="309">
    <w:name w:val="网格型4"/>
    <w:qFormat/>
    <w:uiPriority w:val="0"/>
    <w:pPr>
      <w:spacing w:after="200" w:line="276"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310">
    <w:name w:val="网格型12"/>
    <w:qFormat/>
    <w:uiPriority w:val="0"/>
    <w:pPr>
      <w:widowControl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311">
    <w:name w:val="网格型5"/>
    <w:qFormat/>
    <w:uiPriority w:val="0"/>
    <w:pPr>
      <w:spacing w:after="200" w:line="276"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312">
    <w:name w:val="网格型6"/>
    <w:qFormat/>
    <w:uiPriority w:val="0"/>
    <w:pPr>
      <w:spacing w:after="200" w:line="276"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313">
    <w:name w:val="网格型13"/>
    <w:qFormat/>
    <w:uiPriority w:val="0"/>
    <w:pPr>
      <w:widowControl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314">
    <w:name w:val="Table Normal9"/>
    <w:unhideWhenUsed/>
    <w:qFormat/>
    <w:uiPriority w:val="0"/>
    <w:rPr>
      <w:rFonts w:ascii="Calibri" w:hAnsi="Calibri"/>
    </w:rPr>
    <w:tblPr>
      <w:tblCellMar>
        <w:top w:w="0" w:type="dxa"/>
        <w:left w:w="0" w:type="dxa"/>
        <w:bottom w:w="0" w:type="dxa"/>
        <w:right w:w="0" w:type="dxa"/>
      </w:tblCellMar>
    </w:tblPr>
  </w:style>
  <w:style w:type="table" w:customStyle="1" w:styleId="315">
    <w:name w:val="Table Normal10"/>
    <w:unhideWhenUsed/>
    <w:qFormat/>
    <w:uiPriority w:val="0"/>
    <w:rPr>
      <w:rFonts w:ascii="Calibri" w:hAnsi="Calibri"/>
    </w:rPr>
    <w:tblPr>
      <w:tblCellMar>
        <w:top w:w="0" w:type="dxa"/>
        <w:left w:w="0" w:type="dxa"/>
        <w:bottom w:w="0" w:type="dxa"/>
        <w:right w:w="0" w:type="dxa"/>
      </w:tblCellMar>
    </w:tblPr>
  </w:style>
  <w:style w:type="character" w:customStyle="1" w:styleId="316">
    <w:name w:val="font151"/>
    <w:basedOn w:val="79"/>
    <w:qFormat/>
    <w:uiPriority w:val="0"/>
    <w:rPr>
      <w:rFonts w:hint="default" w:ascii="Times New Roman" w:hAnsi="Times New Roman" w:cs="Times New Roman"/>
      <w:color w:val="000000"/>
      <w:sz w:val="21"/>
      <w:szCs w:val="21"/>
      <w:u w:val="none"/>
      <w:vertAlign w:val="superscript"/>
    </w:rPr>
  </w:style>
  <w:style w:type="character" w:customStyle="1" w:styleId="317">
    <w:name w:val="标题 7 字符"/>
    <w:basedOn w:val="79"/>
    <w:qFormat/>
    <w:uiPriority w:val="99"/>
    <w:rPr>
      <w:b/>
      <w:bCs/>
      <w:kern w:val="2"/>
      <w:sz w:val="24"/>
      <w:szCs w:val="24"/>
    </w:rPr>
  </w:style>
  <w:style w:type="character" w:customStyle="1" w:styleId="318">
    <w:name w:val="标题 8 字符"/>
    <w:basedOn w:val="79"/>
    <w:qFormat/>
    <w:uiPriority w:val="99"/>
    <w:rPr>
      <w:rFonts w:asciiTheme="majorHAnsi" w:hAnsiTheme="majorHAnsi" w:eastAsiaTheme="majorEastAsia" w:cstheme="majorBidi"/>
      <w:kern w:val="2"/>
      <w:sz w:val="24"/>
      <w:szCs w:val="24"/>
    </w:rPr>
  </w:style>
  <w:style w:type="character" w:customStyle="1" w:styleId="319">
    <w:name w:val="标题 9 字符"/>
    <w:basedOn w:val="79"/>
    <w:qFormat/>
    <w:uiPriority w:val="99"/>
    <w:rPr>
      <w:rFonts w:asciiTheme="majorHAnsi" w:hAnsiTheme="majorHAnsi" w:eastAsiaTheme="majorEastAsia" w:cstheme="majorBidi"/>
      <w:kern w:val="2"/>
      <w:sz w:val="21"/>
      <w:szCs w:val="21"/>
    </w:rPr>
  </w:style>
  <w:style w:type="character" w:customStyle="1" w:styleId="320">
    <w:name w:val="宏文本 字符"/>
    <w:basedOn w:val="79"/>
    <w:qFormat/>
    <w:uiPriority w:val="0"/>
    <w:rPr>
      <w:rFonts w:ascii="Courier New" w:hAnsi="Courier New" w:cs="Courier New"/>
      <w:kern w:val="2"/>
      <w:sz w:val="24"/>
      <w:szCs w:val="24"/>
    </w:rPr>
  </w:style>
  <w:style w:type="paragraph" w:customStyle="1" w:styleId="321">
    <w:name w:val="TOC 71"/>
    <w:basedOn w:val="1"/>
    <w:next w:val="1"/>
    <w:autoRedefine/>
    <w:unhideWhenUsed/>
    <w:qFormat/>
    <w:uiPriority w:val="99"/>
    <w:pPr>
      <w:spacing w:after="160" w:line="278" w:lineRule="auto"/>
      <w:ind w:left="2520" w:leftChars="1200"/>
      <w:jc w:val="left"/>
    </w:pPr>
    <w:rPr>
      <w:rFonts w:ascii="等线" w:hAnsi="等线" w:eastAsia="等线"/>
      <w:sz w:val="22"/>
      <w:szCs w:val="24"/>
      <w14:ligatures w14:val="standardContextual"/>
    </w:rPr>
  </w:style>
  <w:style w:type="character" w:customStyle="1" w:styleId="322">
    <w:name w:val="注释标题 字符"/>
    <w:basedOn w:val="79"/>
    <w:link w:val="14"/>
    <w:qFormat/>
    <w:uiPriority w:val="0"/>
    <w:rPr>
      <w:kern w:val="2"/>
      <w:sz w:val="28"/>
      <w:szCs w:val="22"/>
    </w:rPr>
  </w:style>
  <w:style w:type="character" w:customStyle="1" w:styleId="323">
    <w:name w:val="电子邮件签名 字符"/>
    <w:basedOn w:val="79"/>
    <w:link w:val="17"/>
    <w:qFormat/>
    <w:uiPriority w:val="0"/>
    <w:rPr>
      <w:kern w:val="2"/>
      <w:sz w:val="28"/>
      <w:szCs w:val="22"/>
    </w:rPr>
  </w:style>
  <w:style w:type="character" w:customStyle="1" w:styleId="324">
    <w:name w:val="称呼 字符"/>
    <w:basedOn w:val="79"/>
    <w:qFormat/>
    <w:uiPriority w:val="0"/>
    <w:rPr>
      <w:kern w:val="2"/>
      <w:sz w:val="21"/>
    </w:rPr>
  </w:style>
  <w:style w:type="character" w:customStyle="1" w:styleId="325">
    <w:name w:val="结束语 字符"/>
    <w:basedOn w:val="79"/>
    <w:link w:val="29"/>
    <w:qFormat/>
    <w:uiPriority w:val="0"/>
    <w:rPr>
      <w:kern w:val="2"/>
      <w:sz w:val="28"/>
      <w:szCs w:val="22"/>
    </w:rPr>
  </w:style>
  <w:style w:type="character" w:customStyle="1" w:styleId="326">
    <w:name w:val="HTML 地址 字符"/>
    <w:basedOn w:val="79"/>
    <w:link w:val="38"/>
    <w:qFormat/>
    <w:uiPriority w:val="0"/>
    <w:rPr>
      <w:rFonts w:eastAsia="仿宋_GB2312"/>
      <w:i/>
      <w:iCs/>
      <w:sz w:val="28"/>
      <w:szCs w:val="48"/>
    </w:rPr>
  </w:style>
  <w:style w:type="paragraph" w:customStyle="1" w:styleId="327">
    <w:name w:val="TOC 51"/>
    <w:basedOn w:val="1"/>
    <w:next w:val="1"/>
    <w:autoRedefine/>
    <w:unhideWhenUsed/>
    <w:qFormat/>
    <w:uiPriority w:val="99"/>
    <w:pPr>
      <w:spacing w:after="160" w:line="278" w:lineRule="auto"/>
      <w:ind w:left="1680" w:leftChars="800"/>
      <w:jc w:val="left"/>
    </w:pPr>
    <w:rPr>
      <w:rFonts w:ascii="等线" w:hAnsi="等线" w:eastAsia="等线"/>
      <w:sz w:val="22"/>
      <w:szCs w:val="24"/>
      <w14:ligatures w14:val="standardContextual"/>
    </w:rPr>
  </w:style>
  <w:style w:type="paragraph" w:customStyle="1" w:styleId="328">
    <w:name w:val="TOC 81"/>
    <w:basedOn w:val="1"/>
    <w:next w:val="1"/>
    <w:autoRedefine/>
    <w:unhideWhenUsed/>
    <w:qFormat/>
    <w:uiPriority w:val="99"/>
    <w:pPr>
      <w:spacing w:after="160" w:line="278" w:lineRule="auto"/>
      <w:ind w:left="2940" w:leftChars="1400"/>
      <w:jc w:val="left"/>
    </w:pPr>
    <w:rPr>
      <w:rFonts w:ascii="等线" w:hAnsi="等线" w:eastAsia="等线"/>
      <w:sz w:val="22"/>
      <w:szCs w:val="24"/>
      <w14:ligatures w14:val="standardContextual"/>
    </w:rPr>
  </w:style>
  <w:style w:type="character" w:customStyle="1" w:styleId="329">
    <w:name w:val="尾注文本 字符"/>
    <w:basedOn w:val="79"/>
    <w:qFormat/>
    <w:uiPriority w:val="0"/>
    <w:rPr>
      <w:kern w:val="2"/>
      <w:sz w:val="21"/>
    </w:rPr>
  </w:style>
  <w:style w:type="character" w:customStyle="1" w:styleId="330">
    <w:name w:val="签名 字符"/>
    <w:basedOn w:val="79"/>
    <w:link w:val="52"/>
    <w:qFormat/>
    <w:uiPriority w:val="0"/>
    <w:rPr>
      <w:kern w:val="2"/>
      <w:sz w:val="28"/>
      <w:szCs w:val="22"/>
    </w:rPr>
  </w:style>
  <w:style w:type="character" w:customStyle="1" w:styleId="331">
    <w:name w:val="脚注文本 字符"/>
    <w:basedOn w:val="79"/>
    <w:qFormat/>
    <w:uiPriority w:val="0"/>
    <w:rPr>
      <w:kern w:val="2"/>
      <w:sz w:val="18"/>
      <w:szCs w:val="18"/>
    </w:rPr>
  </w:style>
  <w:style w:type="paragraph" w:customStyle="1" w:styleId="332">
    <w:name w:val="TOC 61"/>
    <w:basedOn w:val="1"/>
    <w:next w:val="1"/>
    <w:autoRedefine/>
    <w:unhideWhenUsed/>
    <w:qFormat/>
    <w:uiPriority w:val="99"/>
    <w:pPr>
      <w:spacing w:after="160" w:line="278" w:lineRule="auto"/>
      <w:ind w:left="2100" w:leftChars="1000"/>
      <w:jc w:val="left"/>
    </w:pPr>
    <w:rPr>
      <w:rFonts w:ascii="等线" w:hAnsi="等线" w:eastAsia="等线"/>
      <w:sz w:val="22"/>
      <w:szCs w:val="24"/>
      <w14:ligatures w14:val="standardContextual"/>
    </w:rPr>
  </w:style>
  <w:style w:type="paragraph" w:customStyle="1" w:styleId="333">
    <w:name w:val="TOC 91"/>
    <w:basedOn w:val="1"/>
    <w:next w:val="1"/>
    <w:autoRedefine/>
    <w:unhideWhenUsed/>
    <w:qFormat/>
    <w:uiPriority w:val="99"/>
    <w:pPr>
      <w:spacing w:after="160" w:line="278" w:lineRule="auto"/>
      <w:ind w:left="3360" w:leftChars="1600"/>
      <w:jc w:val="left"/>
    </w:pPr>
    <w:rPr>
      <w:rFonts w:ascii="等线" w:hAnsi="等线" w:eastAsia="等线"/>
      <w:sz w:val="22"/>
      <w:szCs w:val="24"/>
      <w14:ligatures w14:val="standardContextual"/>
    </w:rPr>
  </w:style>
  <w:style w:type="character" w:customStyle="1" w:styleId="334">
    <w:name w:val="信息标题 字符"/>
    <w:basedOn w:val="79"/>
    <w:qFormat/>
    <w:uiPriority w:val="0"/>
    <w:rPr>
      <w:rFonts w:asciiTheme="majorHAnsi" w:hAnsiTheme="majorHAnsi" w:eastAsiaTheme="majorEastAsia" w:cstheme="majorBidi"/>
      <w:kern w:val="2"/>
      <w:sz w:val="24"/>
      <w:szCs w:val="24"/>
      <w:shd w:val="pct20" w:color="auto" w:fill="auto"/>
    </w:rPr>
  </w:style>
  <w:style w:type="character" w:customStyle="1" w:styleId="335">
    <w:name w:val="HTML 预设格式 字符"/>
    <w:basedOn w:val="79"/>
    <w:qFormat/>
    <w:uiPriority w:val="0"/>
    <w:rPr>
      <w:rFonts w:ascii="Courier New" w:hAnsi="Courier New" w:cs="Courier New"/>
      <w:kern w:val="2"/>
    </w:rPr>
  </w:style>
  <w:style w:type="table" w:customStyle="1" w:styleId="336">
    <w:name w:val="网格型7"/>
    <w:basedOn w:val="76"/>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37">
    <w:name w:val="标题 5 字符1"/>
    <w:autoRedefine/>
    <w:qFormat/>
    <w:uiPriority w:val="0"/>
    <w:rPr>
      <w:b/>
      <w:bCs/>
      <w:kern w:val="2"/>
      <w:sz w:val="28"/>
      <w:szCs w:val="28"/>
    </w:rPr>
  </w:style>
  <w:style w:type="character" w:customStyle="1" w:styleId="338">
    <w:name w:val="标题 6 字符1"/>
    <w:autoRedefine/>
    <w:qFormat/>
    <w:uiPriority w:val="0"/>
    <w:rPr>
      <w:rFonts w:ascii="Arial" w:hAnsi="Arial" w:eastAsia="黑体"/>
      <w:b/>
      <w:bCs/>
      <w:kern w:val="2"/>
      <w:sz w:val="28"/>
      <w:szCs w:val="24"/>
    </w:rPr>
  </w:style>
  <w:style w:type="character" w:customStyle="1" w:styleId="339">
    <w:name w:val="标题 7 字符1"/>
    <w:link w:val="9"/>
    <w:autoRedefine/>
    <w:qFormat/>
    <w:uiPriority w:val="99"/>
    <w:rPr>
      <w:b/>
      <w:bCs/>
      <w:kern w:val="2"/>
      <w:sz w:val="28"/>
      <w:szCs w:val="24"/>
    </w:rPr>
  </w:style>
  <w:style w:type="character" w:customStyle="1" w:styleId="340">
    <w:name w:val="标题 8 字符1"/>
    <w:link w:val="10"/>
    <w:autoRedefine/>
    <w:qFormat/>
    <w:uiPriority w:val="99"/>
    <w:rPr>
      <w:rFonts w:ascii="Arial" w:hAnsi="Arial" w:eastAsia="黑体"/>
      <w:kern w:val="2"/>
      <w:sz w:val="28"/>
      <w:szCs w:val="24"/>
    </w:rPr>
  </w:style>
  <w:style w:type="character" w:customStyle="1" w:styleId="341">
    <w:name w:val="标题 9 字符1"/>
    <w:link w:val="11"/>
    <w:autoRedefine/>
    <w:qFormat/>
    <w:uiPriority w:val="99"/>
    <w:rPr>
      <w:rFonts w:ascii="Arial" w:hAnsi="Arial" w:eastAsia="黑体"/>
      <w:kern w:val="2"/>
      <w:sz w:val="21"/>
      <w:szCs w:val="21"/>
    </w:rPr>
  </w:style>
  <w:style w:type="character" w:customStyle="1" w:styleId="342">
    <w:name w:val="宏文本 字符1"/>
    <w:basedOn w:val="79"/>
    <w:link w:val="2"/>
    <w:autoRedefine/>
    <w:qFormat/>
    <w:uiPriority w:val="0"/>
    <w:rPr>
      <w:rFonts w:ascii="Courier New" w:hAnsi="Courier New" w:cs="Courier New"/>
      <w:kern w:val="2"/>
      <w:sz w:val="24"/>
      <w:szCs w:val="24"/>
    </w:rPr>
  </w:style>
  <w:style w:type="character" w:customStyle="1" w:styleId="343">
    <w:name w:val="题注 字符"/>
    <w:basedOn w:val="79"/>
    <w:link w:val="20"/>
    <w:autoRedefine/>
    <w:qFormat/>
    <w:uiPriority w:val="99"/>
    <w:rPr>
      <w:rFonts w:ascii="Arial" w:hAnsi="Arial" w:eastAsia="黑体" w:cs="Arial"/>
      <w:kern w:val="2"/>
    </w:rPr>
  </w:style>
  <w:style w:type="character" w:customStyle="1" w:styleId="344">
    <w:name w:val="文档结构图 字符1"/>
    <w:basedOn w:val="79"/>
    <w:autoRedefine/>
    <w:qFormat/>
    <w:uiPriority w:val="99"/>
    <w:rPr>
      <w:szCs w:val="24"/>
      <w:shd w:val="clear" w:color="auto" w:fill="000080"/>
    </w:rPr>
  </w:style>
  <w:style w:type="character" w:customStyle="1" w:styleId="345">
    <w:name w:val="批注文字 字符1"/>
    <w:basedOn w:val="79"/>
    <w:autoRedefine/>
    <w:qFormat/>
    <w:uiPriority w:val="99"/>
    <w:rPr>
      <w:szCs w:val="24"/>
    </w:rPr>
  </w:style>
  <w:style w:type="character" w:customStyle="1" w:styleId="346">
    <w:name w:val="称呼 字符1"/>
    <w:basedOn w:val="79"/>
    <w:link w:val="27"/>
    <w:autoRedefine/>
    <w:qFormat/>
    <w:uiPriority w:val="0"/>
    <w:rPr>
      <w:kern w:val="2"/>
      <w:sz w:val="28"/>
      <w:szCs w:val="22"/>
    </w:rPr>
  </w:style>
  <w:style w:type="character" w:customStyle="1" w:styleId="347">
    <w:name w:val="正文文本 3 字符1"/>
    <w:basedOn w:val="79"/>
    <w:autoRedefine/>
    <w:qFormat/>
    <w:uiPriority w:val="99"/>
    <w:rPr>
      <w:sz w:val="16"/>
      <w:szCs w:val="16"/>
    </w:rPr>
  </w:style>
  <w:style w:type="character" w:customStyle="1" w:styleId="348">
    <w:name w:val="正文文本 字符1"/>
    <w:basedOn w:val="79"/>
    <w:autoRedefine/>
    <w:qFormat/>
    <w:uiPriority w:val="99"/>
    <w:rPr>
      <w:b/>
      <w:bCs/>
      <w:sz w:val="24"/>
      <w:szCs w:val="24"/>
    </w:rPr>
  </w:style>
  <w:style w:type="character" w:customStyle="1" w:styleId="349">
    <w:name w:val="正文文本缩进 字符1"/>
    <w:basedOn w:val="79"/>
    <w:autoRedefine/>
    <w:qFormat/>
    <w:uiPriority w:val="99"/>
    <w:rPr>
      <w:sz w:val="28"/>
      <w:szCs w:val="24"/>
      <w:lang w:val="zh-CN"/>
    </w:rPr>
  </w:style>
  <w:style w:type="character" w:customStyle="1" w:styleId="350">
    <w:name w:val="日期 字符1"/>
    <w:basedOn w:val="79"/>
    <w:autoRedefine/>
    <w:qFormat/>
    <w:uiPriority w:val="99"/>
    <w:rPr>
      <w:szCs w:val="24"/>
    </w:rPr>
  </w:style>
  <w:style w:type="character" w:customStyle="1" w:styleId="351">
    <w:name w:val="正文文本缩进 2 字符1"/>
    <w:basedOn w:val="79"/>
    <w:autoRedefine/>
    <w:qFormat/>
    <w:uiPriority w:val="99"/>
    <w:rPr>
      <w:szCs w:val="24"/>
    </w:rPr>
  </w:style>
  <w:style w:type="character" w:customStyle="1" w:styleId="352">
    <w:name w:val="尾注文本 字符1"/>
    <w:basedOn w:val="79"/>
    <w:link w:val="46"/>
    <w:autoRedefine/>
    <w:qFormat/>
    <w:uiPriority w:val="0"/>
    <w:rPr>
      <w:kern w:val="2"/>
      <w:sz w:val="28"/>
      <w:szCs w:val="22"/>
    </w:rPr>
  </w:style>
  <w:style w:type="character" w:customStyle="1" w:styleId="353">
    <w:name w:val="批注框文本 字符1"/>
    <w:basedOn w:val="79"/>
    <w:autoRedefine/>
    <w:qFormat/>
    <w:uiPriority w:val="99"/>
    <w:rPr>
      <w:sz w:val="18"/>
      <w:szCs w:val="18"/>
    </w:rPr>
  </w:style>
  <w:style w:type="character" w:customStyle="1" w:styleId="354">
    <w:name w:val="页脚 字符1"/>
    <w:basedOn w:val="79"/>
    <w:autoRedefine/>
    <w:qFormat/>
    <w:uiPriority w:val="0"/>
    <w:rPr>
      <w:sz w:val="18"/>
      <w:szCs w:val="18"/>
    </w:rPr>
  </w:style>
  <w:style w:type="character" w:customStyle="1" w:styleId="355">
    <w:name w:val="页眉 字符1"/>
    <w:basedOn w:val="79"/>
    <w:autoRedefine/>
    <w:qFormat/>
    <w:uiPriority w:val="0"/>
    <w:rPr>
      <w:sz w:val="18"/>
      <w:szCs w:val="18"/>
    </w:rPr>
  </w:style>
  <w:style w:type="character" w:customStyle="1" w:styleId="356">
    <w:name w:val="TOC 1 字符"/>
    <w:basedOn w:val="79"/>
    <w:link w:val="53"/>
    <w:autoRedefine/>
    <w:qFormat/>
    <w:uiPriority w:val="39"/>
    <w:rPr>
      <w:b/>
      <w:caps/>
      <w:kern w:val="2"/>
    </w:rPr>
  </w:style>
  <w:style w:type="character" w:customStyle="1" w:styleId="357">
    <w:name w:val="副标题 字符1"/>
    <w:basedOn w:val="79"/>
    <w:autoRedefine/>
    <w:qFormat/>
    <w:uiPriority w:val="11"/>
    <w:rPr>
      <w:rFonts w:ascii="Cambria" w:hAnsi="Cambria"/>
      <w:b/>
      <w:bCs/>
      <w:kern w:val="28"/>
      <w:sz w:val="28"/>
      <w:szCs w:val="32"/>
    </w:rPr>
  </w:style>
  <w:style w:type="character" w:customStyle="1" w:styleId="358">
    <w:name w:val="脚注文本 字符1"/>
    <w:basedOn w:val="79"/>
    <w:link w:val="59"/>
    <w:autoRedefine/>
    <w:qFormat/>
    <w:uiPriority w:val="0"/>
    <w:rPr>
      <w:kern w:val="2"/>
      <w:sz w:val="18"/>
      <w:szCs w:val="22"/>
    </w:rPr>
  </w:style>
  <w:style w:type="character" w:customStyle="1" w:styleId="359">
    <w:name w:val="正文文本缩进 3 字符1"/>
    <w:basedOn w:val="79"/>
    <w:autoRedefine/>
    <w:qFormat/>
    <w:uiPriority w:val="99"/>
    <w:rPr>
      <w:sz w:val="16"/>
      <w:szCs w:val="16"/>
    </w:rPr>
  </w:style>
  <w:style w:type="character" w:customStyle="1" w:styleId="360">
    <w:name w:val="图表目录 字符"/>
    <w:basedOn w:val="79"/>
    <w:link w:val="62"/>
    <w:autoRedefine/>
    <w:qFormat/>
    <w:uiPriority w:val="0"/>
    <w:rPr>
      <w:kern w:val="2"/>
      <w:sz w:val="28"/>
      <w:szCs w:val="22"/>
    </w:rPr>
  </w:style>
  <w:style w:type="character" w:customStyle="1" w:styleId="361">
    <w:name w:val="正文文本 2 字符1"/>
    <w:autoRedefine/>
    <w:qFormat/>
    <w:uiPriority w:val="99"/>
    <w:rPr>
      <w:kern w:val="2"/>
      <w:sz w:val="21"/>
    </w:rPr>
  </w:style>
  <w:style w:type="character" w:customStyle="1" w:styleId="362">
    <w:name w:val="信息标题 字符1"/>
    <w:basedOn w:val="79"/>
    <w:link w:val="67"/>
    <w:autoRedefine/>
    <w:qFormat/>
    <w:uiPriority w:val="0"/>
    <w:rPr>
      <w:rFonts w:ascii="Arial" w:hAnsi="Arial"/>
      <w:kern w:val="2"/>
      <w:sz w:val="24"/>
      <w:szCs w:val="22"/>
      <w:shd w:val="pct20" w:color="auto" w:fill="auto"/>
    </w:rPr>
  </w:style>
  <w:style w:type="character" w:customStyle="1" w:styleId="363">
    <w:name w:val="HTML 预设格式 字符1"/>
    <w:basedOn w:val="79"/>
    <w:link w:val="68"/>
    <w:autoRedefine/>
    <w:qFormat/>
    <w:uiPriority w:val="0"/>
    <w:rPr>
      <w:rFonts w:ascii="宋体" w:hAnsi="宋体"/>
      <w:sz w:val="28"/>
      <w:szCs w:val="24"/>
    </w:rPr>
  </w:style>
  <w:style w:type="character" w:customStyle="1" w:styleId="364">
    <w:name w:val="标题 字符1"/>
    <w:autoRedefine/>
    <w:qFormat/>
    <w:uiPriority w:val="10"/>
    <w:rPr>
      <w:rFonts w:ascii="Cambria" w:hAnsi="Cambria"/>
      <w:b/>
      <w:bCs/>
      <w:kern w:val="2"/>
      <w:sz w:val="32"/>
      <w:szCs w:val="32"/>
    </w:rPr>
  </w:style>
  <w:style w:type="character" w:customStyle="1" w:styleId="365">
    <w:name w:val="批注主题 字符1"/>
    <w:basedOn w:val="345"/>
    <w:autoRedefine/>
    <w:qFormat/>
    <w:uiPriority w:val="99"/>
    <w:rPr>
      <w:b/>
      <w:bCs/>
      <w:szCs w:val="24"/>
    </w:rPr>
  </w:style>
  <w:style w:type="character" w:customStyle="1" w:styleId="366">
    <w:name w:val="正文首行缩进 字符"/>
    <w:basedOn w:val="223"/>
    <w:qFormat/>
    <w:uiPriority w:val="99"/>
    <w:rPr>
      <w:rFonts w:ascii="Times New Roman" w:hAnsi="Times New Roman" w:eastAsia="宋体" w:cs="Times New Roman"/>
      <w:kern w:val="2"/>
      <w:sz w:val="28"/>
    </w:rPr>
  </w:style>
  <w:style w:type="character" w:customStyle="1" w:styleId="367">
    <w:name w:val="正文首行缩进 2 字符"/>
    <w:basedOn w:val="224"/>
    <w:qFormat/>
    <w:uiPriority w:val="99"/>
    <w:rPr>
      <w:rFonts w:ascii="Times New Roman" w:hAnsi="Times New Roman" w:eastAsia="宋体" w:cs="Times New Roman"/>
      <w:kern w:val="2"/>
      <w:sz w:val="28"/>
    </w:rPr>
  </w:style>
  <w:style w:type="character" w:customStyle="1" w:styleId="368">
    <w:name w:val="Default Char"/>
    <w:link w:val="88"/>
    <w:autoRedefine/>
    <w:qFormat/>
    <w:locked/>
    <w:uiPriority w:val="99"/>
    <w:rPr>
      <w:rFonts w:ascii="宋体" w:cs="宋体"/>
      <w:color w:val="000000"/>
      <w:sz w:val="24"/>
      <w:szCs w:val="24"/>
    </w:rPr>
  </w:style>
  <w:style w:type="character" w:customStyle="1" w:styleId="369">
    <w:name w:val="标题 2 Char"/>
    <w:autoRedefine/>
    <w:qFormat/>
    <w:uiPriority w:val="0"/>
    <w:rPr>
      <w:rFonts w:ascii="Cambria" w:hAnsi="Cambria" w:eastAsia="宋体" w:cs="Times New Roman"/>
      <w:b/>
      <w:bCs/>
      <w:kern w:val="2"/>
      <w:sz w:val="32"/>
      <w:szCs w:val="32"/>
    </w:rPr>
  </w:style>
  <w:style w:type="character" w:customStyle="1" w:styleId="370">
    <w:name w:val="标题 3 Char2"/>
    <w:autoRedefine/>
    <w:qFormat/>
    <w:uiPriority w:val="0"/>
    <w:rPr>
      <w:rFonts w:ascii="Times New Roman" w:hAnsi="宋体" w:eastAsia="宋体" w:cs="Times New Roman"/>
      <w:b/>
      <w:bCs/>
      <w:sz w:val="30"/>
      <w:szCs w:val="30"/>
    </w:rPr>
  </w:style>
  <w:style w:type="character" w:customStyle="1" w:styleId="371">
    <w:name w:val="标题 1 Char2"/>
    <w:autoRedefine/>
    <w:qFormat/>
    <w:uiPriority w:val="0"/>
    <w:rPr>
      <w:b/>
      <w:bCs/>
      <w:kern w:val="44"/>
      <w:sz w:val="44"/>
      <w:szCs w:val="44"/>
    </w:rPr>
  </w:style>
  <w:style w:type="character" w:customStyle="1" w:styleId="372">
    <w:name w:val="占位符文本1"/>
    <w:autoRedefine/>
    <w:semiHidden/>
    <w:qFormat/>
    <w:uiPriority w:val="99"/>
    <w:rPr>
      <w:color w:val="808080"/>
    </w:rPr>
  </w:style>
  <w:style w:type="character" w:customStyle="1" w:styleId="373">
    <w:name w:val="Char Char2"/>
    <w:autoRedefine/>
    <w:qFormat/>
    <w:uiPriority w:val="0"/>
    <w:rPr>
      <w:rFonts w:eastAsia="宋体"/>
      <w:b/>
      <w:bCs/>
      <w:kern w:val="2"/>
      <w:sz w:val="32"/>
      <w:szCs w:val="32"/>
      <w:lang w:val="en-US" w:eastAsia="zh-CN" w:bidi="ar-SA"/>
    </w:rPr>
  </w:style>
  <w:style w:type="character" w:customStyle="1" w:styleId="374">
    <w:name w:val="Char Char121"/>
    <w:autoRedefine/>
    <w:qFormat/>
    <w:uiPriority w:val="0"/>
    <w:rPr>
      <w:rFonts w:ascii="宋体" w:hAnsi="宋体" w:eastAsia="宋体"/>
      <w:color w:val="000000"/>
      <w:spacing w:val="-18"/>
      <w:kern w:val="2"/>
      <w:sz w:val="28"/>
      <w:lang w:val="en-US" w:eastAsia="zh-CN" w:bidi="ar-SA"/>
    </w:rPr>
  </w:style>
  <w:style w:type="character" w:customStyle="1" w:styleId="375">
    <w:name w:val="正文文本缩进 2 Char Char"/>
    <w:link w:val="376"/>
    <w:autoRedefine/>
    <w:qFormat/>
    <w:uiPriority w:val="0"/>
    <w:rPr>
      <w:sz w:val="24"/>
      <w:szCs w:val="24"/>
    </w:rPr>
  </w:style>
  <w:style w:type="paragraph" w:customStyle="1" w:styleId="376">
    <w:name w:val="正文文本缩进 21"/>
    <w:basedOn w:val="1"/>
    <w:link w:val="375"/>
    <w:autoRedefine/>
    <w:qFormat/>
    <w:uiPriority w:val="0"/>
    <w:pPr>
      <w:spacing w:line="360" w:lineRule="auto"/>
      <w:ind w:firstLine="540"/>
    </w:pPr>
    <w:rPr>
      <w:kern w:val="0"/>
      <w:sz w:val="24"/>
      <w:szCs w:val="24"/>
    </w:rPr>
  </w:style>
  <w:style w:type="character" w:customStyle="1" w:styleId="377">
    <w:name w:val="正文文本 3 Char"/>
    <w:autoRedefine/>
    <w:qFormat/>
    <w:uiPriority w:val="0"/>
    <w:rPr>
      <w:kern w:val="2"/>
      <w:sz w:val="16"/>
    </w:rPr>
  </w:style>
  <w:style w:type="character" w:customStyle="1" w:styleId="378">
    <w:name w:val="标题 4 Char1 Char"/>
    <w:autoRedefine/>
    <w:qFormat/>
    <w:uiPriority w:val="0"/>
    <w:rPr>
      <w:rFonts w:ascii="宋体" w:hAnsi="宋体" w:eastAsia="宋体" w:cs="Times New Roman"/>
      <w:sz w:val="28"/>
      <w:szCs w:val="24"/>
    </w:rPr>
  </w:style>
  <w:style w:type="character" w:customStyle="1" w:styleId="379">
    <w:name w:val="样式 宋体 四号 Char"/>
    <w:autoRedefine/>
    <w:qFormat/>
    <w:uiPriority w:val="0"/>
    <w:rPr>
      <w:rFonts w:ascii="宋体" w:hAnsi="宋体"/>
      <w:sz w:val="28"/>
      <w:szCs w:val="28"/>
    </w:rPr>
  </w:style>
  <w:style w:type="character" w:customStyle="1" w:styleId="380">
    <w:name w:val="正文格式 Char"/>
    <w:link w:val="381"/>
    <w:autoRedefine/>
    <w:qFormat/>
    <w:uiPriority w:val="0"/>
    <w:rPr>
      <w:rFonts w:ascii="宋体"/>
      <w:color w:val="FF0000"/>
      <w:sz w:val="24"/>
      <w:szCs w:val="24"/>
    </w:rPr>
  </w:style>
  <w:style w:type="paragraph" w:customStyle="1" w:styleId="381">
    <w:name w:val="正文格式"/>
    <w:basedOn w:val="1"/>
    <w:link w:val="380"/>
    <w:autoRedefine/>
    <w:qFormat/>
    <w:uiPriority w:val="0"/>
    <w:pPr>
      <w:adjustRightInd w:val="0"/>
      <w:snapToGrid w:val="0"/>
      <w:spacing w:line="540" w:lineRule="exact"/>
      <w:ind w:firstLine="560" w:firstLineChars="200"/>
    </w:pPr>
    <w:rPr>
      <w:rFonts w:ascii="宋体"/>
      <w:color w:val="FF0000"/>
      <w:kern w:val="0"/>
      <w:sz w:val="24"/>
      <w:szCs w:val="24"/>
    </w:rPr>
  </w:style>
  <w:style w:type="character" w:customStyle="1" w:styleId="382">
    <w:name w:val="正文文本 Char1"/>
    <w:autoRedefine/>
    <w:qFormat/>
    <w:uiPriority w:val="0"/>
    <w:rPr>
      <w:rFonts w:ascii="宋体" w:hAnsi="宋体"/>
      <w:color w:val="000000"/>
      <w:kern w:val="2"/>
      <w:sz w:val="28"/>
    </w:rPr>
  </w:style>
  <w:style w:type="character" w:customStyle="1" w:styleId="383">
    <w:name w:val="普通文字 Char Char Char Char Char Char Char Char Char Char Char Char Char Char"/>
    <w:autoRedefine/>
    <w:qFormat/>
    <w:uiPriority w:val="0"/>
    <w:rPr>
      <w:rFonts w:ascii="宋体" w:hAnsi="Courier New" w:eastAsia="宋体" w:cs="Courier New"/>
      <w:kern w:val="2"/>
      <w:sz w:val="21"/>
      <w:szCs w:val="21"/>
      <w:lang w:val="en-US" w:eastAsia="zh-CN" w:bidi="ar-SA"/>
    </w:rPr>
  </w:style>
  <w:style w:type="character" w:customStyle="1" w:styleId="384">
    <w:name w:val="apple-converted-space"/>
    <w:autoRedefine/>
    <w:qFormat/>
    <w:uiPriority w:val="0"/>
    <w:rPr>
      <w:rFonts w:eastAsia="黑体"/>
      <w:b/>
      <w:bCs/>
      <w:snapToGrid w:val="0"/>
      <w:kern w:val="2"/>
      <w:sz w:val="24"/>
      <w:szCs w:val="24"/>
    </w:rPr>
  </w:style>
  <w:style w:type="character" w:customStyle="1" w:styleId="385">
    <w:name w:val="项标题(1) Char Char1"/>
    <w:autoRedefine/>
    <w:qFormat/>
    <w:uiPriority w:val="0"/>
    <w:rPr>
      <w:rFonts w:eastAsia="宋体"/>
      <w:b/>
      <w:kern w:val="2"/>
      <w:sz w:val="24"/>
      <w:lang w:val="en-US" w:eastAsia="zh-CN" w:bidi="ar-SA"/>
    </w:rPr>
  </w:style>
  <w:style w:type="character" w:customStyle="1" w:styleId="386">
    <w:name w:val="Char Char91"/>
    <w:autoRedefine/>
    <w:qFormat/>
    <w:uiPriority w:val="0"/>
    <w:rPr>
      <w:rFonts w:eastAsia="宋体"/>
      <w:kern w:val="2"/>
      <w:sz w:val="18"/>
      <w:szCs w:val="18"/>
      <w:lang w:val="en-US" w:eastAsia="zh-CN" w:bidi="ar-SA"/>
    </w:rPr>
  </w:style>
  <w:style w:type="character" w:customStyle="1" w:styleId="387">
    <w:name w:val="正文 + 宋体 Char"/>
    <w:link w:val="388"/>
    <w:autoRedefine/>
    <w:qFormat/>
    <w:uiPriority w:val="0"/>
    <w:rPr>
      <w:sz w:val="28"/>
    </w:rPr>
  </w:style>
  <w:style w:type="paragraph" w:customStyle="1" w:styleId="388">
    <w:name w:val="正文 + 宋体"/>
    <w:basedOn w:val="1"/>
    <w:link w:val="387"/>
    <w:autoRedefine/>
    <w:qFormat/>
    <w:uiPriority w:val="0"/>
    <w:pPr>
      <w:adjustRightInd w:val="0"/>
      <w:spacing w:line="520" w:lineRule="exact"/>
      <w:ind w:firstLine="560" w:firstLineChars="200"/>
      <w:textAlignment w:val="baseline"/>
    </w:pPr>
    <w:rPr>
      <w:kern w:val="0"/>
      <w:sz w:val="28"/>
    </w:rPr>
  </w:style>
  <w:style w:type="character" w:customStyle="1" w:styleId="389">
    <w:name w:val="正文文本 Char"/>
    <w:autoRedefine/>
    <w:qFormat/>
    <w:uiPriority w:val="0"/>
    <w:rPr>
      <w:rFonts w:ascii="Times New Roman" w:hAnsi="Times New Roman"/>
      <w:kern w:val="2"/>
      <w:sz w:val="21"/>
      <w:szCs w:val="24"/>
    </w:rPr>
  </w:style>
  <w:style w:type="character" w:customStyle="1" w:styleId="390">
    <w:name w:val="Char Char81"/>
    <w:autoRedefine/>
    <w:qFormat/>
    <w:uiPriority w:val="0"/>
    <w:rPr>
      <w:rFonts w:ascii="Times New Roman" w:hAnsi="Times New Roman" w:eastAsia="宋体" w:cs="Times New Roman"/>
      <w:sz w:val="18"/>
      <w:szCs w:val="18"/>
    </w:rPr>
  </w:style>
  <w:style w:type="character" w:customStyle="1" w:styleId="391">
    <w:name w:val="纯文本 Char1"/>
    <w:autoRedefine/>
    <w:qFormat/>
    <w:uiPriority w:val="0"/>
    <w:rPr>
      <w:rFonts w:ascii="宋体" w:hAnsi="Courier New" w:eastAsia="宋体" w:cs="Courier New"/>
      <w:kern w:val="2"/>
      <w:sz w:val="21"/>
      <w:szCs w:val="21"/>
      <w:lang w:val="en-US" w:eastAsia="zh-CN" w:bidi="ar-SA"/>
    </w:rPr>
  </w:style>
  <w:style w:type="character" w:customStyle="1" w:styleId="392">
    <w:name w:val="纯文本 Char3"/>
    <w:autoRedefine/>
    <w:qFormat/>
    <w:uiPriority w:val="0"/>
    <w:rPr>
      <w:rFonts w:ascii="宋体" w:hAnsi="Courier New"/>
      <w:kern w:val="2"/>
      <w:sz w:val="21"/>
    </w:rPr>
  </w:style>
  <w:style w:type="character" w:customStyle="1" w:styleId="393">
    <w:name w:val="样式 标题 3 + 四号 Char Char"/>
    <w:link w:val="394"/>
    <w:autoRedefine/>
    <w:qFormat/>
    <w:uiPriority w:val="0"/>
    <w:rPr>
      <w:rFonts w:eastAsia="仿宋"/>
      <w:b/>
      <w:bCs/>
      <w:sz w:val="28"/>
      <w:szCs w:val="32"/>
    </w:rPr>
  </w:style>
  <w:style w:type="paragraph" w:customStyle="1" w:styleId="394">
    <w:name w:val="样式 标题 3 + 四号"/>
    <w:basedOn w:val="5"/>
    <w:link w:val="393"/>
    <w:autoRedefine/>
    <w:qFormat/>
    <w:uiPriority w:val="0"/>
    <w:pPr>
      <w:keepNext/>
      <w:keepLines/>
      <w:adjustRightInd w:val="0"/>
      <w:snapToGrid w:val="0"/>
      <w:spacing w:line="416" w:lineRule="auto"/>
      <w:ind w:firstLine="562" w:firstLineChars="200"/>
    </w:pPr>
    <w:rPr>
      <w:rFonts w:ascii="Times New Roman" w:eastAsia="仿宋"/>
      <w:b/>
      <w:bCs/>
      <w:kern w:val="0"/>
      <w:sz w:val="28"/>
      <w:szCs w:val="32"/>
    </w:rPr>
  </w:style>
  <w:style w:type="character" w:customStyle="1" w:styleId="395">
    <w:name w:val="明显引用 Char"/>
    <w:link w:val="396"/>
    <w:autoRedefine/>
    <w:qFormat/>
    <w:uiPriority w:val="0"/>
    <w:rPr>
      <w:rFonts w:ascii="Calibri" w:hAnsi="Calibri"/>
      <w:b/>
      <w:bCs/>
      <w:i/>
      <w:iCs/>
      <w:color w:val="4F81BD"/>
      <w:sz w:val="22"/>
      <w:lang w:eastAsia="en-US" w:bidi="en-US"/>
    </w:rPr>
  </w:style>
  <w:style w:type="paragraph" w:customStyle="1" w:styleId="396">
    <w:name w:val="明显引用1"/>
    <w:basedOn w:val="1"/>
    <w:next w:val="1"/>
    <w:link w:val="395"/>
    <w:autoRedefine/>
    <w:qFormat/>
    <w:uiPriority w:val="0"/>
    <w:pPr>
      <w:widowControl/>
      <w:pBdr>
        <w:bottom w:val="single" w:color="4F81BD" w:sz="4" w:space="4"/>
      </w:pBdr>
      <w:spacing w:before="200" w:after="280" w:line="276" w:lineRule="auto"/>
      <w:ind w:left="936" w:right="936"/>
      <w:jc w:val="left"/>
    </w:pPr>
    <w:rPr>
      <w:rFonts w:ascii="Calibri" w:hAnsi="Calibri"/>
      <w:b/>
      <w:bCs/>
      <w:i/>
      <w:iCs/>
      <w:color w:val="4F81BD"/>
      <w:kern w:val="0"/>
      <w:sz w:val="22"/>
      <w:lang w:eastAsia="en-US" w:bidi="en-US"/>
    </w:rPr>
  </w:style>
  <w:style w:type="character" w:customStyle="1" w:styleId="397">
    <w:name w:val="Char Char82"/>
    <w:autoRedefine/>
    <w:qFormat/>
    <w:uiPriority w:val="0"/>
    <w:rPr>
      <w:rFonts w:ascii="宋体" w:hAnsi="宋体" w:eastAsia="宋体" w:cs="Times New Roman"/>
      <w:color w:val="000000"/>
      <w:sz w:val="28"/>
      <w:szCs w:val="24"/>
    </w:rPr>
  </w:style>
  <w:style w:type="character" w:customStyle="1" w:styleId="398">
    <w:name w:val="Char Char111"/>
    <w:autoRedefine/>
    <w:qFormat/>
    <w:uiPriority w:val="0"/>
    <w:rPr>
      <w:rFonts w:ascii="Arial" w:hAnsi="Arial" w:eastAsia="黑体" w:cs="Times New Roman"/>
      <w:b/>
      <w:bCs/>
      <w:sz w:val="32"/>
      <w:szCs w:val="32"/>
    </w:rPr>
  </w:style>
  <w:style w:type="character" w:customStyle="1" w:styleId="399">
    <w:name w:val="页脚 Char Char Char"/>
    <w:autoRedefine/>
    <w:qFormat/>
    <w:uiPriority w:val="0"/>
    <w:rPr>
      <w:kern w:val="2"/>
      <w:sz w:val="18"/>
    </w:rPr>
  </w:style>
  <w:style w:type="character" w:customStyle="1" w:styleId="400">
    <w:name w:val="批注框文本 Char"/>
    <w:autoRedefine/>
    <w:qFormat/>
    <w:uiPriority w:val="0"/>
    <w:rPr>
      <w:kern w:val="2"/>
      <w:sz w:val="18"/>
      <w:szCs w:val="18"/>
    </w:rPr>
  </w:style>
  <w:style w:type="character" w:customStyle="1" w:styleId="401">
    <w:name w:val="order-num2"/>
    <w:autoRedefine/>
    <w:qFormat/>
    <w:uiPriority w:val="0"/>
    <w:rPr>
      <w:rFonts w:eastAsia="黑体"/>
      <w:b/>
      <w:bCs/>
      <w:snapToGrid w:val="0"/>
      <w:kern w:val="2"/>
      <w:sz w:val="24"/>
      <w:szCs w:val="24"/>
    </w:rPr>
  </w:style>
  <w:style w:type="character" w:customStyle="1" w:styleId="402">
    <w:name w:val="宏文本 Char"/>
    <w:autoRedefine/>
    <w:qFormat/>
    <w:uiPriority w:val="0"/>
    <w:rPr>
      <w:rFonts w:ascii="Courier New" w:hAnsi="Courier New" w:cs="Courier New"/>
      <w:kern w:val="2"/>
      <w:sz w:val="24"/>
      <w:szCs w:val="24"/>
      <w:lang w:val="en-US" w:eastAsia="zh-CN" w:bidi="ar-SA"/>
    </w:rPr>
  </w:style>
  <w:style w:type="character" w:customStyle="1" w:styleId="403">
    <w:name w:val="批注文字 Char Char"/>
    <w:autoRedefine/>
    <w:qFormat/>
    <w:uiPriority w:val="0"/>
    <w:rPr>
      <w:kern w:val="2"/>
      <w:sz w:val="21"/>
    </w:rPr>
  </w:style>
  <w:style w:type="character" w:customStyle="1" w:styleId="404">
    <w:name w:val="日期 Char"/>
    <w:autoRedefine/>
    <w:qFormat/>
    <w:uiPriority w:val="0"/>
    <w:rPr>
      <w:rFonts w:ascii="Times New Roman" w:hAnsi="Times New Roman"/>
      <w:kern w:val="2"/>
      <w:sz w:val="21"/>
      <w:szCs w:val="24"/>
    </w:rPr>
  </w:style>
  <w:style w:type="character" w:customStyle="1" w:styleId="405">
    <w:name w:val="白鹤滩标题 4 Char2"/>
    <w:autoRedefine/>
    <w:qFormat/>
    <w:uiPriority w:val="0"/>
    <w:rPr>
      <w:rFonts w:ascii="宋体" w:hAnsi="宋体" w:eastAsia="宋体" w:cs="宋体"/>
      <w:kern w:val="2"/>
      <w:sz w:val="28"/>
      <w:lang w:val="en-US" w:eastAsia="zh-CN" w:bidi="ar-SA"/>
    </w:rPr>
  </w:style>
  <w:style w:type="character" w:customStyle="1" w:styleId="406">
    <w:name w:val="样式 (符号) 宋体 四号1"/>
    <w:autoRedefine/>
    <w:qFormat/>
    <w:uiPriority w:val="0"/>
    <w:rPr>
      <w:rFonts w:eastAsia="仿宋_GB2312"/>
      <w:spacing w:val="-4"/>
      <w:sz w:val="28"/>
    </w:rPr>
  </w:style>
  <w:style w:type="character" w:customStyle="1" w:styleId="407">
    <w:name w:val="正文首行缩进 Char"/>
    <w:autoRedefine/>
    <w:qFormat/>
    <w:uiPriority w:val="0"/>
    <w:rPr>
      <w:rFonts w:ascii="Times New Roman" w:hAnsi="Times New Roman"/>
      <w:kern w:val="2"/>
      <w:sz w:val="21"/>
      <w:szCs w:val="22"/>
    </w:rPr>
  </w:style>
  <w:style w:type="character" w:customStyle="1" w:styleId="408">
    <w:name w:val="批注主题 Char"/>
    <w:autoRedefine/>
    <w:qFormat/>
    <w:uiPriority w:val="0"/>
    <w:rPr>
      <w:rFonts w:ascii="Calibri" w:hAnsi="Calibri"/>
      <w:b/>
      <w:bCs/>
      <w:kern w:val="2"/>
      <w:sz w:val="21"/>
      <w:szCs w:val="22"/>
    </w:rPr>
  </w:style>
  <w:style w:type="character" w:customStyle="1" w:styleId="409">
    <w:name w:val="正文文本 Char2"/>
    <w:autoRedefine/>
    <w:qFormat/>
    <w:uiPriority w:val="0"/>
    <w:rPr>
      <w:rFonts w:ascii="Times New Roman" w:hAnsi="Times New Roman" w:eastAsia="宋体" w:cs="Times New Roman"/>
      <w:szCs w:val="24"/>
    </w:rPr>
  </w:style>
  <w:style w:type="character" w:customStyle="1" w:styleId="410">
    <w:name w:val="Char Char4"/>
    <w:autoRedefine/>
    <w:qFormat/>
    <w:uiPriority w:val="0"/>
    <w:rPr>
      <w:rFonts w:ascii="宋体" w:hAnsi="宋体" w:eastAsia="宋体"/>
      <w:color w:val="000000"/>
      <w:spacing w:val="-18"/>
      <w:kern w:val="2"/>
      <w:sz w:val="21"/>
      <w:lang w:val="en-US" w:eastAsia="zh-CN" w:bidi="ar-SA"/>
    </w:rPr>
  </w:style>
  <w:style w:type="character" w:customStyle="1" w:styleId="411">
    <w:name w:val="正文文本缩进 3 Char"/>
    <w:autoRedefine/>
    <w:qFormat/>
    <w:uiPriority w:val="0"/>
    <w:rPr>
      <w:rFonts w:ascii="Calibri" w:hAnsi="Calibri"/>
      <w:kern w:val="2"/>
      <w:sz w:val="16"/>
      <w:szCs w:val="16"/>
    </w:rPr>
  </w:style>
  <w:style w:type="character" w:customStyle="1" w:styleId="412">
    <w:name w:val="条 Char Char"/>
    <w:link w:val="413"/>
    <w:autoRedefine/>
    <w:qFormat/>
    <w:uiPriority w:val="0"/>
    <w:rPr>
      <w:rFonts w:ascii="Calibri" w:hAnsi="Calibri" w:eastAsia="黑体" w:cs="宋体"/>
      <w:b/>
      <w:bCs/>
      <w:kern w:val="44"/>
      <w:sz w:val="28"/>
    </w:rPr>
  </w:style>
  <w:style w:type="paragraph" w:customStyle="1" w:styleId="413">
    <w:name w:val="条"/>
    <w:basedOn w:val="1"/>
    <w:link w:val="412"/>
    <w:autoRedefine/>
    <w:qFormat/>
    <w:uiPriority w:val="0"/>
    <w:pPr>
      <w:keepNext/>
      <w:keepLines/>
      <w:tabs>
        <w:tab w:val="left" w:pos="425"/>
        <w:tab w:val="left" w:pos="2880"/>
      </w:tabs>
      <w:adjustRightInd w:val="0"/>
      <w:spacing w:before="163" w:after="163" w:line="576" w:lineRule="auto"/>
      <w:textAlignment w:val="baseline"/>
      <w:outlineLvl w:val="2"/>
    </w:pPr>
    <w:rPr>
      <w:rFonts w:ascii="Calibri" w:hAnsi="Calibri" w:eastAsia="黑体" w:cs="宋体"/>
      <w:b/>
      <w:bCs/>
      <w:kern w:val="44"/>
      <w:sz w:val="28"/>
    </w:rPr>
  </w:style>
  <w:style w:type="character" w:customStyle="1" w:styleId="414">
    <w:name w:val="页眉 Char1"/>
    <w:autoRedefine/>
    <w:qFormat/>
    <w:uiPriority w:val="99"/>
    <w:rPr>
      <w:rFonts w:eastAsia="宋体"/>
      <w:kern w:val="2"/>
      <w:sz w:val="18"/>
      <w:szCs w:val="18"/>
      <w:lang w:val="en-US" w:eastAsia="zh-CN" w:bidi="ar-SA"/>
    </w:rPr>
  </w:style>
  <w:style w:type="character" w:customStyle="1" w:styleId="415">
    <w:name w:val="样式 (符号) 宋体 四号"/>
    <w:basedOn w:val="79"/>
    <w:autoRedefine/>
    <w:qFormat/>
    <w:uiPriority w:val="0"/>
    <w:rPr>
      <w:rFonts w:eastAsia="仿宋_GB2312"/>
      <w:sz w:val="28"/>
    </w:rPr>
  </w:style>
  <w:style w:type="character" w:customStyle="1" w:styleId="416">
    <w:name w:val="特点标题 Char Char"/>
    <w:autoRedefine/>
    <w:qFormat/>
    <w:uiPriority w:val="0"/>
    <w:rPr>
      <w:rFonts w:hint="eastAsia" w:ascii="宋体" w:hAnsi="宋体" w:eastAsia="宋体" w:cs="宋体"/>
      <w:b/>
      <w:bCs/>
      <w:snapToGrid w:val="0"/>
      <w:kern w:val="2"/>
      <w:sz w:val="28"/>
      <w:szCs w:val="24"/>
      <w:lang w:val="en-US" w:eastAsia="zh-CN"/>
    </w:rPr>
  </w:style>
  <w:style w:type="character" w:customStyle="1" w:styleId="417">
    <w:name w:val="页脚 Char"/>
    <w:autoRedefine/>
    <w:qFormat/>
    <w:uiPriority w:val="99"/>
    <w:rPr>
      <w:kern w:val="2"/>
      <w:sz w:val="18"/>
      <w:szCs w:val="18"/>
    </w:rPr>
  </w:style>
  <w:style w:type="character" w:customStyle="1" w:styleId="418">
    <w:name w:val="正文文本缩进 Char1"/>
    <w:autoRedefine/>
    <w:qFormat/>
    <w:uiPriority w:val="0"/>
    <w:rPr>
      <w:rFonts w:ascii="宋体" w:hAnsi="宋体"/>
      <w:color w:val="000000"/>
      <w:kern w:val="2"/>
      <w:sz w:val="24"/>
    </w:rPr>
  </w:style>
  <w:style w:type="character" w:customStyle="1" w:styleId="419">
    <w:name w:val="文本正文 Char"/>
    <w:autoRedefine/>
    <w:qFormat/>
    <w:uiPriority w:val="0"/>
    <w:rPr>
      <w:rFonts w:hint="eastAsia" w:ascii="仿宋_GB2312" w:eastAsia="仿宋_GB2312" w:cs="仿宋_GB2312"/>
      <w:b/>
      <w:bCs/>
      <w:snapToGrid w:val="0"/>
      <w:kern w:val="2"/>
      <w:sz w:val="24"/>
      <w:szCs w:val="24"/>
      <w:lang w:val="en-US" w:eastAsia="zh-CN"/>
    </w:rPr>
  </w:style>
  <w:style w:type="character" w:customStyle="1" w:styleId="420">
    <w:name w:val="yxx_正文 Char"/>
    <w:autoRedefine/>
    <w:qFormat/>
    <w:uiPriority w:val="0"/>
    <w:rPr>
      <w:rFonts w:hint="eastAsia" w:ascii="仿宋_GB2312" w:eastAsia="仿宋_GB2312" w:cs="仿宋_GB2312"/>
      <w:b/>
      <w:bCs/>
      <w:snapToGrid w:val="0"/>
      <w:kern w:val="2"/>
      <w:sz w:val="24"/>
      <w:szCs w:val="24"/>
    </w:rPr>
  </w:style>
  <w:style w:type="character" w:customStyle="1" w:styleId="421">
    <w:name w:val="正文样式 Char Char"/>
    <w:link w:val="422"/>
    <w:autoRedefine/>
    <w:qFormat/>
    <w:uiPriority w:val="0"/>
    <w:rPr>
      <w:rFonts w:ascii="宋体" w:hAnsi="宋体"/>
      <w:sz w:val="24"/>
      <w:szCs w:val="24"/>
    </w:rPr>
  </w:style>
  <w:style w:type="paragraph" w:customStyle="1" w:styleId="422">
    <w:name w:val="正文样式"/>
    <w:basedOn w:val="1"/>
    <w:link w:val="421"/>
    <w:autoRedefine/>
    <w:qFormat/>
    <w:uiPriority w:val="0"/>
    <w:pPr>
      <w:spacing w:line="460" w:lineRule="exact"/>
      <w:ind w:firstLine="200" w:firstLineChars="200"/>
    </w:pPr>
    <w:rPr>
      <w:rFonts w:ascii="宋体" w:hAnsi="宋体"/>
      <w:kern w:val="0"/>
      <w:sz w:val="24"/>
      <w:szCs w:val="24"/>
    </w:rPr>
  </w:style>
  <w:style w:type="character" w:customStyle="1" w:styleId="423">
    <w:name w:val="引用 Char"/>
    <w:link w:val="424"/>
    <w:autoRedefine/>
    <w:qFormat/>
    <w:uiPriority w:val="0"/>
    <w:rPr>
      <w:rFonts w:ascii="Calibri" w:hAnsi="Calibri"/>
      <w:i/>
      <w:iCs/>
      <w:color w:val="000000"/>
      <w:sz w:val="22"/>
      <w:lang w:eastAsia="en-US" w:bidi="en-US"/>
    </w:rPr>
  </w:style>
  <w:style w:type="paragraph" w:customStyle="1" w:styleId="424">
    <w:name w:val="引用1"/>
    <w:basedOn w:val="1"/>
    <w:next w:val="1"/>
    <w:link w:val="423"/>
    <w:autoRedefine/>
    <w:qFormat/>
    <w:uiPriority w:val="0"/>
    <w:pPr>
      <w:widowControl/>
      <w:spacing w:after="200" w:line="276" w:lineRule="auto"/>
      <w:jc w:val="left"/>
    </w:pPr>
    <w:rPr>
      <w:rFonts w:ascii="Calibri" w:hAnsi="Calibri"/>
      <w:i/>
      <w:iCs/>
      <w:color w:val="000000"/>
      <w:kern w:val="0"/>
      <w:sz w:val="22"/>
      <w:lang w:eastAsia="en-US" w:bidi="en-US"/>
    </w:rPr>
  </w:style>
  <w:style w:type="character" w:customStyle="1" w:styleId="425">
    <w:name w:val="文档结构图 Char"/>
    <w:autoRedefine/>
    <w:semiHidden/>
    <w:qFormat/>
    <w:uiPriority w:val="0"/>
    <w:rPr>
      <w:rFonts w:ascii="Calibri" w:hAnsi="Calibri"/>
      <w:kern w:val="2"/>
      <w:sz w:val="28"/>
      <w:szCs w:val="22"/>
      <w:shd w:val="clear" w:color="auto" w:fill="000080"/>
    </w:rPr>
  </w:style>
  <w:style w:type="character" w:customStyle="1" w:styleId="426">
    <w:name w:val="正文内容 Char"/>
    <w:autoRedefine/>
    <w:qFormat/>
    <w:uiPriority w:val="0"/>
    <w:rPr>
      <w:rFonts w:hint="eastAsia" w:ascii="仿宋_GB2312" w:eastAsia="仿宋_GB2312" w:cs="宋体"/>
      <w:b/>
      <w:bCs/>
      <w:snapToGrid w:val="0"/>
      <w:kern w:val="2"/>
      <w:sz w:val="30"/>
      <w:szCs w:val="24"/>
      <w:lang w:val="en-US" w:eastAsia="zh-CN"/>
    </w:rPr>
  </w:style>
  <w:style w:type="character" w:customStyle="1" w:styleId="427">
    <w:name w:val="Char Char12"/>
    <w:autoRedefine/>
    <w:qFormat/>
    <w:uiPriority w:val="0"/>
    <w:rPr>
      <w:rFonts w:eastAsia="宋体"/>
      <w:kern w:val="2"/>
      <w:sz w:val="18"/>
      <w:szCs w:val="18"/>
      <w:lang w:val="en-US" w:eastAsia="zh-CN" w:bidi="ar-SA"/>
    </w:rPr>
  </w:style>
  <w:style w:type="character" w:customStyle="1" w:styleId="428">
    <w:name w:val="纯文本 Char Char"/>
    <w:autoRedefine/>
    <w:qFormat/>
    <w:uiPriority w:val="0"/>
    <w:rPr>
      <w:rFonts w:ascii="宋体" w:hAnsi="Courier New" w:eastAsia="宋体"/>
      <w:kern w:val="2"/>
      <w:sz w:val="21"/>
      <w:vertAlign w:val="superscript"/>
      <w:lang w:val="en-US" w:eastAsia="zh-CN" w:bidi="ar-SA"/>
    </w:rPr>
  </w:style>
  <w:style w:type="character" w:customStyle="1" w:styleId="429">
    <w:name w:val="fontstyle21"/>
    <w:autoRedefine/>
    <w:qFormat/>
    <w:uiPriority w:val="0"/>
    <w:rPr>
      <w:rFonts w:hint="default" w:ascii="Times New Roman" w:hAnsi="Times New Roman" w:cs="Times New Roman"/>
      <w:color w:val="000000"/>
      <w:sz w:val="28"/>
      <w:szCs w:val="28"/>
    </w:rPr>
  </w:style>
  <w:style w:type="character" w:customStyle="1" w:styleId="430">
    <w:name w:val="节标题 1.1 Char1"/>
    <w:autoRedefine/>
    <w:qFormat/>
    <w:uiPriority w:val="0"/>
    <w:rPr>
      <w:rFonts w:ascii="Arial" w:hAnsi="Arial" w:eastAsia="黑体"/>
      <w:b/>
      <w:kern w:val="2"/>
      <w:sz w:val="32"/>
      <w:lang w:val="en-US" w:eastAsia="zh-CN" w:bidi="ar-SA"/>
    </w:rPr>
  </w:style>
  <w:style w:type="character" w:customStyle="1" w:styleId="431">
    <w:name w:val="ca-02"/>
    <w:basedOn w:val="79"/>
    <w:autoRedefine/>
    <w:qFormat/>
    <w:uiPriority w:val="0"/>
  </w:style>
  <w:style w:type="character" w:customStyle="1" w:styleId="432">
    <w:name w:val="Char Char9"/>
    <w:autoRedefine/>
    <w:qFormat/>
    <w:uiPriority w:val="0"/>
    <w:rPr>
      <w:rFonts w:ascii="宋体" w:hAnsi="宋体"/>
      <w:color w:val="000000"/>
      <w:kern w:val="2"/>
      <w:sz w:val="28"/>
    </w:rPr>
  </w:style>
  <w:style w:type="character" w:customStyle="1" w:styleId="433">
    <w:name w:val="目标题 1) Char Char1"/>
    <w:autoRedefine/>
    <w:qFormat/>
    <w:uiPriority w:val="0"/>
    <w:rPr>
      <w:rFonts w:ascii="Arial" w:hAnsi="Arial" w:eastAsia="黑体"/>
      <w:kern w:val="2"/>
      <w:sz w:val="24"/>
      <w:lang w:val="en-US" w:eastAsia="zh-CN" w:bidi="ar-SA"/>
    </w:rPr>
  </w:style>
  <w:style w:type="character" w:customStyle="1" w:styleId="434">
    <w:name w:val="Char Char911"/>
    <w:autoRedefine/>
    <w:qFormat/>
    <w:uiPriority w:val="0"/>
    <w:rPr>
      <w:rFonts w:ascii="Times New Roman" w:hAnsi="Times New Roman" w:eastAsia="宋体" w:cs="Times New Roman"/>
      <w:sz w:val="18"/>
      <w:szCs w:val="18"/>
    </w:rPr>
  </w:style>
  <w:style w:type="character" w:customStyle="1" w:styleId="435">
    <w:name w:val="正文文本缩进 2 Char"/>
    <w:autoRedefine/>
    <w:qFormat/>
    <w:uiPriority w:val="0"/>
    <w:rPr>
      <w:rFonts w:ascii="Times New Roman" w:hAnsi="Times New Roman"/>
      <w:kern w:val="2"/>
      <w:sz w:val="21"/>
      <w:szCs w:val="24"/>
    </w:rPr>
  </w:style>
  <w:style w:type="character" w:customStyle="1" w:styleId="436">
    <w:name w:val="标题 4 Char"/>
    <w:autoRedefine/>
    <w:qFormat/>
    <w:uiPriority w:val="0"/>
    <w:rPr>
      <w:rFonts w:ascii="Arial" w:hAnsi="Arial" w:eastAsia="黑体"/>
      <w:b/>
      <w:bCs/>
      <w:kern w:val="2"/>
      <w:sz w:val="28"/>
      <w:szCs w:val="28"/>
    </w:rPr>
  </w:style>
  <w:style w:type="character" w:customStyle="1" w:styleId="437">
    <w:name w:val="样式1 Char Char"/>
    <w:autoRedefine/>
    <w:qFormat/>
    <w:uiPriority w:val="0"/>
    <w:rPr>
      <w:rFonts w:eastAsia="宋体"/>
      <w:kern w:val="2"/>
      <w:sz w:val="28"/>
      <w:szCs w:val="28"/>
      <w:lang w:val="en-US" w:eastAsia="zh-CN" w:bidi="ar-SA"/>
    </w:rPr>
  </w:style>
  <w:style w:type="character" w:customStyle="1" w:styleId="438">
    <w:name w:val="占位符文本11"/>
    <w:autoRedefine/>
    <w:semiHidden/>
    <w:qFormat/>
    <w:uiPriority w:val="99"/>
    <w:rPr>
      <w:color w:val="808080"/>
    </w:rPr>
  </w:style>
  <w:style w:type="character" w:customStyle="1" w:styleId="439">
    <w:name w:val="样式 四号"/>
    <w:basedOn w:val="79"/>
    <w:autoRedefine/>
    <w:qFormat/>
    <w:uiPriority w:val="0"/>
  </w:style>
  <w:style w:type="character" w:customStyle="1" w:styleId="440">
    <w:name w:val="00报告正文 Char Char"/>
    <w:qFormat/>
    <w:uiPriority w:val="0"/>
    <w:rPr>
      <w:rFonts w:ascii="仿宋_GB2312" w:hAnsi="Courier New" w:eastAsia="仿宋_GB2312" w:cs="Courier New"/>
      <w:kern w:val="2"/>
      <w:sz w:val="32"/>
      <w:szCs w:val="21"/>
      <w:lang w:val="en-US" w:eastAsia="zh-CN" w:bidi="ar-SA"/>
    </w:rPr>
  </w:style>
  <w:style w:type="character" w:customStyle="1" w:styleId="441">
    <w:name w:val="标题 3 Char"/>
    <w:autoRedefine/>
    <w:qFormat/>
    <w:uiPriority w:val="9"/>
    <w:rPr>
      <w:rFonts w:ascii="Times New Roman" w:hAnsi="Times New Roman" w:eastAsia="宋体"/>
      <w:b/>
      <w:bCs/>
      <w:kern w:val="2"/>
      <w:sz w:val="30"/>
      <w:szCs w:val="32"/>
    </w:rPr>
  </w:style>
  <w:style w:type="character" w:customStyle="1" w:styleId="442">
    <w:name w:val="正文(4) Char Char"/>
    <w:link w:val="443"/>
    <w:autoRedefine/>
    <w:qFormat/>
    <w:uiPriority w:val="0"/>
    <w:rPr>
      <w:sz w:val="28"/>
    </w:rPr>
  </w:style>
  <w:style w:type="paragraph" w:customStyle="1" w:styleId="443">
    <w:name w:val="正文(4)"/>
    <w:basedOn w:val="1"/>
    <w:link w:val="442"/>
    <w:autoRedefine/>
    <w:qFormat/>
    <w:uiPriority w:val="0"/>
    <w:pPr>
      <w:topLinePunct/>
      <w:spacing w:line="360" w:lineRule="auto"/>
    </w:pPr>
    <w:rPr>
      <w:kern w:val="0"/>
      <w:sz w:val="28"/>
    </w:rPr>
  </w:style>
  <w:style w:type="character" w:customStyle="1" w:styleId="444">
    <w:name w:val="Char Char112"/>
    <w:autoRedefine/>
    <w:qFormat/>
    <w:uiPriority w:val="0"/>
    <w:rPr>
      <w:rFonts w:ascii="Arial" w:hAnsi="Arial" w:eastAsia="黑体" w:cs="Times New Roman"/>
      <w:b/>
      <w:bCs/>
      <w:sz w:val="32"/>
      <w:szCs w:val="32"/>
    </w:rPr>
  </w:style>
  <w:style w:type="character" w:customStyle="1" w:styleId="445">
    <w:name w:val="ca-82"/>
    <w:basedOn w:val="79"/>
    <w:autoRedefine/>
    <w:qFormat/>
    <w:uiPriority w:val="0"/>
  </w:style>
  <w:style w:type="character" w:customStyle="1" w:styleId="446">
    <w:name w:val="t_tag"/>
    <w:basedOn w:val="79"/>
    <w:autoRedefine/>
    <w:qFormat/>
    <w:uiPriority w:val="0"/>
  </w:style>
  <w:style w:type="character" w:customStyle="1" w:styleId="447">
    <w:name w:val="样式1 Char"/>
    <w:link w:val="448"/>
    <w:autoRedefine/>
    <w:qFormat/>
    <w:uiPriority w:val="0"/>
    <w:rPr>
      <w:rFonts w:ascii="宋体"/>
      <w:sz w:val="28"/>
    </w:rPr>
  </w:style>
  <w:style w:type="paragraph" w:customStyle="1" w:styleId="448">
    <w:name w:val="样式1"/>
    <w:basedOn w:val="45"/>
    <w:link w:val="447"/>
    <w:autoRedefine/>
    <w:qFormat/>
    <w:uiPriority w:val="0"/>
    <w:pPr>
      <w:spacing w:after="120" w:line="540" w:lineRule="atLeast"/>
      <w:ind w:left="420" w:leftChars="200" w:firstLine="510" w:firstLineChars="0"/>
      <w:jc w:val="left"/>
    </w:pPr>
    <w:rPr>
      <w:rFonts w:hAnsi="Times New Roman"/>
      <w:kern w:val="0"/>
    </w:rPr>
  </w:style>
  <w:style w:type="character" w:customStyle="1" w:styleId="449">
    <w:name w:val="干标题(a) Char Char1"/>
    <w:autoRedefine/>
    <w:qFormat/>
    <w:uiPriority w:val="0"/>
    <w:rPr>
      <w:rFonts w:ascii="Arial" w:hAnsi="Arial" w:eastAsia="黑体"/>
      <w:kern w:val="2"/>
      <w:sz w:val="21"/>
      <w:lang w:val="en-US" w:eastAsia="zh-CN" w:bidi="ar-SA"/>
    </w:rPr>
  </w:style>
  <w:style w:type="character" w:customStyle="1" w:styleId="450">
    <w:name w:val="title11"/>
    <w:basedOn w:val="79"/>
    <w:autoRedefine/>
    <w:qFormat/>
    <w:uiPriority w:val="0"/>
  </w:style>
  <w:style w:type="character" w:customStyle="1" w:styleId="451">
    <w:name w:val="Char Char5"/>
    <w:autoRedefine/>
    <w:qFormat/>
    <w:uiPriority w:val="0"/>
    <w:rPr>
      <w:rFonts w:ascii="宋体" w:hAnsi="宋体" w:eastAsia="宋体"/>
      <w:color w:val="000000"/>
      <w:kern w:val="2"/>
      <w:sz w:val="28"/>
      <w:lang w:val="en-US" w:eastAsia="zh-CN" w:bidi="ar-SA"/>
    </w:rPr>
  </w:style>
  <w:style w:type="character" w:customStyle="1" w:styleId="452">
    <w:name w:val="样式 小三"/>
    <w:autoRedefine/>
    <w:qFormat/>
    <w:uiPriority w:val="0"/>
    <w:rPr>
      <w:rFonts w:eastAsia="宋体"/>
      <w:sz w:val="30"/>
    </w:rPr>
  </w:style>
  <w:style w:type="character" w:customStyle="1" w:styleId="453">
    <w:name w:val="标题 3 Char2 Char"/>
    <w:autoRedefine/>
    <w:qFormat/>
    <w:uiPriority w:val="0"/>
    <w:rPr>
      <w:rFonts w:eastAsia="宋体"/>
      <w:b/>
      <w:bCs/>
      <w:kern w:val="2"/>
      <w:sz w:val="32"/>
      <w:szCs w:val="32"/>
      <w:lang w:val="en-US" w:eastAsia="zh-CN" w:bidi="ar-SA"/>
    </w:rPr>
  </w:style>
  <w:style w:type="character" w:customStyle="1" w:styleId="454">
    <w:name w:val="前言 Char1"/>
    <w:autoRedefine/>
    <w:qFormat/>
    <w:uiPriority w:val="0"/>
    <w:rPr>
      <w:rFonts w:eastAsia="宋体"/>
      <w:kern w:val="2"/>
      <w:sz w:val="28"/>
      <w:lang w:val="en-US" w:eastAsia="zh-CN" w:bidi="ar-SA"/>
    </w:rPr>
  </w:style>
  <w:style w:type="character" w:customStyle="1" w:styleId="455">
    <w:name w:val="表格内容 Char"/>
    <w:link w:val="456"/>
    <w:autoRedefine/>
    <w:qFormat/>
    <w:uiPriority w:val="0"/>
  </w:style>
  <w:style w:type="paragraph" w:customStyle="1" w:styleId="456">
    <w:name w:val="表格内容"/>
    <w:basedOn w:val="1"/>
    <w:link w:val="455"/>
    <w:autoRedefine/>
    <w:qFormat/>
    <w:uiPriority w:val="0"/>
    <w:pPr>
      <w:adjustRightInd w:val="0"/>
      <w:snapToGrid w:val="0"/>
      <w:jc w:val="center"/>
    </w:pPr>
    <w:rPr>
      <w:kern w:val="0"/>
      <w:sz w:val="20"/>
    </w:rPr>
  </w:style>
  <w:style w:type="character" w:customStyle="1" w:styleId="457">
    <w:name w:val="正文文本缩进 Char2"/>
    <w:qFormat/>
    <w:uiPriority w:val="0"/>
    <w:rPr>
      <w:rFonts w:ascii="宋体" w:hAnsi="宋体"/>
      <w:color w:val="000000"/>
      <w:kern w:val="2"/>
      <w:sz w:val="24"/>
    </w:rPr>
  </w:style>
  <w:style w:type="character" w:customStyle="1" w:styleId="458">
    <w:name w:val="Char Char102"/>
    <w:autoRedefine/>
    <w:qFormat/>
    <w:uiPriority w:val="0"/>
    <w:rPr>
      <w:rFonts w:ascii="宋体" w:hAnsi="宋体" w:eastAsia="宋体"/>
      <w:color w:val="000000"/>
      <w:kern w:val="2"/>
      <w:sz w:val="28"/>
      <w:szCs w:val="24"/>
      <w:lang w:val="en-US" w:eastAsia="zh-CN" w:bidi="ar-SA"/>
    </w:rPr>
  </w:style>
  <w:style w:type="character" w:customStyle="1" w:styleId="459">
    <w:name w:val="HTML 预设格式 Char"/>
    <w:autoRedefine/>
    <w:qFormat/>
    <w:uiPriority w:val="0"/>
    <w:rPr>
      <w:rFonts w:ascii="宋体" w:hAnsi="宋体"/>
      <w:sz w:val="24"/>
      <w:szCs w:val="24"/>
    </w:rPr>
  </w:style>
  <w:style w:type="character" w:customStyle="1" w:styleId="460">
    <w:name w:val="Char Char6"/>
    <w:autoRedefine/>
    <w:qFormat/>
    <w:uiPriority w:val="0"/>
    <w:rPr>
      <w:rFonts w:ascii="宋体" w:hAnsi="宋体" w:eastAsia="宋体"/>
      <w:kern w:val="2"/>
      <w:sz w:val="18"/>
      <w:lang w:val="en-US" w:eastAsia="zh-CN" w:bidi="ar-SA"/>
    </w:rPr>
  </w:style>
  <w:style w:type="character" w:customStyle="1" w:styleId="461">
    <w:name w:val="排版正文 Char Char"/>
    <w:autoRedefine/>
    <w:qFormat/>
    <w:uiPriority w:val="0"/>
    <w:rPr>
      <w:rFonts w:eastAsia="宋体"/>
      <w:color w:val="000000"/>
      <w:kern w:val="2"/>
      <w:sz w:val="26"/>
      <w:szCs w:val="26"/>
      <w:lang w:val="en-US" w:eastAsia="zh-CN" w:bidi="ar-SA"/>
    </w:rPr>
  </w:style>
  <w:style w:type="character" w:customStyle="1" w:styleId="462">
    <w:name w:val="和"/>
    <w:autoRedefine/>
    <w:qFormat/>
    <w:uiPriority w:val="0"/>
    <w:rPr>
      <w:rFonts w:hint="default" w:ascii="Times New Roman" w:hAnsi="Times New Roman" w:eastAsia="Times New Roman" w:cs="Times New Roman"/>
      <w:sz w:val="28"/>
      <w:szCs w:val="28"/>
    </w:rPr>
  </w:style>
  <w:style w:type="character" w:customStyle="1" w:styleId="463">
    <w:name w:val="正 Char"/>
    <w:link w:val="464"/>
    <w:autoRedefine/>
    <w:qFormat/>
    <w:uiPriority w:val="0"/>
    <w:rPr>
      <w:rFonts w:ascii="仿宋_GB2312" w:hAnsi="宋体" w:eastAsia="仿宋_GB2312"/>
      <w:sz w:val="28"/>
      <w:szCs w:val="28"/>
    </w:rPr>
  </w:style>
  <w:style w:type="paragraph" w:customStyle="1" w:styleId="464">
    <w:name w:val="正"/>
    <w:basedOn w:val="1"/>
    <w:link w:val="463"/>
    <w:autoRedefine/>
    <w:qFormat/>
    <w:uiPriority w:val="0"/>
    <w:pPr>
      <w:spacing w:line="480" w:lineRule="exact"/>
      <w:ind w:firstLine="560" w:firstLineChars="200"/>
      <w:jc w:val="left"/>
    </w:pPr>
    <w:rPr>
      <w:rFonts w:ascii="仿宋_GB2312" w:hAnsi="宋体" w:eastAsia="仿宋_GB2312"/>
      <w:kern w:val="0"/>
      <w:sz w:val="28"/>
      <w:szCs w:val="28"/>
    </w:rPr>
  </w:style>
  <w:style w:type="character" w:customStyle="1" w:styleId="465">
    <w:name w:val="样式 宁扬 + 仿宋_GB2312 Char"/>
    <w:autoRedefine/>
    <w:qFormat/>
    <w:uiPriority w:val="0"/>
    <w:rPr>
      <w:rFonts w:ascii="仿宋_GB2312" w:hAnsi="仿宋_GB2312" w:eastAsia="仿宋_GB2312"/>
      <w:kern w:val="2"/>
      <w:sz w:val="28"/>
      <w:szCs w:val="28"/>
      <w:lang w:val="en-US" w:eastAsia="zh-CN" w:bidi="ar-SA"/>
    </w:rPr>
  </w:style>
  <w:style w:type="character" w:customStyle="1" w:styleId="466">
    <w:name w:val="文本正文 Char Char"/>
    <w:link w:val="467"/>
    <w:autoRedefine/>
    <w:qFormat/>
    <w:uiPriority w:val="0"/>
    <w:rPr>
      <w:rFonts w:ascii="宋体" w:hAnsi="宋体" w:eastAsia="仿宋_GB2312"/>
      <w:sz w:val="24"/>
      <w:szCs w:val="24"/>
    </w:rPr>
  </w:style>
  <w:style w:type="paragraph" w:customStyle="1" w:styleId="467">
    <w:name w:val="文本正文"/>
    <w:basedOn w:val="1"/>
    <w:link w:val="466"/>
    <w:autoRedefine/>
    <w:qFormat/>
    <w:uiPriority w:val="0"/>
    <w:pPr>
      <w:spacing w:line="360" w:lineRule="auto"/>
      <w:ind w:firstLine="480" w:firstLineChars="200"/>
    </w:pPr>
    <w:rPr>
      <w:rFonts w:ascii="宋体" w:hAnsi="宋体" w:eastAsia="仿宋_GB2312"/>
      <w:kern w:val="0"/>
      <w:sz w:val="24"/>
      <w:szCs w:val="24"/>
    </w:rPr>
  </w:style>
  <w:style w:type="character" w:customStyle="1" w:styleId="468">
    <w:name w:val="表格文字 Char"/>
    <w:link w:val="469"/>
    <w:autoRedefine/>
    <w:qFormat/>
    <w:uiPriority w:val="0"/>
    <w:rPr>
      <w:rFonts w:ascii="宋体" w:hAnsi="宋体"/>
    </w:rPr>
  </w:style>
  <w:style w:type="paragraph" w:customStyle="1" w:styleId="469">
    <w:name w:val="表格文字"/>
    <w:link w:val="468"/>
    <w:qFormat/>
    <w:uiPriority w:val="0"/>
    <w:pPr>
      <w:snapToGrid w:val="0"/>
    </w:pPr>
    <w:rPr>
      <w:rFonts w:ascii="宋体" w:hAnsi="宋体" w:eastAsia="宋体" w:cs="Times New Roman"/>
      <w:lang w:val="en-US" w:eastAsia="zh-CN" w:bidi="ar-SA"/>
    </w:rPr>
  </w:style>
  <w:style w:type="character" w:customStyle="1" w:styleId="470">
    <w:name w:val="纯文本 Char2"/>
    <w:qFormat/>
    <w:uiPriority w:val="0"/>
    <w:rPr>
      <w:rFonts w:hint="eastAsia" w:ascii="宋体" w:hAnsi="Courier New" w:eastAsia="宋体" w:cs="宋体"/>
      <w:b/>
      <w:bCs/>
      <w:snapToGrid w:val="0"/>
      <w:kern w:val="2"/>
      <w:sz w:val="32"/>
      <w:szCs w:val="24"/>
      <w:lang w:val="en-US" w:eastAsia="zh-CN"/>
    </w:rPr>
  </w:style>
  <w:style w:type="character" w:customStyle="1" w:styleId="471">
    <w:name w:val="正文首行缩进 2 Char"/>
    <w:link w:val="472"/>
    <w:autoRedefine/>
    <w:qFormat/>
    <w:uiPriority w:val="0"/>
    <w:rPr>
      <w:rFonts w:ascii="Calibri" w:hAnsi="Calibri"/>
      <w:color w:val="000000"/>
      <w:sz w:val="24"/>
    </w:rPr>
  </w:style>
  <w:style w:type="paragraph" w:customStyle="1" w:styleId="472">
    <w:name w:val="_Style 71"/>
    <w:basedOn w:val="1"/>
    <w:next w:val="145"/>
    <w:link w:val="471"/>
    <w:autoRedefine/>
    <w:unhideWhenUsed/>
    <w:qFormat/>
    <w:uiPriority w:val="0"/>
    <w:pPr>
      <w:adjustRightInd w:val="0"/>
      <w:spacing w:line="360" w:lineRule="atLeast"/>
      <w:ind w:firstLine="420" w:firstLineChars="200"/>
      <w:textAlignment w:val="baseline"/>
    </w:pPr>
    <w:rPr>
      <w:rFonts w:ascii="Calibri" w:hAnsi="Calibri"/>
      <w:color w:val="000000"/>
      <w:kern w:val="0"/>
      <w:sz w:val="24"/>
    </w:rPr>
  </w:style>
  <w:style w:type="character" w:customStyle="1" w:styleId="473">
    <w:name w:val="批注框文本 Char1"/>
    <w:autoRedefine/>
    <w:qFormat/>
    <w:uiPriority w:val="99"/>
    <w:rPr>
      <w:kern w:val="2"/>
      <w:sz w:val="18"/>
      <w:szCs w:val="18"/>
    </w:rPr>
  </w:style>
  <w:style w:type="character" w:customStyle="1" w:styleId="474">
    <w:name w:val="页眉 Char Char Char"/>
    <w:autoRedefine/>
    <w:qFormat/>
    <w:uiPriority w:val="0"/>
    <w:rPr>
      <w:rFonts w:eastAsia="宋体"/>
      <w:kern w:val="2"/>
      <w:sz w:val="18"/>
      <w:szCs w:val="18"/>
      <w:lang w:val="en-US" w:eastAsia="zh-CN" w:bidi="ar-SA"/>
    </w:rPr>
  </w:style>
  <w:style w:type="character" w:customStyle="1" w:styleId="475">
    <w:name w:val="样式 (西文) 仿宋_GB2312"/>
    <w:autoRedefine/>
    <w:qFormat/>
    <w:uiPriority w:val="99"/>
    <w:rPr>
      <w:rFonts w:ascii="仿宋_GB2312" w:hAnsi="仿宋_GB2312" w:eastAsia="宋体"/>
      <w:kern w:val="0"/>
      <w:sz w:val="28"/>
    </w:rPr>
  </w:style>
  <w:style w:type="character" w:customStyle="1" w:styleId="476">
    <w:name w:val="表文字 Char1"/>
    <w:link w:val="305"/>
    <w:autoRedefine/>
    <w:qFormat/>
    <w:uiPriority w:val="0"/>
    <w:rPr>
      <w:color w:val="000000"/>
      <w:w w:val="95"/>
      <w:sz w:val="24"/>
    </w:rPr>
  </w:style>
  <w:style w:type="character" w:customStyle="1" w:styleId="477">
    <w:name w:val="样式 标题 2 + 宋体 Char"/>
    <w:autoRedefine/>
    <w:qFormat/>
    <w:uiPriority w:val="0"/>
    <w:rPr>
      <w:rFonts w:ascii="宋体" w:hAnsi="宋体" w:eastAsia="宋体"/>
      <w:b/>
      <w:bCs/>
      <w:kern w:val="2"/>
      <w:sz w:val="28"/>
      <w:szCs w:val="32"/>
      <w:lang w:val="en-US" w:eastAsia="zh-CN" w:bidi="ar-SA"/>
    </w:rPr>
  </w:style>
  <w:style w:type="character" w:customStyle="1" w:styleId="478">
    <w:name w:val="ca-92"/>
    <w:basedOn w:val="79"/>
    <w:autoRedefine/>
    <w:qFormat/>
    <w:uiPriority w:val="0"/>
  </w:style>
  <w:style w:type="character" w:customStyle="1" w:styleId="479">
    <w:name w:val="标题1.1.1.1.1.1 Char1"/>
    <w:autoRedefine/>
    <w:qFormat/>
    <w:uiPriority w:val="0"/>
    <w:rPr>
      <w:rFonts w:ascii="Arial" w:hAnsi="Arial" w:eastAsia="黑体"/>
      <w:kern w:val="2"/>
      <w:sz w:val="24"/>
      <w:lang w:val="en-US" w:eastAsia="zh-CN" w:bidi="ar-SA"/>
    </w:rPr>
  </w:style>
  <w:style w:type="character" w:customStyle="1" w:styleId="480">
    <w:name w:val="Char Char8"/>
    <w:autoRedefine/>
    <w:qFormat/>
    <w:uiPriority w:val="0"/>
    <w:rPr>
      <w:kern w:val="2"/>
      <w:sz w:val="21"/>
    </w:rPr>
  </w:style>
  <w:style w:type="character" w:customStyle="1" w:styleId="481">
    <w:name w:val="样式 正文缩进 + 四号 Char"/>
    <w:link w:val="482"/>
    <w:qFormat/>
    <w:uiPriority w:val="0"/>
    <w:rPr>
      <w:rFonts w:ascii="宋体"/>
      <w:sz w:val="28"/>
      <w:szCs w:val="24"/>
      <w:lang w:eastAsia="en-US"/>
    </w:rPr>
  </w:style>
  <w:style w:type="paragraph" w:customStyle="1" w:styleId="482">
    <w:name w:val="样式 正文缩进 + 四号"/>
    <w:basedOn w:val="1"/>
    <w:link w:val="481"/>
    <w:autoRedefine/>
    <w:qFormat/>
    <w:uiPriority w:val="0"/>
    <w:pPr>
      <w:widowControl/>
      <w:ind w:firstLine="420" w:firstLineChars="200"/>
    </w:pPr>
    <w:rPr>
      <w:rFonts w:ascii="宋体"/>
      <w:kern w:val="0"/>
      <w:sz w:val="28"/>
      <w:szCs w:val="24"/>
      <w:lang w:eastAsia="en-US"/>
    </w:rPr>
  </w:style>
  <w:style w:type="character" w:customStyle="1" w:styleId="483">
    <w:name w:val="正文文本 Char Char"/>
    <w:autoRedefine/>
    <w:qFormat/>
    <w:uiPriority w:val="0"/>
    <w:rPr>
      <w:rFonts w:eastAsia="宋体"/>
      <w:kern w:val="2"/>
      <w:sz w:val="21"/>
      <w:szCs w:val="24"/>
      <w:lang w:val="en-US" w:eastAsia="zh-CN" w:bidi="ar-SA"/>
    </w:rPr>
  </w:style>
  <w:style w:type="character" w:customStyle="1" w:styleId="484">
    <w:name w:val="Char Char11"/>
    <w:autoRedefine/>
    <w:qFormat/>
    <w:uiPriority w:val="0"/>
    <w:rPr>
      <w:rFonts w:ascii="Arial" w:hAnsi="Arial" w:eastAsia="黑体" w:cs="Times New Roman"/>
      <w:b/>
      <w:bCs/>
      <w:sz w:val="32"/>
      <w:szCs w:val="32"/>
    </w:rPr>
  </w:style>
  <w:style w:type="character" w:customStyle="1" w:styleId="485">
    <w:name w:val="正文1 Char"/>
    <w:autoRedefine/>
    <w:qFormat/>
    <w:uiPriority w:val="0"/>
    <w:rPr>
      <w:rFonts w:hint="eastAsia" w:ascii="宋体" w:hAnsi="宋体" w:eastAsia="宋体" w:cs="宋体"/>
      <w:b/>
      <w:bCs/>
      <w:snapToGrid w:val="0"/>
      <w:color w:val="000000"/>
      <w:spacing w:val="10"/>
      <w:kern w:val="2"/>
      <w:sz w:val="28"/>
      <w:szCs w:val="28"/>
      <w:lang w:val="en-US" w:eastAsia="zh-CN"/>
    </w:rPr>
  </w:style>
  <w:style w:type="character" w:customStyle="1" w:styleId="486">
    <w:name w:val="批注文字 Char1"/>
    <w:autoRedefine/>
    <w:qFormat/>
    <w:uiPriority w:val="99"/>
    <w:rPr>
      <w:rFonts w:ascii="宋体" w:hAnsi="宋体"/>
      <w:kern w:val="2"/>
      <w:sz w:val="21"/>
      <w:szCs w:val="21"/>
    </w:rPr>
  </w:style>
  <w:style w:type="character" w:customStyle="1" w:styleId="487">
    <w:name w:val="00报告正文 Char"/>
    <w:link w:val="488"/>
    <w:autoRedefine/>
    <w:qFormat/>
    <w:uiPriority w:val="0"/>
    <w:rPr>
      <w:rFonts w:ascii="仿宋_GB2312" w:hAnsi="Courier New" w:eastAsia="仿宋_GB2312" w:cs="Courier New"/>
      <w:sz w:val="32"/>
      <w:szCs w:val="21"/>
    </w:rPr>
  </w:style>
  <w:style w:type="paragraph" w:customStyle="1" w:styleId="488">
    <w:name w:val="00报告正文"/>
    <w:basedOn w:val="41"/>
    <w:link w:val="487"/>
    <w:autoRedefine/>
    <w:qFormat/>
    <w:uiPriority w:val="0"/>
    <w:pPr>
      <w:spacing w:line="240" w:lineRule="atLeast"/>
      <w:ind w:firstLine="481" w:firstLineChars="200"/>
    </w:pPr>
    <w:rPr>
      <w:rFonts w:ascii="仿宋_GB2312" w:eastAsia="仿宋_GB2312" w:cs="Courier New"/>
      <w:kern w:val="0"/>
      <w:sz w:val="32"/>
      <w:szCs w:val="21"/>
    </w:rPr>
  </w:style>
  <w:style w:type="character" w:customStyle="1" w:styleId="489">
    <w:name w:val="正文文本缩进 Char"/>
    <w:autoRedefine/>
    <w:qFormat/>
    <w:uiPriority w:val="0"/>
    <w:rPr>
      <w:rFonts w:ascii="Times New Roman" w:hAnsi="Times New Roman"/>
      <w:kern w:val="2"/>
      <w:sz w:val="28"/>
      <w:szCs w:val="24"/>
    </w:rPr>
  </w:style>
  <w:style w:type="character" w:customStyle="1" w:styleId="490">
    <w:name w:val="标题 3 Char1"/>
    <w:autoRedefine/>
    <w:qFormat/>
    <w:uiPriority w:val="0"/>
    <w:rPr>
      <w:rFonts w:hint="default" w:ascii="Times New Roman" w:hAnsi="Times New Roman" w:eastAsia="楷体_GB2312" w:cs="Times New Roman"/>
      <w:b/>
      <w:bCs/>
      <w:snapToGrid w:val="0"/>
      <w:kern w:val="2"/>
      <w:sz w:val="24"/>
      <w:szCs w:val="24"/>
    </w:rPr>
  </w:style>
  <w:style w:type="character" w:customStyle="1" w:styleId="491">
    <w:name w:val="标题 1 Char"/>
    <w:autoRedefine/>
    <w:qFormat/>
    <w:uiPriority w:val="0"/>
    <w:rPr>
      <w:rFonts w:ascii="Calibri" w:hAnsi="Calibri" w:eastAsia="宋体"/>
      <w:b/>
      <w:bCs/>
      <w:kern w:val="44"/>
      <w:sz w:val="36"/>
      <w:szCs w:val="44"/>
    </w:rPr>
  </w:style>
  <w:style w:type="character" w:customStyle="1" w:styleId="492">
    <w:name w:val="Char Char10"/>
    <w:autoRedefine/>
    <w:qFormat/>
    <w:uiPriority w:val="0"/>
    <w:rPr>
      <w:rFonts w:ascii="Times New Roman" w:hAnsi="Times New Roman" w:eastAsia="宋体" w:cs="Times New Roman"/>
      <w:b/>
      <w:bCs/>
      <w:sz w:val="32"/>
      <w:szCs w:val="32"/>
    </w:rPr>
  </w:style>
  <w:style w:type="character" w:customStyle="1" w:styleId="493">
    <w:name w:val="text_img"/>
    <w:autoRedefine/>
    <w:qFormat/>
    <w:uiPriority w:val="0"/>
  </w:style>
  <w:style w:type="character" w:customStyle="1" w:styleId="494">
    <w:name w:val="正文缩进 Char"/>
    <w:autoRedefine/>
    <w:qFormat/>
    <w:uiPriority w:val="0"/>
    <w:rPr>
      <w:rFonts w:ascii="宋体"/>
      <w:kern w:val="2"/>
      <w:sz w:val="28"/>
      <w:szCs w:val="24"/>
    </w:rPr>
  </w:style>
  <w:style w:type="character" w:customStyle="1" w:styleId="495">
    <w:name w:val="正文（首行缩进两字）1 Char"/>
    <w:qFormat/>
    <w:uiPriority w:val="0"/>
    <w:rPr>
      <w:rFonts w:eastAsia="宋体"/>
      <w:kern w:val="2"/>
      <w:sz w:val="21"/>
      <w:szCs w:val="21"/>
      <w:lang w:val="en-US" w:eastAsia="zh-CN" w:bidi="ar-SA"/>
    </w:rPr>
  </w:style>
  <w:style w:type="character" w:customStyle="1" w:styleId="496">
    <w:name w:val="批注文字 Char"/>
    <w:autoRedefine/>
    <w:qFormat/>
    <w:uiPriority w:val="99"/>
    <w:rPr>
      <w:rFonts w:ascii="Calibri" w:hAnsi="Calibri"/>
      <w:kern w:val="2"/>
      <w:sz w:val="28"/>
      <w:szCs w:val="22"/>
    </w:rPr>
  </w:style>
  <w:style w:type="character" w:customStyle="1" w:styleId="497">
    <w:name w:val="正文文字缩进 31 Char Char1"/>
    <w:autoRedefine/>
    <w:qFormat/>
    <w:uiPriority w:val="0"/>
    <w:rPr>
      <w:rFonts w:ascii="宋体" w:hAnsi="宋体" w:eastAsia="宋体"/>
      <w:kern w:val="2"/>
      <w:sz w:val="16"/>
      <w:lang w:val="en-US" w:eastAsia="zh-CN" w:bidi="ar-SA"/>
    </w:rPr>
  </w:style>
  <w:style w:type="character" w:customStyle="1" w:styleId="498">
    <w:name w:val="Char Char101"/>
    <w:autoRedefine/>
    <w:qFormat/>
    <w:uiPriority w:val="0"/>
    <w:rPr>
      <w:rFonts w:ascii="Times New Roman" w:hAnsi="Times New Roman" w:eastAsia="宋体" w:cs="Times New Roman"/>
      <w:b/>
      <w:bCs/>
      <w:sz w:val="32"/>
      <w:szCs w:val="32"/>
    </w:rPr>
  </w:style>
  <w:style w:type="paragraph" w:customStyle="1" w:styleId="499">
    <w:name w:val="xl48"/>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line="360" w:lineRule="auto"/>
      <w:ind w:firstLine="560" w:firstLineChars="200"/>
      <w:jc w:val="left"/>
    </w:pPr>
    <w:rPr>
      <w:rFonts w:ascii="宋体" w:hAnsi="宋体"/>
      <w:kern w:val="0"/>
      <w:sz w:val="20"/>
    </w:rPr>
  </w:style>
  <w:style w:type="paragraph" w:customStyle="1" w:styleId="500">
    <w:name w:val="xl52"/>
    <w:basedOn w:val="1"/>
    <w:autoRedefine/>
    <w:qFormat/>
    <w:uiPriority w:val="99"/>
    <w:pPr>
      <w:widowControl/>
      <w:pBdr>
        <w:bottom w:val="single" w:color="auto" w:sz="4" w:space="0"/>
        <w:right w:val="single" w:color="auto" w:sz="4" w:space="0"/>
      </w:pBdr>
      <w:spacing w:before="100" w:beforeAutospacing="1" w:after="100" w:afterAutospacing="1"/>
      <w:jc w:val="center"/>
    </w:pPr>
    <w:rPr>
      <w:b/>
      <w:bCs/>
      <w:kern w:val="0"/>
      <w:sz w:val="20"/>
    </w:rPr>
  </w:style>
  <w:style w:type="paragraph" w:customStyle="1" w:styleId="501">
    <w:name w:val="样式 正文1 + 首行缩进:  2 字符"/>
    <w:basedOn w:val="1"/>
    <w:autoRedefine/>
    <w:qFormat/>
    <w:uiPriority w:val="0"/>
    <w:pPr>
      <w:adjustRightInd w:val="0"/>
      <w:spacing w:line="360" w:lineRule="atLeast"/>
      <w:ind w:firstLine="200" w:firstLineChars="200"/>
      <w:textAlignment w:val="baseline"/>
    </w:pPr>
    <w:rPr>
      <w:rFonts w:ascii="宋体"/>
    </w:rPr>
  </w:style>
  <w:style w:type="paragraph" w:customStyle="1" w:styleId="502">
    <w:name w:val="xl33"/>
    <w:basedOn w:val="1"/>
    <w:autoRedefine/>
    <w:qFormat/>
    <w:uiPriority w:val="99"/>
    <w:pPr>
      <w:widowControl/>
      <w:pBdr>
        <w:bottom w:val="single" w:color="auto" w:sz="4" w:space="0"/>
        <w:right w:val="single" w:color="auto" w:sz="4" w:space="0"/>
      </w:pBdr>
      <w:spacing w:before="100" w:beforeAutospacing="1" w:after="100" w:afterAutospacing="1"/>
      <w:jc w:val="center"/>
      <w:textAlignment w:val="center"/>
    </w:pPr>
    <w:rPr>
      <w:b/>
      <w:bCs/>
      <w:kern w:val="0"/>
      <w:szCs w:val="21"/>
    </w:rPr>
  </w:style>
  <w:style w:type="paragraph" w:customStyle="1" w:styleId="503">
    <w:name w:val="Char Char3"/>
    <w:basedOn w:val="1"/>
    <w:autoRedefine/>
    <w:qFormat/>
    <w:uiPriority w:val="0"/>
    <w:pPr>
      <w:adjustRightInd w:val="0"/>
      <w:spacing w:line="360" w:lineRule="atLeast"/>
      <w:ind w:firstLine="560" w:firstLineChars="200"/>
      <w:textAlignment w:val="baseline"/>
    </w:pPr>
    <w:rPr>
      <w:rFonts w:ascii="宋体" w:hAnsi="宋体" w:cs="Courier New"/>
      <w:sz w:val="32"/>
      <w:szCs w:val="32"/>
    </w:rPr>
  </w:style>
  <w:style w:type="paragraph" w:customStyle="1" w:styleId="504">
    <w:name w:val="Char Char73"/>
    <w:basedOn w:val="1"/>
    <w:autoRedefine/>
    <w:qFormat/>
    <w:uiPriority w:val="0"/>
    <w:pPr>
      <w:spacing w:line="360" w:lineRule="auto"/>
      <w:ind w:firstLine="560" w:firstLineChars="200"/>
    </w:pPr>
    <w:rPr>
      <w:sz w:val="28"/>
      <w:szCs w:val="24"/>
    </w:rPr>
  </w:style>
  <w:style w:type="paragraph" w:customStyle="1" w:styleId="505">
    <w:name w:val="标题1q"/>
    <w:basedOn w:val="3"/>
    <w:autoRedefine/>
    <w:qFormat/>
    <w:uiPriority w:val="0"/>
    <w:pPr>
      <w:keepNext/>
      <w:keepLines/>
      <w:pageBreakBefore w:val="0"/>
      <w:widowControl/>
      <w:tabs>
        <w:tab w:val="left" w:pos="432"/>
      </w:tabs>
      <w:spacing w:before="240" w:beforeLines="100" w:after="240" w:afterLines="100" w:line="360" w:lineRule="auto"/>
      <w:ind w:left="431" w:firstLine="200" w:firstLineChars="200"/>
      <w:jc w:val="center"/>
    </w:pPr>
    <w:rPr>
      <w:rFonts w:ascii="宋体" w:hAnsi="宋体" w:eastAsia="黑体" w:cs="宋体"/>
      <w:bCs/>
      <w:kern w:val="44"/>
      <w:szCs w:val="32"/>
    </w:rPr>
  </w:style>
  <w:style w:type="paragraph" w:customStyle="1" w:styleId="506">
    <w:name w:val="文档正文"/>
    <w:basedOn w:val="1"/>
    <w:autoRedefine/>
    <w:qFormat/>
    <w:uiPriority w:val="0"/>
    <w:pPr>
      <w:ind w:firstLine="200" w:firstLineChars="200"/>
    </w:pPr>
    <w:rPr>
      <w:sz w:val="28"/>
      <w:szCs w:val="24"/>
    </w:rPr>
  </w:style>
  <w:style w:type="paragraph" w:customStyle="1" w:styleId="507">
    <w:name w:val="表内容"/>
    <w:basedOn w:val="1"/>
    <w:autoRedefine/>
    <w:qFormat/>
    <w:uiPriority w:val="0"/>
    <w:pPr>
      <w:wordWrap w:val="0"/>
      <w:adjustRightInd w:val="0"/>
      <w:snapToGrid w:val="0"/>
      <w:spacing w:line="360" w:lineRule="auto"/>
      <w:ind w:firstLine="560" w:firstLineChars="200"/>
      <w:jc w:val="center"/>
    </w:pPr>
    <w:rPr>
      <w:kern w:val="0"/>
      <w:sz w:val="28"/>
      <w:szCs w:val="24"/>
    </w:rPr>
  </w:style>
  <w:style w:type="paragraph" w:customStyle="1" w:styleId="508">
    <w:name w:val="Char Char3 Char Char Char Char Char Char3"/>
    <w:basedOn w:val="5"/>
    <w:autoRedefine/>
    <w:qFormat/>
    <w:uiPriority w:val="0"/>
    <w:pPr>
      <w:keepNext/>
      <w:keepLines/>
      <w:tabs>
        <w:tab w:val="left" w:pos="360"/>
        <w:tab w:val="left" w:pos="900"/>
      </w:tabs>
      <w:adjustRightInd w:val="0"/>
      <w:snapToGrid w:val="0"/>
      <w:spacing w:beforeLines="50" w:afterLines="50" w:line="360" w:lineRule="auto"/>
      <w:ind w:left="542" w:leftChars="-12" w:firstLine="562" w:firstLineChars="200"/>
      <w:jc w:val="left"/>
      <w:textAlignment w:val="baseline"/>
    </w:pPr>
    <w:rPr>
      <w:rFonts w:ascii="Times New Roman" w:eastAsia="黑体"/>
      <w:bCs/>
      <w:snapToGrid w:val="0"/>
      <w:sz w:val="24"/>
      <w:szCs w:val="24"/>
    </w:rPr>
  </w:style>
  <w:style w:type="paragraph" w:customStyle="1" w:styleId="509">
    <w:name w:val="Char Char3 Char Char Char Char"/>
    <w:basedOn w:val="5"/>
    <w:autoRedefine/>
    <w:qFormat/>
    <w:uiPriority w:val="0"/>
    <w:pPr>
      <w:keepNext/>
      <w:keepLines/>
      <w:tabs>
        <w:tab w:val="left" w:pos="360"/>
        <w:tab w:val="left" w:pos="900"/>
      </w:tabs>
      <w:adjustRightInd w:val="0"/>
      <w:snapToGrid w:val="0"/>
      <w:spacing w:line="360" w:lineRule="auto"/>
      <w:ind w:left="542" w:leftChars="-12" w:firstLine="200" w:firstLineChars="200"/>
      <w:jc w:val="left"/>
    </w:pPr>
    <w:rPr>
      <w:rFonts w:ascii="Times New Roman" w:eastAsia="黑体"/>
      <w:snapToGrid w:val="0"/>
      <w:kern w:val="0"/>
      <w:sz w:val="24"/>
      <w:szCs w:val="24"/>
    </w:rPr>
  </w:style>
  <w:style w:type="paragraph" w:customStyle="1" w:styleId="510">
    <w:name w:val="Char Char1 Char Char Char Char Char Char Char Char Char Char Char Char Char Char"/>
    <w:basedOn w:val="1"/>
    <w:autoRedefine/>
    <w:qFormat/>
    <w:uiPriority w:val="99"/>
    <w:pPr>
      <w:widowControl/>
      <w:spacing w:after="160" w:line="240" w:lineRule="exact"/>
      <w:jc w:val="left"/>
    </w:pPr>
    <w:rPr>
      <w:rFonts w:ascii="Verdana" w:hAnsi="Verdana"/>
      <w:kern w:val="0"/>
      <w:sz w:val="20"/>
      <w:lang w:eastAsia="en-US"/>
    </w:rPr>
  </w:style>
  <w:style w:type="paragraph" w:customStyle="1" w:styleId="511">
    <w:name w:val="章"/>
    <w:basedOn w:val="3"/>
    <w:autoRedefine/>
    <w:qFormat/>
    <w:uiPriority w:val="0"/>
    <w:pPr>
      <w:keepNext/>
      <w:keepLines/>
      <w:widowControl/>
      <w:tabs>
        <w:tab w:val="left" w:pos="2880"/>
      </w:tabs>
      <w:adjustRightInd w:val="0"/>
      <w:spacing w:before="163" w:beforeLines="100" w:after="163" w:afterLines="100" w:line="576" w:lineRule="auto"/>
      <w:ind w:left="425" w:hanging="425"/>
      <w:jc w:val="center"/>
      <w:textAlignment w:val="baseline"/>
    </w:pPr>
    <w:rPr>
      <w:rFonts w:ascii="Calibri" w:hAnsi="Calibri" w:eastAsia="黑体" w:cs="宋体"/>
      <w:bCs/>
      <w:kern w:val="44"/>
    </w:rPr>
  </w:style>
  <w:style w:type="paragraph" w:customStyle="1" w:styleId="512">
    <w:name w:val="Char2 Char Char Char1"/>
    <w:basedOn w:val="1"/>
    <w:autoRedefine/>
    <w:qFormat/>
    <w:uiPriority w:val="0"/>
    <w:pPr>
      <w:spacing w:line="360" w:lineRule="auto"/>
      <w:ind w:firstLine="200" w:firstLineChars="200"/>
    </w:pPr>
    <w:rPr>
      <w:rFonts w:ascii="宋体" w:hAnsi="宋体" w:cs="宋体"/>
      <w:sz w:val="28"/>
      <w:szCs w:val="24"/>
    </w:rPr>
  </w:style>
  <w:style w:type="paragraph" w:customStyle="1" w:styleId="513">
    <w:name w:val="Char Char Char1 Char Char Char Char"/>
    <w:basedOn w:val="1"/>
    <w:next w:val="1"/>
    <w:autoRedefine/>
    <w:qFormat/>
    <w:uiPriority w:val="0"/>
    <w:pPr>
      <w:spacing w:line="360" w:lineRule="auto"/>
      <w:ind w:firstLine="200" w:firstLineChars="200"/>
    </w:pPr>
    <w:rPr>
      <w:rFonts w:ascii="宋体" w:hAnsi="宋体" w:eastAsia="汉鼎简书宋" w:cs="宋体"/>
      <w:sz w:val="28"/>
      <w:szCs w:val="24"/>
    </w:rPr>
  </w:style>
  <w:style w:type="paragraph" w:customStyle="1" w:styleId="514">
    <w:name w:val="Char Char Char Char1"/>
    <w:basedOn w:val="1"/>
    <w:autoRedefine/>
    <w:qFormat/>
    <w:uiPriority w:val="0"/>
    <w:pPr>
      <w:widowControl/>
      <w:spacing w:after="160" w:line="240" w:lineRule="exact"/>
      <w:jc w:val="left"/>
    </w:pPr>
    <w:rPr>
      <w:rFonts w:ascii="Arial" w:hAnsi="Arial" w:eastAsia="Times New Roman" w:cs="Verdana"/>
      <w:b/>
      <w:kern w:val="0"/>
      <w:sz w:val="28"/>
      <w:lang w:eastAsia="en-US"/>
    </w:rPr>
  </w:style>
  <w:style w:type="paragraph" w:customStyle="1" w:styleId="515">
    <w:name w:val="样式 (符号) 宋体 首行缩进:  2 字符"/>
    <w:basedOn w:val="1"/>
    <w:autoRedefine/>
    <w:qFormat/>
    <w:uiPriority w:val="0"/>
    <w:pPr>
      <w:adjustRightInd w:val="0"/>
      <w:snapToGrid w:val="0"/>
    </w:pPr>
    <w:rPr>
      <w:sz w:val="28"/>
      <w:szCs w:val="24"/>
    </w:rPr>
  </w:style>
  <w:style w:type="paragraph" w:customStyle="1" w:styleId="516">
    <w:name w:val="Char Char Char Char Char Char Char Char Char Char"/>
    <w:basedOn w:val="1"/>
    <w:autoRedefine/>
    <w:qFormat/>
    <w:uiPriority w:val="0"/>
    <w:pPr>
      <w:tabs>
        <w:tab w:val="left" w:pos="360"/>
      </w:tabs>
      <w:spacing w:line="360" w:lineRule="auto"/>
      <w:ind w:firstLine="560" w:firstLineChars="200"/>
    </w:pPr>
    <w:rPr>
      <w:rFonts w:ascii="宋体" w:hAnsi="宋体" w:eastAsia="楷体_GB2312"/>
      <w:sz w:val="28"/>
      <w:szCs w:val="21"/>
    </w:rPr>
  </w:style>
  <w:style w:type="paragraph" w:customStyle="1" w:styleId="517">
    <w:name w:val="pa-26"/>
    <w:basedOn w:val="1"/>
    <w:autoRedefine/>
    <w:qFormat/>
    <w:uiPriority w:val="0"/>
    <w:pPr>
      <w:widowControl/>
      <w:spacing w:before="100" w:beforeAutospacing="1" w:after="100" w:afterAutospacing="1"/>
      <w:jc w:val="left"/>
    </w:pPr>
    <w:rPr>
      <w:rFonts w:ascii="宋体" w:hAnsi="宋体" w:cs="宋体"/>
      <w:kern w:val="0"/>
      <w:sz w:val="28"/>
      <w:szCs w:val="24"/>
    </w:rPr>
  </w:style>
  <w:style w:type="paragraph" w:customStyle="1" w:styleId="518">
    <w:name w:val="正文缩进11"/>
    <w:basedOn w:val="1"/>
    <w:autoRedefine/>
    <w:qFormat/>
    <w:uiPriority w:val="0"/>
    <w:pPr>
      <w:spacing w:line="529" w:lineRule="exact"/>
      <w:ind w:firstLine="420" w:firstLineChars="200"/>
    </w:pPr>
    <w:rPr>
      <w:sz w:val="28"/>
    </w:rPr>
  </w:style>
  <w:style w:type="paragraph" w:customStyle="1" w:styleId="519">
    <w:name w:val="列出段落111"/>
    <w:basedOn w:val="1"/>
    <w:qFormat/>
    <w:uiPriority w:val="0"/>
    <w:pPr>
      <w:ind w:firstLine="420" w:firstLineChars="200"/>
    </w:pPr>
    <w:rPr>
      <w:rFonts w:ascii="Calibri" w:hAnsi="Calibri"/>
      <w:szCs w:val="22"/>
    </w:rPr>
  </w:style>
  <w:style w:type="paragraph" w:customStyle="1" w:styleId="520">
    <w:name w:val="xl24"/>
    <w:basedOn w:val="1"/>
    <w:autoRedefine/>
    <w:qFormat/>
    <w:uiPriority w:val="99"/>
    <w:pPr>
      <w:widowControl/>
      <w:adjustRightInd w:val="0"/>
      <w:spacing w:before="100" w:beforeAutospacing="1" w:after="100" w:afterAutospacing="1" w:line="360" w:lineRule="atLeast"/>
      <w:textAlignment w:val="center"/>
    </w:pPr>
    <w:rPr>
      <w:rFonts w:ascii="宋体" w:hAnsi="宋体"/>
      <w:kern w:val="0"/>
      <w:sz w:val="28"/>
    </w:rPr>
  </w:style>
  <w:style w:type="paragraph" w:customStyle="1" w:styleId="521">
    <w:name w:val="Char Char71"/>
    <w:basedOn w:val="1"/>
    <w:qFormat/>
    <w:uiPriority w:val="0"/>
    <w:pPr>
      <w:spacing w:line="360" w:lineRule="auto"/>
      <w:ind w:firstLine="560" w:firstLineChars="200"/>
    </w:pPr>
    <w:rPr>
      <w:sz w:val="28"/>
      <w:szCs w:val="24"/>
    </w:rPr>
  </w:style>
  <w:style w:type="paragraph" w:customStyle="1" w:styleId="522">
    <w:name w:val="pa-8"/>
    <w:basedOn w:val="1"/>
    <w:autoRedefine/>
    <w:qFormat/>
    <w:uiPriority w:val="0"/>
    <w:pPr>
      <w:widowControl/>
      <w:spacing w:before="100" w:beforeAutospacing="1" w:after="100" w:afterAutospacing="1"/>
      <w:jc w:val="left"/>
    </w:pPr>
    <w:rPr>
      <w:rFonts w:ascii="宋体" w:hAnsi="宋体" w:cs="宋体"/>
      <w:kern w:val="0"/>
      <w:sz w:val="28"/>
      <w:szCs w:val="24"/>
    </w:rPr>
  </w:style>
  <w:style w:type="paragraph" w:customStyle="1" w:styleId="523">
    <w:name w:val="标题 4 + 首行缩进:  2 字符1 + 首行缩进:  2 字符"/>
    <w:basedOn w:val="1"/>
    <w:autoRedefine/>
    <w:qFormat/>
    <w:uiPriority w:val="0"/>
    <w:pPr>
      <w:keepNext/>
      <w:keepLines/>
      <w:widowControl/>
      <w:adjustRightInd w:val="0"/>
      <w:snapToGrid w:val="0"/>
      <w:spacing w:beforeLines="100" w:line="360" w:lineRule="auto"/>
      <w:jc w:val="left"/>
      <w:outlineLvl w:val="3"/>
    </w:pPr>
    <w:rPr>
      <w:rFonts w:hAnsi="宋体"/>
      <w:b/>
      <w:bCs/>
      <w:sz w:val="28"/>
      <w:szCs w:val="28"/>
    </w:rPr>
  </w:style>
  <w:style w:type="paragraph" w:customStyle="1" w:styleId="524">
    <w:name w:val="TOC 标题1"/>
    <w:basedOn w:val="3"/>
    <w:next w:val="1"/>
    <w:autoRedefine/>
    <w:qFormat/>
    <w:uiPriority w:val="99"/>
    <w:pPr>
      <w:keepNext/>
      <w:keepLines/>
      <w:pageBreakBefore w:val="0"/>
      <w:widowControl/>
      <w:spacing w:before="480" w:beforeLines="100" w:afterLines="100" w:line="276" w:lineRule="auto"/>
      <w:jc w:val="left"/>
      <w:outlineLvl w:val="9"/>
    </w:pPr>
    <w:rPr>
      <w:rFonts w:ascii="Cambria" w:hAnsi="Cambria" w:eastAsia="黑体"/>
      <w:bCs/>
      <w:color w:val="365F91"/>
      <w:sz w:val="28"/>
      <w:szCs w:val="28"/>
    </w:rPr>
  </w:style>
  <w:style w:type="paragraph" w:customStyle="1" w:styleId="525">
    <w:name w:val="TOC 标题2"/>
    <w:basedOn w:val="3"/>
    <w:next w:val="1"/>
    <w:autoRedefine/>
    <w:qFormat/>
    <w:uiPriority w:val="99"/>
    <w:pPr>
      <w:keepNext/>
      <w:keepLines/>
      <w:pageBreakBefore w:val="0"/>
      <w:widowControl/>
      <w:spacing w:before="480" w:beforeLines="100" w:afterLines="100" w:line="276" w:lineRule="auto"/>
      <w:jc w:val="left"/>
      <w:outlineLvl w:val="9"/>
    </w:pPr>
    <w:rPr>
      <w:rFonts w:ascii="Cambria" w:hAnsi="Cambria" w:eastAsia="黑体"/>
      <w:bCs/>
      <w:color w:val="365F91"/>
      <w:sz w:val="28"/>
      <w:szCs w:val="28"/>
    </w:rPr>
  </w:style>
  <w:style w:type="paragraph" w:customStyle="1" w:styleId="526">
    <w:name w:val="附录表标题"/>
    <w:basedOn w:val="1"/>
    <w:next w:val="1"/>
    <w:autoRedefine/>
    <w:qFormat/>
    <w:uiPriority w:val="0"/>
    <w:pPr>
      <w:spacing w:beforeLines="50" w:afterLines="50"/>
      <w:jc w:val="center"/>
    </w:pPr>
    <w:rPr>
      <w:rFonts w:ascii="黑体" w:eastAsia="黑体"/>
      <w:szCs w:val="21"/>
    </w:rPr>
  </w:style>
  <w:style w:type="paragraph" w:customStyle="1" w:styleId="527">
    <w:name w:val="B表内容"/>
    <w:basedOn w:val="1"/>
    <w:autoRedefine/>
    <w:qFormat/>
    <w:uiPriority w:val="0"/>
    <w:pPr>
      <w:spacing w:line="360" w:lineRule="auto"/>
      <w:ind w:firstLine="560" w:firstLineChars="200"/>
      <w:jc w:val="center"/>
    </w:pPr>
    <w:rPr>
      <w:rFonts w:cs="宋体"/>
      <w:bCs/>
      <w:kern w:val="0"/>
      <w:sz w:val="28"/>
      <w:szCs w:val="24"/>
    </w:rPr>
  </w:style>
  <w:style w:type="paragraph" w:customStyle="1" w:styleId="528">
    <w:name w:val="样式 样式 样式 标题 3 + 仿宋_GB2312 小三 行距: 固定值 20 磅 + 首行缩进:  2 字符 + 首行缩进: ..."/>
    <w:basedOn w:val="1"/>
    <w:autoRedefine/>
    <w:qFormat/>
    <w:uiPriority w:val="0"/>
    <w:pPr>
      <w:keepNext/>
      <w:keepLines/>
      <w:spacing w:beforeLines="50" w:afterLines="50" w:line="360" w:lineRule="auto"/>
      <w:ind w:firstLine="562" w:firstLineChars="200"/>
      <w:outlineLvl w:val="3"/>
    </w:pPr>
    <w:rPr>
      <w:rFonts w:ascii="宋体" w:hAnsi="宋体" w:cs="宋体"/>
      <w:b/>
      <w:bCs/>
      <w:sz w:val="28"/>
      <w:szCs w:val="28"/>
    </w:rPr>
  </w:style>
  <w:style w:type="paragraph" w:customStyle="1" w:styleId="529">
    <w:name w:val="xl61"/>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530">
    <w:name w:val="Char1 Char Char Char Char Char Char Char Char Char Char Char Char"/>
    <w:basedOn w:val="1"/>
    <w:autoRedefine/>
    <w:qFormat/>
    <w:uiPriority w:val="0"/>
    <w:pPr>
      <w:spacing w:line="360" w:lineRule="auto"/>
      <w:ind w:firstLine="560" w:firstLineChars="200"/>
    </w:pPr>
    <w:rPr>
      <w:sz w:val="28"/>
      <w:szCs w:val="24"/>
    </w:rPr>
  </w:style>
  <w:style w:type="paragraph" w:customStyle="1" w:styleId="531">
    <w:name w:val="Char Char Char Char2"/>
    <w:basedOn w:val="1"/>
    <w:autoRedefine/>
    <w:qFormat/>
    <w:uiPriority w:val="0"/>
    <w:rPr>
      <w:rFonts w:eastAsia="仿宋_GB2312"/>
      <w:sz w:val="32"/>
      <w:szCs w:val="24"/>
    </w:rPr>
  </w:style>
  <w:style w:type="paragraph" w:customStyle="1" w:styleId="532">
    <w:name w:val="无间隔1"/>
    <w:autoRedefine/>
    <w:qFormat/>
    <w:uiPriority w:val="99"/>
    <w:pPr>
      <w:widowControl w:val="0"/>
      <w:spacing w:line="360" w:lineRule="auto"/>
      <w:jc w:val="center"/>
    </w:pPr>
    <w:rPr>
      <w:rFonts w:ascii="Times New Roman" w:hAnsi="Times New Roman" w:eastAsia="黑体" w:cs="Times New Roman"/>
      <w:kern w:val="2"/>
      <w:sz w:val="21"/>
      <w:szCs w:val="22"/>
      <w:lang w:val="en-US" w:eastAsia="zh-CN" w:bidi="ar-SA"/>
    </w:rPr>
  </w:style>
  <w:style w:type="paragraph" w:customStyle="1" w:styleId="533">
    <w:name w:val="目录1"/>
    <w:basedOn w:val="1"/>
    <w:next w:val="1"/>
    <w:autoRedefine/>
    <w:qFormat/>
    <w:uiPriority w:val="0"/>
    <w:pPr>
      <w:widowControl/>
      <w:tabs>
        <w:tab w:val="left" w:leader="dot" w:pos="8486"/>
      </w:tabs>
      <w:spacing w:after="102" w:line="861" w:lineRule="atLeast"/>
      <w:ind w:firstLine="419" w:firstLineChars="200"/>
      <w:jc w:val="left"/>
      <w:textAlignment w:val="baseline"/>
    </w:pPr>
    <w:rPr>
      <w:color w:val="000000"/>
      <w:kern w:val="0"/>
      <w:sz w:val="28"/>
      <w:u w:color="000000"/>
    </w:rPr>
  </w:style>
  <w:style w:type="paragraph" w:customStyle="1" w:styleId="534">
    <w:name w:val="reader-word-layer reader-word-s1-1"/>
    <w:basedOn w:val="1"/>
    <w:autoRedefine/>
    <w:qFormat/>
    <w:uiPriority w:val="0"/>
    <w:pPr>
      <w:widowControl/>
      <w:spacing w:before="100" w:beforeAutospacing="1" w:after="100" w:afterAutospacing="1"/>
      <w:jc w:val="left"/>
    </w:pPr>
    <w:rPr>
      <w:rFonts w:ascii="宋体" w:hAnsi="宋体" w:cs="宋体"/>
      <w:kern w:val="0"/>
      <w:sz w:val="28"/>
      <w:szCs w:val="24"/>
    </w:rPr>
  </w:style>
  <w:style w:type="paragraph" w:customStyle="1" w:styleId="535">
    <w:name w:val="xl58"/>
    <w:basedOn w:val="1"/>
    <w:autoRedefine/>
    <w:qFormat/>
    <w:uiPriority w:val="99"/>
    <w:pPr>
      <w:widowControl/>
      <w:pBdr>
        <w:bottom w:val="single" w:color="auto" w:sz="4" w:space="0"/>
        <w:right w:val="single" w:color="auto" w:sz="4" w:space="0"/>
      </w:pBdr>
      <w:spacing w:before="100" w:beforeAutospacing="1" w:after="100" w:afterAutospacing="1"/>
      <w:jc w:val="center"/>
    </w:pPr>
    <w:rPr>
      <w:color w:val="000000"/>
      <w:kern w:val="0"/>
      <w:sz w:val="20"/>
    </w:rPr>
  </w:style>
  <w:style w:type="paragraph" w:customStyle="1" w:styleId="536">
    <w:name w:val="_Style 1"/>
    <w:basedOn w:val="1"/>
    <w:autoRedefine/>
    <w:qFormat/>
    <w:uiPriority w:val="0"/>
    <w:pPr>
      <w:widowControl/>
      <w:jc w:val="left"/>
    </w:pPr>
    <w:rPr>
      <w:rFonts w:ascii="Calibri" w:hAnsi="Calibri"/>
      <w:kern w:val="0"/>
      <w:sz w:val="28"/>
      <w:szCs w:val="32"/>
      <w:lang w:bidi="en-US"/>
    </w:rPr>
  </w:style>
  <w:style w:type="paragraph" w:customStyle="1" w:styleId="537">
    <w:name w:val="审批日期"/>
    <w:next w:val="1"/>
    <w:autoRedefine/>
    <w:qFormat/>
    <w:uiPriority w:val="99"/>
    <w:pPr>
      <w:spacing w:line="360" w:lineRule="auto"/>
      <w:jc w:val="center"/>
    </w:pPr>
    <w:rPr>
      <w:rFonts w:ascii="宋体" w:hAnsi="宋体" w:eastAsia="宋体" w:cs="Times New Roman"/>
      <w:b/>
      <w:bCs/>
      <w:color w:val="000000"/>
      <w:kern w:val="2"/>
      <w:sz w:val="32"/>
      <w:szCs w:val="32"/>
      <w:lang w:val="en-US" w:eastAsia="zh-CN" w:bidi="ar-SA"/>
    </w:rPr>
  </w:style>
  <w:style w:type="paragraph" w:customStyle="1" w:styleId="538">
    <w:name w:val="bg正文首行缩进"/>
    <w:basedOn w:val="1"/>
    <w:autoRedefine/>
    <w:qFormat/>
    <w:uiPriority w:val="0"/>
    <w:pPr>
      <w:spacing w:line="400" w:lineRule="exact"/>
      <w:ind w:firstLine="482"/>
    </w:pPr>
    <w:rPr>
      <w:sz w:val="28"/>
    </w:rPr>
  </w:style>
  <w:style w:type="paragraph" w:customStyle="1" w:styleId="539">
    <w:name w:val="Char Char7"/>
    <w:basedOn w:val="1"/>
    <w:autoRedefine/>
    <w:qFormat/>
    <w:uiPriority w:val="0"/>
    <w:pPr>
      <w:spacing w:line="360" w:lineRule="auto"/>
      <w:ind w:firstLine="560" w:firstLineChars="200"/>
    </w:pPr>
    <w:rPr>
      <w:sz w:val="28"/>
      <w:szCs w:val="24"/>
    </w:rPr>
  </w:style>
  <w:style w:type="paragraph" w:customStyle="1" w:styleId="540">
    <w:name w:val="表格1"/>
    <w:basedOn w:val="1"/>
    <w:qFormat/>
    <w:uiPriority w:val="0"/>
    <w:pPr>
      <w:spacing w:line="260" w:lineRule="exact"/>
      <w:jc w:val="center"/>
    </w:pPr>
    <w:rPr>
      <w:rFonts w:eastAsia="仿宋_GB2312"/>
      <w:szCs w:val="22"/>
    </w:rPr>
  </w:style>
  <w:style w:type="paragraph" w:customStyle="1" w:styleId="541">
    <w:name w:val="Char Char72"/>
    <w:basedOn w:val="1"/>
    <w:autoRedefine/>
    <w:qFormat/>
    <w:uiPriority w:val="0"/>
    <w:pPr>
      <w:spacing w:line="360" w:lineRule="auto"/>
      <w:ind w:firstLine="560" w:firstLineChars="200"/>
    </w:pPr>
    <w:rPr>
      <w:sz w:val="28"/>
      <w:szCs w:val="24"/>
    </w:rPr>
  </w:style>
  <w:style w:type="paragraph" w:customStyle="1" w:styleId="542">
    <w:name w:val="xl34"/>
    <w:basedOn w:val="1"/>
    <w:autoRedefine/>
    <w:qFormat/>
    <w:uiPriority w:val="99"/>
    <w:pPr>
      <w:widowControl/>
      <w:pBdr>
        <w:top w:val="single" w:color="000000" w:sz="4" w:space="0"/>
        <w:left w:val="single" w:color="000000" w:sz="4" w:space="0"/>
        <w:right w:val="single" w:color="000000" w:sz="4" w:space="0"/>
      </w:pBdr>
      <w:spacing w:before="100" w:beforeAutospacing="1" w:after="100" w:afterAutospacing="1" w:line="360" w:lineRule="auto"/>
      <w:ind w:firstLine="560" w:firstLineChars="200"/>
      <w:jc w:val="left"/>
    </w:pPr>
    <w:rPr>
      <w:rFonts w:ascii="宋体" w:hAnsi="宋体"/>
      <w:kern w:val="0"/>
      <w:sz w:val="18"/>
      <w:szCs w:val="18"/>
    </w:rPr>
  </w:style>
  <w:style w:type="paragraph" w:customStyle="1" w:styleId="543">
    <w:name w:val="样式2"/>
    <w:basedOn w:val="448"/>
    <w:autoRedefine/>
    <w:qFormat/>
    <w:uiPriority w:val="99"/>
    <w:pPr>
      <w:spacing w:line="540" w:lineRule="exact"/>
      <w:ind w:firstLine="562"/>
      <w:jc w:val="both"/>
    </w:pPr>
    <w:rPr>
      <w:rFonts w:hAnsi="宋体"/>
      <w:b/>
      <w:bCs/>
      <w:snapToGrid w:val="0"/>
      <w:szCs w:val="28"/>
    </w:rPr>
  </w:style>
  <w:style w:type="paragraph" w:customStyle="1" w:styleId="544">
    <w:name w:val="xl32"/>
    <w:basedOn w:val="1"/>
    <w:autoRedefine/>
    <w:qFormat/>
    <w:uiPriority w:val="99"/>
    <w:pPr>
      <w:widowControl/>
      <w:pBdr>
        <w:bottom w:val="single" w:color="auto" w:sz="4" w:space="0"/>
        <w:right w:val="single" w:color="auto" w:sz="4" w:space="0"/>
      </w:pBdr>
      <w:spacing w:before="100" w:beforeAutospacing="1" w:after="100" w:afterAutospacing="1"/>
      <w:jc w:val="center"/>
      <w:textAlignment w:val="center"/>
    </w:pPr>
    <w:rPr>
      <w:rFonts w:ascii="Arial Unicode MS" w:hAnsi="Arial Unicode MS"/>
      <w:color w:val="FF0000"/>
      <w:kern w:val="0"/>
      <w:szCs w:val="21"/>
    </w:rPr>
  </w:style>
  <w:style w:type="paragraph" w:customStyle="1" w:styleId="545">
    <w:name w:val="yxx_正文"/>
    <w:basedOn w:val="1"/>
    <w:autoRedefine/>
    <w:qFormat/>
    <w:uiPriority w:val="0"/>
    <w:pPr>
      <w:adjustRightInd w:val="0"/>
      <w:spacing w:line="360" w:lineRule="auto"/>
      <w:ind w:firstLine="480" w:firstLineChars="200"/>
      <w:textAlignment w:val="baseline"/>
    </w:pPr>
    <w:rPr>
      <w:rFonts w:eastAsia="仿宋_GB2312"/>
      <w:kern w:val="0"/>
      <w:sz w:val="28"/>
    </w:rPr>
  </w:style>
  <w:style w:type="paragraph" w:customStyle="1" w:styleId="546">
    <w:name w:val="Char Char Char1 Char Char Char Char1"/>
    <w:basedOn w:val="1"/>
    <w:next w:val="1"/>
    <w:autoRedefine/>
    <w:qFormat/>
    <w:uiPriority w:val="0"/>
    <w:pPr>
      <w:spacing w:line="360" w:lineRule="auto"/>
      <w:ind w:firstLine="200" w:firstLineChars="200"/>
    </w:pPr>
    <w:rPr>
      <w:rFonts w:ascii="宋体" w:hAnsi="宋体" w:eastAsia="汉鼎简书宋" w:cs="宋体"/>
      <w:sz w:val="28"/>
      <w:szCs w:val="24"/>
    </w:rPr>
  </w:style>
  <w:style w:type="paragraph" w:customStyle="1" w:styleId="547">
    <w:name w:val="样式 标题 4 + 宋体"/>
    <w:basedOn w:val="6"/>
    <w:autoRedefine/>
    <w:qFormat/>
    <w:uiPriority w:val="0"/>
    <w:pPr>
      <w:adjustRightInd/>
      <w:snapToGrid/>
      <w:spacing w:line="540" w:lineRule="exact"/>
      <w:ind w:firstLine="0" w:firstLineChars="0"/>
      <w:jc w:val="center"/>
    </w:pPr>
    <w:rPr>
      <w:rFonts w:ascii="宋体" w:hAnsi="宋体"/>
      <w:b w:val="0"/>
      <w:kern w:val="0"/>
      <w:sz w:val="28"/>
      <w:szCs w:val="28"/>
    </w:rPr>
  </w:style>
  <w:style w:type="paragraph" w:customStyle="1" w:styleId="548">
    <w:name w:val="样式 首行缩进:  1.5 字符"/>
    <w:basedOn w:val="1"/>
    <w:autoRedefine/>
    <w:qFormat/>
    <w:uiPriority w:val="0"/>
    <w:pPr>
      <w:tabs>
        <w:tab w:val="left" w:pos="1320"/>
      </w:tabs>
      <w:spacing w:before="100" w:beforeAutospacing="1" w:after="100" w:afterAutospacing="1" w:line="560" w:lineRule="exact"/>
      <w:ind w:firstLine="533" w:firstLineChars="200"/>
    </w:pPr>
    <w:rPr>
      <w:rFonts w:eastAsia="仿宋_GB2312" w:cs="宋体"/>
      <w:b/>
      <w:sz w:val="28"/>
    </w:rPr>
  </w:style>
  <w:style w:type="paragraph" w:customStyle="1" w:styleId="549">
    <w:name w:val="xl35"/>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kern w:val="0"/>
      <w:sz w:val="20"/>
    </w:rPr>
  </w:style>
  <w:style w:type="paragraph" w:customStyle="1" w:styleId="550">
    <w:name w:val="xl62"/>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551">
    <w:name w:val="正文缩进2字"/>
    <w:autoRedefine/>
    <w:qFormat/>
    <w:uiPriority w:val="0"/>
    <w:pPr>
      <w:snapToGrid w:val="0"/>
      <w:spacing w:beforeLines="50" w:line="360" w:lineRule="auto"/>
      <w:ind w:firstLine="200" w:firstLineChars="200"/>
    </w:pPr>
    <w:rPr>
      <w:rFonts w:ascii="Times New Roman" w:hAnsi="Times New Roman" w:eastAsia="仿宋_GB2312" w:cs="Times New Roman"/>
      <w:kern w:val="2"/>
      <w:sz w:val="24"/>
      <w:szCs w:val="24"/>
      <w:lang w:val="en-US" w:eastAsia="zh-CN" w:bidi="ar-SA"/>
    </w:rPr>
  </w:style>
  <w:style w:type="paragraph" w:customStyle="1" w:styleId="552">
    <w:name w:val="001"/>
    <w:basedOn w:val="553"/>
    <w:autoRedefine/>
    <w:qFormat/>
    <w:uiPriority w:val="0"/>
    <w:pPr>
      <w:ind w:firstLine="560"/>
    </w:pPr>
    <w:rPr>
      <w:snapToGrid w:val="0"/>
      <w:spacing w:val="-4"/>
      <w:kern w:val="0"/>
    </w:rPr>
  </w:style>
  <w:style w:type="paragraph" w:customStyle="1" w:styleId="553">
    <w:name w:val="0905正文样式"/>
    <w:basedOn w:val="1"/>
    <w:autoRedefine/>
    <w:qFormat/>
    <w:uiPriority w:val="0"/>
    <w:pPr>
      <w:adjustRightInd w:val="0"/>
      <w:snapToGrid w:val="0"/>
      <w:spacing w:line="336" w:lineRule="auto"/>
      <w:ind w:firstLine="200" w:firstLineChars="200"/>
    </w:pPr>
  </w:style>
  <w:style w:type="paragraph" w:customStyle="1" w:styleId="554">
    <w:name w:val="Char4 Char Char Char Char Char Char1"/>
    <w:basedOn w:val="1"/>
    <w:autoRedefine/>
    <w:qFormat/>
    <w:uiPriority w:val="0"/>
    <w:pPr>
      <w:spacing w:line="360" w:lineRule="auto"/>
      <w:ind w:firstLine="200" w:firstLineChars="200"/>
    </w:pPr>
  </w:style>
  <w:style w:type="paragraph" w:customStyle="1" w:styleId="555">
    <w:name w:val="表名"/>
    <w:basedOn w:val="41"/>
    <w:autoRedefine/>
    <w:qFormat/>
    <w:uiPriority w:val="99"/>
    <w:pPr>
      <w:spacing w:line="360" w:lineRule="atLeast"/>
      <w:jc w:val="center"/>
      <w:textAlignment w:val="baseline"/>
    </w:pPr>
    <w:rPr>
      <w:rFonts w:eastAsia="黑体" w:cs="宋体"/>
      <w:kern w:val="0"/>
    </w:rPr>
  </w:style>
  <w:style w:type="paragraph" w:customStyle="1" w:styleId="556">
    <w:name w:val="Char Char3 Char Char Char Char Char Char"/>
    <w:basedOn w:val="5"/>
    <w:autoRedefine/>
    <w:qFormat/>
    <w:uiPriority w:val="0"/>
    <w:pPr>
      <w:keepNext/>
      <w:keepLines/>
      <w:tabs>
        <w:tab w:val="left" w:pos="360"/>
        <w:tab w:val="left" w:pos="900"/>
      </w:tabs>
      <w:adjustRightInd w:val="0"/>
      <w:snapToGrid w:val="0"/>
      <w:spacing w:beforeLines="50" w:afterLines="50" w:line="360" w:lineRule="auto"/>
      <w:ind w:left="542" w:leftChars="-12" w:firstLine="200" w:firstLineChars="200"/>
      <w:jc w:val="left"/>
    </w:pPr>
    <w:rPr>
      <w:rFonts w:ascii="Times New Roman" w:eastAsia="黑体"/>
      <w:snapToGrid w:val="0"/>
      <w:sz w:val="24"/>
      <w:szCs w:val="24"/>
    </w:rPr>
  </w:style>
  <w:style w:type="paragraph" w:customStyle="1" w:styleId="557">
    <w:name w:val="Char111"/>
    <w:basedOn w:val="1"/>
    <w:autoRedefine/>
    <w:qFormat/>
    <w:uiPriority w:val="0"/>
    <w:pPr>
      <w:snapToGrid w:val="0"/>
      <w:spacing w:line="360" w:lineRule="auto"/>
      <w:ind w:firstLine="200" w:firstLineChars="200"/>
    </w:pPr>
    <w:rPr>
      <w:rFonts w:eastAsia="仿宋_GB2312"/>
      <w:sz w:val="28"/>
      <w:szCs w:val="24"/>
    </w:rPr>
  </w:style>
  <w:style w:type="paragraph" w:customStyle="1" w:styleId="558">
    <w:name w:val="33333333"/>
    <w:basedOn w:val="5"/>
    <w:autoRedefine/>
    <w:qFormat/>
    <w:uiPriority w:val="0"/>
    <w:pPr>
      <w:keepNext/>
      <w:keepLines/>
      <w:adjustRightInd w:val="0"/>
      <w:snapToGrid w:val="0"/>
      <w:spacing w:line="500" w:lineRule="exact"/>
      <w:ind w:firstLine="562" w:firstLineChars="200"/>
    </w:pPr>
    <w:rPr>
      <w:rFonts w:ascii="Times New Roman" w:eastAsia="黑体"/>
      <w:bCs/>
      <w:sz w:val="28"/>
      <w:szCs w:val="28"/>
    </w:rPr>
  </w:style>
  <w:style w:type="paragraph" w:customStyle="1" w:styleId="559">
    <w:name w:val="xl46"/>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560">
    <w:name w:val="xl51"/>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0"/>
    </w:rPr>
  </w:style>
  <w:style w:type="paragraph" w:customStyle="1" w:styleId="561">
    <w:name w:val="xl47"/>
    <w:basedOn w:val="1"/>
    <w:autoRedefine/>
    <w:qFormat/>
    <w:uiPriority w:val="99"/>
    <w:pPr>
      <w:widowControl/>
      <w:pBdr>
        <w:bottom w:val="single" w:color="auto" w:sz="4" w:space="0"/>
        <w:right w:val="single" w:color="auto" w:sz="4" w:space="0"/>
      </w:pBdr>
      <w:spacing w:before="100" w:beforeAutospacing="1" w:after="100" w:afterAutospacing="1"/>
      <w:jc w:val="left"/>
      <w:textAlignment w:val="center"/>
    </w:pPr>
    <w:rPr>
      <w:rFonts w:ascii="Arial Unicode MS" w:hAnsi="Arial Unicode MS"/>
      <w:b/>
      <w:bCs/>
      <w:kern w:val="0"/>
      <w:sz w:val="20"/>
    </w:rPr>
  </w:style>
  <w:style w:type="paragraph" w:customStyle="1" w:styleId="562">
    <w:name w:val="xl55"/>
    <w:basedOn w:val="1"/>
    <w:autoRedefine/>
    <w:qFormat/>
    <w:uiPriority w:val="99"/>
    <w:pPr>
      <w:widowControl/>
      <w:pBdr>
        <w:bottom w:val="single" w:color="auto" w:sz="4" w:space="0"/>
        <w:right w:val="single" w:color="auto" w:sz="4" w:space="0"/>
      </w:pBdr>
      <w:spacing w:before="100" w:beforeAutospacing="1" w:after="100" w:afterAutospacing="1"/>
      <w:jc w:val="center"/>
    </w:pPr>
    <w:rPr>
      <w:color w:val="000000"/>
      <w:kern w:val="0"/>
      <w:sz w:val="20"/>
    </w:rPr>
  </w:style>
  <w:style w:type="paragraph" w:customStyle="1" w:styleId="563">
    <w:name w:val="xl37"/>
    <w:basedOn w:val="1"/>
    <w:autoRedefine/>
    <w:qFormat/>
    <w:uiPriority w:val="99"/>
    <w:pPr>
      <w:widowControl/>
      <w:pBdr>
        <w:bottom w:val="single" w:color="auto" w:sz="4" w:space="0"/>
        <w:right w:val="single" w:color="auto" w:sz="4" w:space="0"/>
      </w:pBdr>
      <w:spacing w:before="100" w:beforeAutospacing="1" w:after="100" w:afterAutospacing="1"/>
      <w:jc w:val="center"/>
    </w:pPr>
    <w:rPr>
      <w:kern w:val="0"/>
      <w:sz w:val="20"/>
    </w:rPr>
  </w:style>
  <w:style w:type="paragraph" w:customStyle="1" w:styleId="564">
    <w:name w:val="列出段落11"/>
    <w:basedOn w:val="1"/>
    <w:autoRedefine/>
    <w:qFormat/>
    <w:uiPriority w:val="0"/>
    <w:pPr>
      <w:ind w:firstLine="420" w:firstLineChars="200"/>
    </w:pPr>
    <w:rPr>
      <w:rFonts w:ascii="Calibri" w:hAnsi="Calibri"/>
      <w:szCs w:val="22"/>
    </w:rPr>
  </w:style>
  <w:style w:type="paragraph" w:customStyle="1" w:styleId="565">
    <w:name w:val="默认段落字体 Para Char Char Char Char"/>
    <w:basedOn w:val="1"/>
    <w:next w:val="3"/>
    <w:autoRedefine/>
    <w:qFormat/>
    <w:uiPriority w:val="99"/>
    <w:rPr>
      <w:szCs w:val="24"/>
    </w:rPr>
  </w:style>
  <w:style w:type="paragraph" w:customStyle="1" w:styleId="566">
    <w:name w:val="Char Char Char Char Char Char Char Char Char1 Char Char Char Char"/>
    <w:basedOn w:val="1"/>
    <w:autoRedefine/>
    <w:qFormat/>
    <w:uiPriority w:val="0"/>
    <w:pPr>
      <w:spacing w:line="360" w:lineRule="auto"/>
      <w:ind w:firstLine="200" w:firstLineChars="200"/>
    </w:pPr>
    <w:rPr>
      <w:rFonts w:ascii="宋体" w:hAnsi="宋体"/>
      <w:sz w:val="28"/>
    </w:rPr>
  </w:style>
  <w:style w:type="paragraph" w:customStyle="1" w:styleId="567">
    <w:name w:val="初设正文"/>
    <w:basedOn w:val="1"/>
    <w:autoRedefine/>
    <w:qFormat/>
    <w:uiPriority w:val="0"/>
    <w:pPr>
      <w:spacing w:after="120" w:line="440" w:lineRule="exact"/>
      <w:ind w:left="425" w:firstLine="425"/>
    </w:pPr>
    <w:rPr>
      <w:rFonts w:ascii="Arial" w:hAnsi="Arial"/>
      <w:kern w:val="0"/>
      <w:sz w:val="28"/>
    </w:rPr>
  </w:style>
  <w:style w:type="paragraph" w:customStyle="1" w:styleId="568">
    <w:name w:val="2"/>
    <w:basedOn w:val="1"/>
    <w:next w:val="32"/>
    <w:autoRedefine/>
    <w:qFormat/>
    <w:uiPriority w:val="99"/>
    <w:pPr>
      <w:adjustRightInd w:val="0"/>
      <w:spacing w:line="360" w:lineRule="atLeast"/>
      <w:ind w:firstLine="600"/>
      <w:textAlignment w:val="baseline"/>
    </w:pPr>
    <w:rPr>
      <w:rFonts w:ascii="宋体"/>
      <w:sz w:val="30"/>
    </w:rPr>
  </w:style>
  <w:style w:type="paragraph" w:customStyle="1" w:styleId="569">
    <w:name w:val="xl36"/>
    <w:basedOn w:val="1"/>
    <w:qFormat/>
    <w:uiPriority w:val="99"/>
    <w:pPr>
      <w:widowControl/>
      <w:pBdr>
        <w:bottom w:val="single" w:color="auto" w:sz="4" w:space="0"/>
        <w:right w:val="single" w:color="auto" w:sz="4" w:space="0"/>
      </w:pBdr>
      <w:spacing w:before="100" w:beforeAutospacing="1" w:after="100" w:afterAutospacing="1"/>
    </w:pPr>
    <w:rPr>
      <w:rFonts w:ascii="Arial Unicode MS" w:hAnsi="Arial Unicode MS"/>
      <w:b/>
      <w:bCs/>
      <w:kern w:val="0"/>
      <w:sz w:val="20"/>
    </w:rPr>
  </w:style>
  <w:style w:type="paragraph" w:customStyle="1" w:styleId="570">
    <w:name w:val="xl30"/>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Cs w:val="21"/>
    </w:rPr>
  </w:style>
  <w:style w:type="paragraph" w:customStyle="1" w:styleId="571">
    <w:name w:val="reader-word-layer reader-word-s5-14"/>
    <w:basedOn w:val="1"/>
    <w:autoRedefine/>
    <w:qFormat/>
    <w:uiPriority w:val="0"/>
    <w:pPr>
      <w:widowControl/>
      <w:spacing w:before="100" w:beforeAutospacing="1" w:after="100" w:afterAutospacing="1"/>
      <w:jc w:val="left"/>
    </w:pPr>
    <w:rPr>
      <w:rFonts w:ascii="宋体" w:hAnsi="宋体" w:cs="宋体"/>
      <w:kern w:val="0"/>
      <w:sz w:val="28"/>
      <w:szCs w:val="24"/>
    </w:rPr>
  </w:style>
  <w:style w:type="paragraph" w:customStyle="1" w:styleId="572">
    <w:name w:val="首行缩进2"/>
    <w:basedOn w:val="1"/>
    <w:autoRedefine/>
    <w:qFormat/>
    <w:uiPriority w:val="0"/>
    <w:pPr>
      <w:spacing w:line="360" w:lineRule="auto"/>
      <w:ind w:firstLine="482"/>
    </w:pPr>
    <w:rPr>
      <w:sz w:val="28"/>
      <w:szCs w:val="24"/>
    </w:rPr>
  </w:style>
  <w:style w:type="paragraph" w:customStyle="1" w:styleId="573">
    <w:name w:val="xl28"/>
    <w:basedOn w:val="1"/>
    <w:autoRedefine/>
    <w:qFormat/>
    <w:uiPriority w:val="99"/>
    <w:pPr>
      <w:widowControl/>
      <w:pBdr>
        <w:bottom w:val="single" w:color="auto" w:sz="4" w:space="0"/>
        <w:right w:val="single" w:color="auto" w:sz="4" w:space="0"/>
      </w:pBdr>
      <w:spacing w:before="100" w:beforeAutospacing="1" w:after="100" w:afterAutospacing="1"/>
      <w:jc w:val="center"/>
    </w:pPr>
    <w:rPr>
      <w:rFonts w:ascii="Arial Unicode MS" w:hAnsi="Arial Unicode MS"/>
      <w:b/>
      <w:bCs/>
      <w:color w:val="FF0000"/>
      <w:kern w:val="0"/>
      <w:szCs w:val="21"/>
    </w:rPr>
  </w:style>
  <w:style w:type="paragraph" w:customStyle="1" w:styleId="574">
    <w:name w:val="xl39"/>
    <w:basedOn w:val="1"/>
    <w:qFormat/>
    <w:uiPriority w:val="99"/>
    <w:pPr>
      <w:widowControl/>
      <w:pBdr>
        <w:bottom w:val="single" w:color="auto" w:sz="4" w:space="0"/>
        <w:right w:val="single" w:color="auto" w:sz="4" w:space="0"/>
      </w:pBdr>
      <w:spacing w:before="100" w:beforeAutospacing="1" w:after="100" w:afterAutospacing="1"/>
      <w:jc w:val="center"/>
    </w:pPr>
    <w:rPr>
      <w:kern w:val="0"/>
      <w:sz w:val="20"/>
    </w:rPr>
  </w:style>
  <w:style w:type="paragraph" w:customStyle="1" w:styleId="575">
    <w:name w:val="纯文本11"/>
    <w:basedOn w:val="1"/>
    <w:autoRedefine/>
    <w:qFormat/>
    <w:uiPriority w:val="0"/>
    <w:rPr>
      <w:rFonts w:ascii="宋体" w:hAnsi="Courier New" w:eastAsia="仿宋_GB2312"/>
      <w:sz w:val="28"/>
    </w:rPr>
  </w:style>
  <w:style w:type="paragraph" w:customStyle="1" w:styleId="576">
    <w:name w:val="正文缩进1"/>
    <w:basedOn w:val="1"/>
    <w:autoRedefine/>
    <w:qFormat/>
    <w:uiPriority w:val="0"/>
    <w:pPr>
      <w:spacing w:line="529" w:lineRule="exact"/>
      <w:ind w:firstLine="420" w:firstLineChars="200"/>
    </w:pPr>
    <w:rPr>
      <w:sz w:val="28"/>
    </w:rPr>
  </w:style>
  <w:style w:type="paragraph" w:customStyle="1" w:styleId="577">
    <w:name w:val="节"/>
    <w:basedOn w:val="511"/>
    <w:autoRedefine/>
    <w:qFormat/>
    <w:uiPriority w:val="0"/>
    <w:pPr>
      <w:tabs>
        <w:tab w:val="left" w:pos="0"/>
        <w:tab w:val="left" w:pos="425"/>
        <w:tab w:val="clear" w:pos="2880"/>
      </w:tabs>
      <w:jc w:val="both"/>
      <w:outlineLvl w:val="1"/>
    </w:pPr>
    <w:rPr>
      <w:sz w:val="30"/>
    </w:rPr>
  </w:style>
  <w:style w:type="paragraph" w:customStyle="1" w:styleId="578">
    <w:name w:val="表文"/>
    <w:basedOn w:val="1"/>
    <w:autoRedefine/>
    <w:qFormat/>
    <w:uiPriority w:val="0"/>
    <w:pPr>
      <w:autoSpaceDE w:val="0"/>
      <w:autoSpaceDN w:val="0"/>
      <w:adjustRightInd w:val="0"/>
      <w:spacing w:line="360" w:lineRule="exact"/>
      <w:jc w:val="center"/>
      <w:textAlignment w:val="baseline"/>
    </w:pPr>
    <w:rPr>
      <w:rFonts w:eastAsia="仿宋_GB2312"/>
      <w:b/>
      <w:bCs/>
      <w:kern w:val="0"/>
      <w:sz w:val="18"/>
    </w:rPr>
  </w:style>
  <w:style w:type="paragraph" w:customStyle="1" w:styleId="579">
    <w:name w:val="论文正文"/>
    <w:basedOn w:val="1"/>
    <w:autoRedefine/>
    <w:qFormat/>
    <w:uiPriority w:val="0"/>
    <w:pPr>
      <w:spacing w:line="300" w:lineRule="auto"/>
      <w:ind w:firstLine="200" w:firstLineChars="200"/>
    </w:pPr>
    <w:rPr>
      <w:sz w:val="28"/>
      <w:szCs w:val="24"/>
    </w:rPr>
  </w:style>
  <w:style w:type="paragraph" w:customStyle="1" w:styleId="580">
    <w:name w:val="Char Char3 Char Char Char Char Char Char2"/>
    <w:basedOn w:val="5"/>
    <w:autoRedefine/>
    <w:qFormat/>
    <w:uiPriority w:val="0"/>
    <w:pPr>
      <w:keepNext/>
      <w:keepLines/>
      <w:tabs>
        <w:tab w:val="left" w:pos="360"/>
        <w:tab w:val="left" w:pos="900"/>
      </w:tabs>
      <w:adjustRightInd w:val="0"/>
      <w:snapToGrid w:val="0"/>
      <w:spacing w:beforeLines="50" w:afterLines="50" w:line="360" w:lineRule="auto"/>
      <w:ind w:left="542" w:leftChars="-12" w:firstLine="562" w:firstLineChars="200"/>
      <w:jc w:val="left"/>
      <w:textAlignment w:val="baseline"/>
    </w:pPr>
    <w:rPr>
      <w:rFonts w:ascii="Times New Roman" w:eastAsia="黑体"/>
      <w:bCs/>
      <w:snapToGrid w:val="0"/>
      <w:sz w:val="24"/>
      <w:szCs w:val="24"/>
    </w:rPr>
  </w:style>
  <w:style w:type="paragraph" w:customStyle="1" w:styleId="581">
    <w:name w:val="xl53"/>
    <w:basedOn w:val="1"/>
    <w:autoRedefine/>
    <w:qFormat/>
    <w:uiPriority w:val="99"/>
    <w:pPr>
      <w:widowControl/>
      <w:pBdr>
        <w:bottom w:val="single" w:color="auto" w:sz="4" w:space="0"/>
        <w:right w:val="single" w:color="auto" w:sz="4" w:space="0"/>
      </w:pBdr>
      <w:spacing w:before="100" w:beforeAutospacing="1" w:after="100" w:afterAutospacing="1"/>
      <w:jc w:val="center"/>
    </w:pPr>
    <w:rPr>
      <w:b/>
      <w:bCs/>
      <w:kern w:val="0"/>
      <w:szCs w:val="21"/>
    </w:rPr>
  </w:style>
  <w:style w:type="paragraph" w:customStyle="1" w:styleId="582">
    <w:name w:val="xl49"/>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color w:val="FF0000"/>
      <w:kern w:val="0"/>
      <w:szCs w:val="21"/>
    </w:rPr>
  </w:style>
  <w:style w:type="paragraph" w:customStyle="1" w:styleId="583">
    <w:name w:val="正文文字缩进"/>
    <w:basedOn w:val="1"/>
    <w:autoRedefine/>
    <w:qFormat/>
    <w:uiPriority w:val="0"/>
    <w:pPr>
      <w:widowControl/>
      <w:spacing w:line="674" w:lineRule="atLeast"/>
      <w:ind w:firstLine="640"/>
      <w:textAlignment w:val="baseline"/>
    </w:pPr>
    <w:rPr>
      <w:rFonts w:eastAsia="仿宋_GB2312"/>
      <w:color w:val="000000"/>
      <w:kern w:val="0"/>
      <w:sz w:val="31"/>
      <w:u w:color="000000"/>
    </w:rPr>
  </w:style>
  <w:style w:type="paragraph" w:customStyle="1" w:styleId="584">
    <w:name w:val="3"/>
    <w:autoRedefine/>
    <w:qFormat/>
    <w:uiPriority w:val="0"/>
    <w:pPr>
      <w:widowControl w:val="0"/>
      <w:adjustRightInd w:val="0"/>
      <w:spacing w:line="360" w:lineRule="atLeast"/>
      <w:jc w:val="both"/>
      <w:textAlignment w:val="baseline"/>
    </w:pPr>
    <w:rPr>
      <w:rFonts w:ascii="Times New Roman" w:hAnsi="Times New Roman" w:eastAsia="宋体" w:cs="Times New Roman"/>
      <w:kern w:val="2"/>
      <w:sz w:val="21"/>
      <w:lang w:val="en-US" w:eastAsia="zh-CN" w:bidi="ar-SA"/>
    </w:rPr>
  </w:style>
  <w:style w:type="paragraph" w:customStyle="1" w:styleId="585">
    <w:name w:val="Char11"/>
    <w:basedOn w:val="1"/>
    <w:autoRedefine/>
    <w:qFormat/>
    <w:uiPriority w:val="0"/>
    <w:pPr>
      <w:widowControl/>
      <w:spacing w:after="160" w:line="240" w:lineRule="exact"/>
      <w:jc w:val="left"/>
    </w:pPr>
    <w:rPr>
      <w:rFonts w:ascii="Verdana" w:hAnsi="Verdana"/>
      <w:kern w:val="0"/>
      <w:sz w:val="20"/>
      <w:lang w:eastAsia="en-US"/>
    </w:rPr>
  </w:style>
  <w:style w:type="paragraph" w:customStyle="1" w:styleId="586">
    <w:name w:val="xl29"/>
    <w:basedOn w:val="1"/>
    <w:qFormat/>
    <w:uiPriority w:val="99"/>
    <w:pPr>
      <w:widowControl/>
      <w:pBdr>
        <w:bottom w:val="single" w:color="000000" w:sz="4" w:space="0"/>
        <w:right w:val="single" w:color="000000" w:sz="4" w:space="0"/>
      </w:pBdr>
      <w:spacing w:before="100" w:beforeAutospacing="1" w:after="100" w:afterAutospacing="1"/>
      <w:jc w:val="center"/>
    </w:pPr>
    <w:rPr>
      <w:rFonts w:ascii="Arial Unicode MS" w:hAnsi="Arial Unicode MS"/>
      <w:kern w:val="0"/>
      <w:szCs w:val="21"/>
    </w:rPr>
  </w:style>
  <w:style w:type="paragraph" w:customStyle="1" w:styleId="587">
    <w:name w:val="样式 标题 2 + 小三 段前: 0 磅 段后: 0 磅 行距: 1.5 倍行距"/>
    <w:basedOn w:val="4"/>
    <w:autoRedefine/>
    <w:qFormat/>
    <w:uiPriority w:val="0"/>
    <w:pPr>
      <w:adjustRightInd/>
      <w:snapToGrid/>
      <w:spacing w:before="0" w:beforeLines="0"/>
      <w:jc w:val="both"/>
    </w:pPr>
    <w:rPr>
      <w:rFonts w:ascii="Arial" w:eastAsia="华文中宋" w:cs="宋体"/>
      <w:bCs/>
      <w:kern w:val="0"/>
    </w:rPr>
  </w:style>
  <w:style w:type="paragraph" w:customStyle="1" w:styleId="588">
    <w:name w:val="封面标准文稿类别"/>
    <w:autoRedefine/>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589">
    <w:name w:val="5正文形式"/>
    <w:basedOn w:val="1"/>
    <w:autoRedefine/>
    <w:qFormat/>
    <w:uiPriority w:val="0"/>
    <w:pPr>
      <w:spacing w:line="360" w:lineRule="auto"/>
      <w:ind w:firstLine="512" w:firstLineChars="183"/>
    </w:pPr>
    <w:rPr>
      <w:rFonts w:ascii="仿宋_GB2312" w:hAnsi="宋体" w:eastAsia="仿宋_GB2312"/>
      <w:sz w:val="28"/>
      <w:szCs w:val="28"/>
    </w:rPr>
  </w:style>
  <w:style w:type="paragraph" w:customStyle="1" w:styleId="590">
    <w:name w:val="Char Char3 Char Char Char Char Char Char4"/>
    <w:basedOn w:val="5"/>
    <w:autoRedefine/>
    <w:qFormat/>
    <w:uiPriority w:val="0"/>
    <w:pPr>
      <w:keepNext/>
      <w:keepLines/>
      <w:tabs>
        <w:tab w:val="left" w:pos="360"/>
        <w:tab w:val="left" w:pos="900"/>
      </w:tabs>
      <w:adjustRightInd w:val="0"/>
      <w:snapToGrid w:val="0"/>
      <w:spacing w:beforeLines="50" w:afterLines="50" w:line="360" w:lineRule="auto"/>
      <w:ind w:left="542" w:leftChars="-12" w:firstLine="562" w:firstLineChars="200"/>
      <w:jc w:val="left"/>
      <w:textAlignment w:val="baseline"/>
    </w:pPr>
    <w:rPr>
      <w:rFonts w:ascii="Times New Roman" w:eastAsia="黑体"/>
      <w:bCs/>
      <w:snapToGrid w:val="0"/>
      <w:sz w:val="24"/>
      <w:szCs w:val="24"/>
    </w:rPr>
  </w:style>
  <w:style w:type="paragraph" w:customStyle="1" w:styleId="591">
    <w:name w:val="LC—正文"/>
    <w:basedOn w:val="41"/>
    <w:autoRedefine/>
    <w:qFormat/>
    <w:uiPriority w:val="99"/>
    <w:pPr>
      <w:spacing w:line="500" w:lineRule="exact"/>
      <w:ind w:firstLine="538" w:firstLineChars="192"/>
    </w:pPr>
    <w:rPr>
      <w:rFonts w:ascii="Times New Roman" w:hAnsi="Times New Roman" w:eastAsia="仿宋_GB2312"/>
      <w:sz w:val="28"/>
      <w:szCs w:val="28"/>
      <w:lang w:val="en-GB"/>
    </w:rPr>
  </w:style>
  <w:style w:type="paragraph" w:customStyle="1" w:styleId="592">
    <w:name w:val="Char Char1"/>
    <w:basedOn w:val="8"/>
    <w:autoRedefine/>
    <w:qFormat/>
    <w:uiPriority w:val="0"/>
    <w:pPr>
      <w:tabs>
        <w:tab w:val="left" w:pos="1440"/>
      </w:tabs>
    </w:pPr>
    <w:rPr>
      <w:rFonts w:ascii="Arial" w:hAnsi="Arial" w:eastAsia="宋体"/>
      <w:sz w:val="28"/>
    </w:rPr>
  </w:style>
  <w:style w:type="paragraph" w:customStyle="1" w:styleId="593">
    <w:name w:val="xl60"/>
    <w:basedOn w:val="1"/>
    <w:autoRedefine/>
    <w:qFormat/>
    <w:uiPriority w:val="99"/>
    <w:pPr>
      <w:widowControl/>
      <w:pBdr>
        <w:bottom w:val="single" w:color="auto" w:sz="4" w:space="0"/>
        <w:right w:val="single" w:color="auto" w:sz="4" w:space="0"/>
      </w:pBdr>
      <w:spacing w:before="100" w:beforeAutospacing="1" w:after="100" w:afterAutospacing="1"/>
      <w:jc w:val="center"/>
    </w:pPr>
    <w:rPr>
      <w:b/>
      <w:bCs/>
      <w:kern w:val="0"/>
      <w:sz w:val="20"/>
    </w:rPr>
  </w:style>
  <w:style w:type="paragraph" w:customStyle="1" w:styleId="594">
    <w:name w:val="样式 样式1 + 首行缩进:  2 字符"/>
    <w:basedOn w:val="1"/>
    <w:autoRedefine/>
    <w:qFormat/>
    <w:uiPriority w:val="0"/>
    <w:pPr>
      <w:adjustRightInd w:val="0"/>
      <w:spacing w:line="360" w:lineRule="auto"/>
      <w:ind w:firstLine="200" w:firstLineChars="200"/>
    </w:pPr>
    <w:rPr>
      <w:rFonts w:ascii="宋体" w:hAnsi="宋体" w:cs="宋体"/>
      <w:sz w:val="28"/>
    </w:rPr>
  </w:style>
  <w:style w:type="paragraph" w:customStyle="1" w:styleId="595">
    <w:name w:val="xl27"/>
    <w:basedOn w:val="1"/>
    <w:autoRedefine/>
    <w:qFormat/>
    <w:uiPriority w:val="99"/>
    <w:pPr>
      <w:widowControl/>
      <w:pBdr>
        <w:bottom w:val="single" w:color="auto" w:sz="4" w:space="0"/>
        <w:right w:val="single" w:color="auto" w:sz="4" w:space="0"/>
      </w:pBdr>
      <w:spacing w:before="100" w:beforeAutospacing="1" w:after="100" w:afterAutospacing="1"/>
      <w:jc w:val="center"/>
    </w:pPr>
    <w:rPr>
      <w:rFonts w:ascii="Arial Unicode MS" w:hAnsi="Arial Unicode MS"/>
      <w:b/>
      <w:bCs/>
      <w:color w:val="FF0000"/>
      <w:kern w:val="0"/>
      <w:sz w:val="20"/>
    </w:rPr>
  </w:style>
  <w:style w:type="paragraph" w:customStyle="1" w:styleId="596">
    <w:name w:val="xl40"/>
    <w:basedOn w:val="1"/>
    <w:autoRedefine/>
    <w:qFormat/>
    <w:uiPriority w:val="99"/>
    <w:pPr>
      <w:widowControl/>
      <w:pBdr>
        <w:bottom w:val="single" w:color="auto" w:sz="4" w:space="0"/>
        <w:right w:val="single" w:color="auto" w:sz="4" w:space="0"/>
      </w:pBdr>
      <w:spacing w:before="100" w:beforeAutospacing="1" w:after="100" w:afterAutospacing="1"/>
    </w:pPr>
    <w:rPr>
      <w:rFonts w:ascii="Arial Unicode MS" w:hAnsi="Arial Unicode MS"/>
      <w:kern w:val="0"/>
      <w:sz w:val="20"/>
    </w:rPr>
  </w:style>
  <w:style w:type="paragraph" w:customStyle="1" w:styleId="597">
    <w:name w:val="Char Char74"/>
    <w:basedOn w:val="1"/>
    <w:autoRedefine/>
    <w:qFormat/>
    <w:uiPriority w:val="0"/>
    <w:pPr>
      <w:spacing w:line="360" w:lineRule="auto"/>
      <w:ind w:firstLine="560" w:firstLineChars="200"/>
    </w:pPr>
    <w:rPr>
      <w:sz w:val="28"/>
      <w:szCs w:val="24"/>
    </w:rPr>
  </w:style>
  <w:style w:type="paragraph" w:customStyle="1" w:styleId="598">
    <w:name w:val="样式 首行缩进:  1 厘米 行距: 固定值 25 磅"/>
    <w:basedOn w:val="1"/>
    <w:autoRedefine/>
    <w:qFormat/>
    <w:uiPriority w:val="0"/>
    <w:pPr>
      <w:adjustRightInd w:val="0"/>
      <w:spacing w:line="500" w:lineRule="exact"/>
      <w:ind w:firstLine="560" w:firstLineChars="200"/>
      <w:textAlignment w:val="baseline"/>
    </w:pPr>
    <w:rPr>
      <w:rFonts w:cs="宋体"/>
      <w:kern w:val="0"/>
      <w:sz w:val="28"/>
      <w:szCs w:val="28"/>
    </w:rPr>
  </w:style>
  <w:style w:type="paragraph" w:customStyle="1" w:styleId="599">
    <w:name w:val="正文文本缩进 211"/>
    <w:basedOn w:val="1"/>
    <w:autoRedefine/>
    <w:qFormat/>
    <w:uiPriority w:val="0"/>
    <w:pPr>
      <w:spacing w:line="360" w:lineRule="auto"/>
      <w:ind w:firstLine="540"/>
    </w:pPr>
    <w:rPr>
      <w:sz w:val="28"/>
      <w:szCs w:val="24"/>
    </w:rPr>
  </w:style>
  <w:style w:type="paragraph" w:customStyle="1" w:styleId="600">
    <w:name w:val="样式4"/>
    <w:basedOn w:val="1"/>
    <w:autoRedefine/>
    <w:qFormat/>
    <w:uiPriority w:val="99"/>
    <w:pPr>
      <w:adjustRightInd w:val="0"/>
      <w:snapToGrid w:val="0"/>
      <w:spacing w:line="360" w:lineRule="atLeast"/>
      <w:ind w:firstLine="560" w:firstLineChars="200"/>
      <w:textAlignment w:val="baseline"/>
    </w:pPr>
    <w:rPr>
      <w:rFonts w:ascii="宋体"/>
      <w:szCs w:val="24"/>
    </w:rPr>
  </w:style>
  <w:style w:type="paragraph" w:customStyle="1" w:styleId="601">
    <w:name w:val="Char Char Char Char Char Char"/>
    <w:basedOn w:val="1"/>
    <w:autoRedefine/>
    <w:qFormat/>
    <w:uiPriority w:val="0"/>
    <w:pPr>
      <w:spacing w:line="360" w:lineRule="auto"/>
      <w:ind w:firstLine="560" w:firstLineChars="200"/>
    </w:pPr>
    <w:rPr>
      <w:sz w:val="28"/>
      <w:szCs w:val="24"/>
    </w:rPr>
  </w:style>
  <w:style w:type="paragraph" w:customStyle="1" w:styleId="602">
    <w:name w:val="4444444444444"/>
    <w:basedOn w:val="1"/>
    <w:autoRedefine/>
    <w:qFormat/>
    <w:uiPriority w:val="0"/>
    <w:pPr>
      <w:keepNext/>
      <w:keepLines/>
      <w:spacing w:before="120" w:after="120" w:line="500" w:lineRule="exact"/>
      <w:outlineLvl w:val="3"/>
    </w:pPr>
    <w:rPr>
      <w:bCs/>
      <w:sz w:val="28"/>
      <w:szCs w:val="24"/>
    </w:rPr>
  </w:style>
  <w:style w:type="paragraph" w:customStyle="1" w:styleId="603">
    <w:name w:val="Char Char"/>
    <w:basedOn w:val="1"/>
    <w:autoRedefine/>
    <w:qFormat/>
    <w:uiPriority w:val="0"/>
    <w:rPr>
      <w:szCs w:val="24"/>
    </w:rPr>
  </w:style>
  <w:style w:type="paragraph" w:customStyle="1" w:styleId="604">
    <w:name w:val="_Style 239"/>
    <w:basedOn w:val="1"/>
    <w:next w:val="145"/>
    <w:unhideWhenUsed/>
    <w:qFormat/>
    <w:uiPriority w:val="99"/>
    <w:pPr>
      <w:adjustRightInd w:val="0"/>
      <w:spacing w:line="360" w:lineRule="atLeast"/>
      <w:ind w:firstLine="420" w:firstLineChars="200"/>
      <w:textAlignment w:val="baseline"/>
    </w:pPr>
  </w:style>
  <w:style w:type="paragraph" w:customStyle="1" w:styleId="605">
    <w:name w:val="自定义正文"/>
    <w:basedOn w:val="1"/>
    <w:qFormat/>
    <w:uiPriority w:val="0"/>
    <w:pPr>
      <w:adjustRightInd w:val="0"/>
      <w:spacing w:line="360" w:lineRule="atLeast"/>
      <w:ind w:firstLine="560"/>
      <w:textAlignment w:val="baseline"/>
    </w:pPr>
    <w:rPr>
      <w:kern w:val="0"/>
      <w:sz w:val="28"/>
    </w:rPr>
  </w:style>
  <w:style w:type="paragraph" w:customStyle="1" w:styleId="606">
    <w:name w:val="自定正文"/>
    <w:basedOn w:val="1"/>
    <w:autoRedefine/>
    <w:qFormat/>
    <w:uiPriority w:val="0"/>
    <w:pPr>
      <w:spacing w:line="360" w:lineRule="auto"/>
      <w:ind w:firstLine="200" w:firstLineChars="200"/>
      <w:jc w:val="left"/>
    </w:pPr>
    <w:rPr>
      <w:rFonts w:ascii="宋体" w:hAnsi="宋体"/>
      <w:sz w:val="28"/>
      <w:szCs w:val="28"/>
    </w:rPr>
  </w:style>
  <w:style w:type="paragraph" w:customStyle="1" w:styleId="607">
    <w:name w:val="Char Char2 Char Char1"/>
    <w:basedOn w:val="1"/>
    <w:qFormat/>
    <w:uiPriority w:val="0"/>
    <w:pPr>
      <w:adjustRightInd w:val="0"/>
      <w:spacing w:line="360" w:lineRule="auto"/>
      <w:ind w:firstLine="560" w:firstLineChars="200"/>
      <w:textAlignment w:val="baseline"/>
    </w:pPr>
    <w:rPr>
      <w:sz w:val="28"/>
      <w:szCs w:val="24"/>
    </w:rPr>
  </w:style>
  <w:style w:type="paragraph" w:customStyle="1" w:styleId="608">
    <w:name w:val="Char Char2 Char Char"/>
    <w:basedOn w:val="1"/>
    <w:autoRedefine/>
    <w:qFormat/>
    <w:uiPriority w:val="0"/>
    <w:pPr>
      <w:adjustRightInd w:val="0"/>
      <w:spacing w:line="360" w:lineRule="auto"/>
      <w:ind w:firstLine="560" w:firstLineChars="200"/>
      <w:textAlignment w:val="baseline"/>
    </w:pPr>
    <w:rPr>
      <w:kern w:val="0"/>
      <w:sz w:val="28"/>
    </w:rPr>
  </w:style>
  <w:style w:type="paragraph" w:customStyle="1" w:styleId="609">
    <w:name w:val="Char Char Char1 Char Char Char Char Char Char Char Char Char Char Char Char Char Char Char Char Char Char Char"/>
    <w:basedOn w:val="1"/>
    <w:next w:val="2"/>
    <w:autoRedefine/>
    <w:qFormat/>
    <w:uiPriority w:val="0"/>
    <w:rPr>
      <w:sz w:val="28"/>
      <w:szCs w:val="28"/>
    </w:rPr>
  </w:style>
  <w:style w:type="paragraph" w:customStyle="1" w:styleId="610">
    <w:name w:val="默认段落字体 Para Char Char Char Char Char Char Char Char Char Char"/>
    <w:basedOn w:val="5"/>
    <w:autoRedefine/>
    <w:qFormat/>
    <w:uiPriority w:val="0"/>
    <w:pPr>
      <w:keepNext/>
      <w:keepLines/>
      <w:tabs>
        <w:tab w:val="left" w:pos="360"/>
        <w:tab w:val="left" w:pos="900"/>
      </w:tabs>
      <w:adjustRightInd w:val="0"/>
      <w:snapToGrid w:val="0"/>
      <w:spacing w:line="360" w:lineRule="auto"/>
      <w:ind w:left="542" w:leftChars="-12" w:firstLine="200" w:firstLineChars="200"/>
      <w:jc w:val="left"/>
    </w:pPr>
    <w:rPr>
      <w:rFonts w:ascii="Times New Roman" w:eastAsia="黑体"/>
      <w:snapToGrid w:val="0"/>
      <w:sz w:val="24"/>
      <w:szCs w:val="24"/>
    </w:rPr>
  </w:style>
  <w:style w:type="paragraph" w:customStyle="1" w:styleId="611">
    <w:name w:val="前言、引言标题"/>
    <w:next w:val="1"/>
    <w:autoRedefine/>
    <w:qFormat/>
    <w:uiPriority w:val="0"/>
    <w:pPr>
      <w:shd w:val="clear" w:color="FFFFFF" w:fill="FFFFFF"/>
      <w:spacing w:before="640" w:after="560"/>
      <w:ind w:hanging="1"/>
      <w:jc w:val="center"/>
      <w:outlineLvl w:val="0"/>
    </w:pPr>
    <w:rPr>
      <w:rFonts w:ascii="黑体" w:hAnsi="Times New Roman" w:eastAsia="黑体" w:cs="Times New Roman"/>
      <w:sz w:val="32"/>
      <w:lang w:val="en-US" w:eastAsia="zh-CN" w:bidi="ar-SA"/>
    </w:rPr>
  </w:style>
  <w:style w:type="paragraph" w:customStyle="1" w:styleId="612">
    <w:name w:val="Char Char31"/>
    <w:basedOn w:val="1"/>
    <w:qFormat/>
    <w:uiPriority w:val="0"/>
    <w:pPr>
      <w:adjustRightInd w:val="0"/>
      <w:spacing w:line="360" w:lineRule="atLeast"/>
      <w:textAlignment w:val="baseline"/>
    </w:pPr>
    <w:rPr>
      <w:rFonts w:ascii="宋体" w:hAnsi="宋体" w:cs="Courier New"/>
      <w:sz w:val="32"/>
      <w:szCs w:val="32"/>
    </w:rPr>
  </w:style>
  <w:style w:type="paragraph" w:customStyle="1" w:styleId="613">
    <w:name w:val="xl38"/>
    <w:basedOn w:val="1"/>
    <w:autoRedefine/>
    <w:qFormat/>
    <w:uiPriority w:val="99"/>
    <w:pPr>
      <w:widowControl/>
      <w:pBdr>
        <w:bottom w:val="single" w:color="auto" w:sz="4" w:space="0"/>
        <w:right w:val="single" w:color="auto" w:sz="4" w:space="0"/>
      </w:pBdr>
      <w:spacing w:before="100" w:beforeAutospacing="1" w:after="100" w:afterAutospacing="1"/>
      <w:jc w:val="center"/>
    </w:pPr>
    <w:rPr>
      <w:rFonts w:ascii="Arial Unicode MS" w:hAnsi="Arial Unicode MS"/>
      <w:color w:val="FF0000"/>
      <w:kern w:val="0"/>
      <w:szCs w:val="21"/>
    </w:rPr>
  </w:style>
  <w:style w:type="paragraph" w:customStyle="1" w:styleId="614">
    <w:name w:val="表名-图名"/>
    <w:basedOn w:val="1"/>
    <w:autoRedefine/>
    <w:qFormat/>
    <w:uiPriority w:val="0"/>
    <w:pPr>
      <w:adjustRightInd w:val="0"/>
      <w:spacing w:line="360" w:lineRule="atLeast"/>
      <w:jc w:val="center"/>
      <w:textAlignment w:val="baseline"/>
    </w:pPr>
    <w:rPr>
      <w:rFonts w:ascii="黑体" w:eastAsia="黑体"/>
    </w:rPr>
  </w:style>
  <w:style w:type="paragraph" w:customStyle="1" w:styleId="615">
    <w:name w:val="样式 样式 四号 + 首行缩进:  2 字符"/>
    <w:basedOn w:val="1"/>
    <w:autoRedefine/>
    <w:qFormat/>
    <w:uiPriority w:val="0"/>
    <w:pPr>
      <w:spacing w:line="360" w:lineRule="auto"/>
      <w:ind w:firstLine="200" w:firstLineChars="200"/>
    </w:pPr>
    <w:rPr>
      <w:sz w:val="28"/>
    </w:rPr>
  </w:style>
  <w:style w:type="paragraph" w:customStyle="1" w:styleId="616">
    <w:name w:val="样式 (符号) 宋体 四号 行距: 固定值 30 磅"/>
    <w:basedOn w:val="1"/>
    <w:autoRedefine/>
    <w:qFormat/>
    <w:uiPriority w:val="0"/>
    <w:pPr>
      <w:spacing w:line="600" w:lineRule="exact"/>
      <w:ind w:firstLine="560" w:firstLineChars="200"/>
    </w:pPr>
    <w:rPr>
      <w:rFonts w:hAnsi="宋体" w:eastAsia="仿宋_GB2312" w:cs="宋体"/>
      <w:sz w:val="28"/>
    </w:rPr>
  </w:style>
  <w:style w:type="paragraph" w:customStyle="1" w:styleId="617">
    <w:name w:val="xl57"/>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rPr>
  </w:style>
  <w:style w:type="paragraph" w:customStyle="1" w:styleId="618">
    <w:name w:val="Char Char3 Char Char Char Char Char Char1"/>
    <w:basedOn w:val="5"/>
    <w:autoRedefine/>
    <w:qFormat/>
    <w:uiPriority w:val="0"/>
    <w:pPr>
      <w:keepNext/>
      <w:keepLines/>
      <w:tabs>
        <w:tab w:val="left" w:pos="360"/>
        <w:tab w:val="left" w:pos="900"/>
      </w:tabs>
      <w:adjustRightInd w:val="0"/>
      <w:snapToGrid w:val="0"/>
      <w:spacing w:beforeLines="50" w:afterLines="50" w:line="360" w:lineRule="auto"/>
      <w:ind w:left="542" w:leftChars="-12" w:firstLine="200" w:firstLineChars="200"/>
      <w:jc w:val="left"/>
    </w:pPr>
    <w:rPr>
      <w:rFonts w:ascii="Times New Roman" w:eastAsia="黑体"/>
      <w:snapToGrid w:val="0"/>
      <w:sz w:val="24"/>
      <w:szCs w:val="24"/>
    </w:rPr>
  </w:style>
  <w:style w:type="paragraph" w:customStyle="1" w:styleId="619">
    <w:name w:val="Char Char32"/>
    <w:basedOn w:val="1"/>
    <w:autoRedefine/>
    <w:qFormat/>
    <w:uiPriority w:val="0"/>
    <w:pPr>
      <w:adjustRightInd w:val="0"/>
      <w:spacing w:line="360" w:lineRule="atLeast"/>
      <w:textAlignment w:val="baseline"/>
    </w:pPr>
    <w:rPr>
      <w:rFonts w:ascii="宋体" w:hAnsi="宋体" w:cs="Courier New"/>
      <w:sz w:val="32"/>
      <w:szCs w:val="32"/>
    </w:rPr>
  </w:style>
  <w:style w:type="paragraph" w:customStyle="1" w:styleId="620">
    <w:name w:val="xl45"/>
    <w:basedOn w:val="1"/>
    <w:autoRedefine/>
    <w:qFormat/>
    <w:uiPriority w:val="99"/>
    <w:pPr>
      <w:widowControl/>
      <w:pBdr>
        <w:bottom w:val="single" w:color="auto" w:sz="4" w:space="0"/>
      </w:pBdr>
      <w:spacing w:before="100" w:beforeAutospacing="1" w:after="100" w:afterAutospacing="1"/>
    </w:pPr>
    <w:rPr>
      <w:rFonts w:ascii="Arial Unicode MS" w:hAnsi="Arial Unicode MS"/>
      <w:kern w:val="0"/>
      <w:sz w:val="20"/>
    </w:rPr>
  </w:style>
  <w:style w:type="paragraph" w:customStyle="1" w:styleId="621">
    <w:name w:val="图标标题"/>
    <w:basedOn w:val="1"/>
    <w:autoRedefine/>
    <w:qFormat/>
    <w:uiPriority w:val="0"/>
    <w:pPr>
      <w:jc w:val="center"/>
    </w:pPr>
    <w:rPr>
      <w:rFonts w:eastAsia="黑体" w:cs="宋体"/>
      <w:sz w:val="28"/>
    </w:rPr>
  </w:style>
  <w:style w:type="paragraph" w:customStyle="1" w:styleId="622">
    <w:name w:val="xl25"/>
    <w:basedOn w:val="1"/>
    <w:qFormat/>
    <w:uiPriority w:val="99"/>
    <w:pPr>
      <w:widowControl/>
      <w:pBdr>
        <w:bottom w:val="single" w:color="auto" w:sz="4" w:space="0"/>
        <w:right w:val="single" w:color="auto" w:sz="4" w:space="0"/>
      </w:pBdr>
      <w:spacing w:before="100" w:beforeAutospacing="1" w:after="100" w:afterAutospacing="1"/>
      <w:jc w:val="center"/>
    </w:pPr>
    <w:rPr>
      <w:rFonts w:ascii="Arial Unicode MS" w:hAnsi="Arial Unicode MS"/>
      <w:color w:val="FF0000"/>
      <w:kern w:val="0"/>
      <w:sz w:val="20"/>
    </w:rPr>
  </w:style>
  <w:style w:type="paragraph" w:customStyle="1" w:styleId="623">
    <w:name w:val="xl42"/>
    <w:basedOn w:val="1"/>
    <w:autoRedefine/>
    <w:qFormat/>
    <w:uiPriority w:val="99"/>
    <w:pPr>
      <w:widowControl/>
      <w:pBdr>
        <w:bottom w:val="single" w:color="auto" w:sz="4" w:space="0"/>
        <w:right w:val="single" w:color="auto" w:sz="4" w:space="0"/>
      </w:pBdr>
      <w:spacing w:before="100" w:beforeAutospacing="1" w:after="100" w:afterAutospacing="1"/>
      <w:jc w:val="center"/>
    </w:pPr>
    <w:rPr>
      <w:rFonts w:ascii="宋体" w:hAnsi="宋体"/>
      <w:kern w:val="0"/>
      <w:sz w:val="28"/>
      <w:szCs w:val="24"/>
    </w:rPr>
  </w:style>
  <w:style w:type="paragraph" w:customStyle="1" w:styleId="624">
    <w:name w:val="font0"/>
    <w:basedOn w:val="1"/>
    <w:autoRedefine/>
    <w:qFormat/>
    <w:uiPriority w:val="99"/>
    <w:pPr>
      <w:widowControl/>
      <w:spacing w:before="100" w:beforeAutospacing="1" w:after="100" w:afterAutospacing="1"/>
      <w:jc w:val="left"/>
    </w:pPr>
    <w:rPr>
      <w:rFonts w:hint="eastAsia" w:ascii="宋体" w:hAnsi="宋体"/>
      <w:kern w:val="0"/>
      <w:sz w:val="28"/>
      <w:szCs w:val="24"/>
    </w:rPr>
  </w:style>
  <w:style w:type="paragraph" w:customStyle="1" w:styleId="625">
    <w:name w:val="港铁－正文"/>
    <w:basedOn w:val="1"/>
    <w:autoRedefine/>
    <w:qFormat/>
    <w:uiPriority w:val="0"/>
    <w:pPr>
      <w:spacing w:line="320" w:lineRule="exact"/>
      <w:jc w:val="center"/>
    </w:pPr>
    <w:rPr>
      <w:sz w:val="28"/>
      <w:szCs w:val="24"/>
    </w:rPr>
  </w:style>
  <w:style w:type="paragraph" w:customStyle="1" w:styleId="626">
    <w:name w:val="CC地震报告表格名式样"/>
    <w:basedOn w:val="1"/>
    <w:autoRedefine/>
    <w:qFormat/>
    <w:uiPriority w:val="0"/>
    <w:pPr>
      <w:spacing w:afterLines="50" w:line="460" w:lineRule="exact"/>
      <w:jc w:val="center"/>
    </w:pPr>
    <w:rPr>
      <w:rFonts w:eastAsia="黑体" w:cs="Arial"/>
      <w:bCs/>
      <w:w w:val="90"/>
      <w:szCs w:val="32"/>
    </w:rPr>
  </w:style>
  <w:style w:type="paragraph" w:customStyle="1" w:styleId="627">
    <w:name w:val="Char2 Char Char Char"/>
    <w:basedOn w:val="1"/>
    <w:autoRedefine/>
    <w:qFormat/>
    <w:uiPriority w:val="0"/>
    <w:pPr>
      <w:spacing w:line="360" w:lineRule="auto"/>
      <w:ind w:firstLine="200" w:firstLineChars="200"/>
    </w:pPr>
    <w:rPr>
      <w:rFonts w:ascii="宋体" w:hAnsi="宋体" w:cs="宋体"/>
      <w:sz w:val="28"/>
      <w:szCs w:val="24"/>
    </w:rPr>
  </w:style>
  <w:style w:type="paragraph" w:customStyle="1" w:styleId="628">
    <w:name w:val="样式 表格内容 + (中文) 宋体 居中"/>
    <w:basedOn w:val="1"/>
    <w:autoRedefine/>
    <w:qFormat/>
    <w:uiPriority w:val="0"/>
    <w:pPr>
      <w:overflowPunct w:val="0"/>
      <w:adjustRightInd w:val="0"/>
      <w:snapToGrid w:val="0"/>
      <w:spacing w:after="120" w:line="440" w:lineRule="exact"/>
      <w:jc w:val="center"/>
      <w:textAlignment w:val="baseline"/>
    </w:pPr>
    <w:rPr>
      <w:rFonts w:ascii="Arial" w:hAnsi="Arial"/>
      <w:kern w:val="0"/>
      <w:szCs w:val="21"/>
    </w:rPr>
  </w:style>
  <w:style w:type="paragraph" w:customStyle="1" w:styleId="629">
    <w:name w:val="Char Char Char Char Char Char Char1"/>
    <w:basedOn w:val="1"/>
    <w:autoRedefine/>
    <w:qFormat/>
    <w:uiPriority w:val="0"/>
    <w:pPr>
      <w:spacing w:line="360" w:lineRule="auto"/>
      <w:ind w:firstLine="200" w:firstLineChars="200"/>
    </w:pPr>
    <w:rPr>
      <w:rFonts w:ascii="宋体" w:hAnsi="宋体" w:cs="宋体"/>
      <w:sz w:val="28"/>
      <w:szCs w:val="24"/>
    </w:rPr>
  </w:style>
  <w:style w:type="paragraph" w:customStyle="1" w:styleId="630">
    <w:name w:val="默认段落字体 Para Char Char Char Char Char Char Char"/>
    <w:basedOn w:val="1"/>
    <w:autoRedefine/>
    <w:qFormat/>
    <w:uiPriority w:val="0"/>
    <w:pPr>
      <w:adjustRightInd w:val="0"/>
      <w:spacing w:line="360" w:lineRule="auto"/>
      <w:ind w:firstLine="560" w:firstLineChars="200"/>
      <w:textAlignment w:val="baseline"/>
    </w:pPr>
    <w:rPr>
      <w:kern w:val="0"/>
      <w:sz w:val="28"/>
    </w:rPr>
  </w:style>
  <w:style w:type="paragraph" w:customStyle="1" w:styleId="631">
    <w:name w:val="样式 样式 首行缩进:  2 字符 + 首行缩进:  2 字符"/>
    <w:basedOn w:val="1"/>
    <w:autoRedefine/>
    <w:qFormat/>
    <w:uiPriority w:val="0"/>
    <w:pPr>
      <w:adjustRightInd w:val="0"/>
      <w:snapToGrid w:val="0"/>
      <w:spacing w:line="360" w:lineRule="auto"/>
      <w:ind w:firstLine="200" w:firstLineChars="200"/>
      <w:jc w:val="left"/>
    </w:pPr>
    <w:rPr>
      <w:rFonts w:ascii="仿宋_GB2312" w:eastAsia="仿宋_GB2312" w:cs="宋体"/>
      <w:sz w:val="28"/>
    </w:rPr>
  </w:style>
  <w:style w:type="paragraph" w:customStyle="1" w:styleId="632">
    <w:name w:val="样式 仿宋_GB2312 三号"/>
    <w:basedOn w:val="1"/>
    <w:autoRedefine/>
    <w:qFormat/>
    <w:uiPriority w:val="0"/>
    <w:pPr>
      <w:spacing w:line="360" w:lineRule="auto"/>
      <w:ind w:firstLine="560" w:firstLineChars="200"/>
    </w:pPr>
    <w:rPr>
      <w:rFonts w:ascii="宋体" w:hAnsi="宋体" w:cs="宋体"/>
      <w:sz w:val="28"/>
      <w:szCs w:val="28"/>
      <w:lang w:val="zh-CN"/>
    </w:rPr>
  </w:style>
  <w:style w:type="paragraph" w:customStyle="1" w:styleId="633">
    <w:name w:val="图文框"/>
    <w:basedOn w:val="1"/>
    <w:autoRedefine/>
    <w:qFormat/>
    <w:uiPriority w:val="0"/>
    <w:pPr>
      <w:adjustRightInd w:val="0"/>
      <w:spacing w:line="500" w:lineRule="exact"/>
      <w:jc w:val="center"/>
      <w:textAlignment w:val="baseline"/>
    </w:pPr>
    <w:rPr>
      <w:rFonts w:ascii="宋体" w:hAnsi="宋体"/>
      <w:szCs w:val="28"/>
    </w:rPr>
  </w:style>
  <w:style w:type="paragraph" w:customStyle="1" w:styleId="634">
    <w:name w:val="正文1"/>
    <w:basedOn w:val="1"/>
    <w:autoRedefine/>
    <w:qFormat/>
    <w:uiPriority w:val="0"/>
    <w:pPr>
      <w:spacing w:line="440" w:lineRule="exact"/>
      <w:ind w:firstLine="480" w:firstLineChars="200"/>
    </w:pPr>
    <w:rPr>
      <w:color w:val="000000"/>
      <w:kern w:val="0"/>
      <w:sz w:val="28"/>
      <w:szCs w:val="27"/>
    </w:rPr>
  </w:style>
  <w:style w:type="paragraph" w:customStyle="1" w:styleId="635">
    <w:name w:val="xl50"/>
    <w:basedOn w:val="1"/>
    <w:autoRedefine/>
    <w:qFormat/>
    <w:uiPriority w:val="99"/>
    <w:pPr>
      <w:widowControl/>
      <w:pBdr>
        <w:bottom w:val="single" w:color="auto" w:sz="4" w:space="0"/>
        <w:right w:val="single" w:color="auto" w:sz="4" w:space="0"/>
      </w:pBdr>
      <w:spacing w:before="100" w:beforeAutospacing="1" w:after="100" w:afterAutospacing="1"/>
      <w:jc w:val="left"/>
      <w:textAlignment w:val="center"/>
    </w:pPr>
    <w:rPr>
      <w:rFonts w:ascii="Arial Unicode MS" w:hAnsi="Arial Unicode MS"/>
      <w:kern w:val="0"/>
      <w:sz w:val="20"/>
    </w:rPr>
  </w:style>
  <w:style w:type="paragraph" w:customStyle="1" w:styleId="636">
    <w:name w:val="Char Char Char Char Char Char Char"/>
    <w:basedOn w:val="1"/>
    <w:autoRedefine/>
    <w:qFormat/>
    <w:uiPriority w:val="0"/>
    <w:rPr>
      <w:szCs w:val="24"/>
    </w:rPr>
  </w:style>
  <w:style w:type="paragraph" w:customStyle="1" w:styleId="637">
    <w:name w:val="xl59"/>
    <w:basedOn w:val="1"/>
    <w:autoRedefine/>
    <w:qFormat/>
    <w:uiPriority w:val="99"/>
    <w:pPr>
      <w:widowControl/>
      <w:pBdr>
        <w:bottom w:val="single" w:color="auto" w:sz="4" w:space="0"/>
        <w:right w:val="single" w:color="auto" w:sz="4" w:space="0"/>
      </w:pBdr>
      <w:spacing w:before="100" w:beforeAutospacing="1" w:after="100" w:afterAutospacing="1"/>
      <w:jc w:val="center"/>
    </w:pPr>
    <w:rPr>
      <w:b/>
      <w:bCs/>
      <w:kern w:val="0"/>
      <w:sz w:val="20"/>
    </w:rPr>
  </w:style>
  <w:style w:type="paragraph" w:customStyle="1" w:styleId="638">
    <w:name w:val="文章附标题"/>
    <w:basedOn w:val="1"/>
    <w:autoRedefine/>
    <w:qFormat/>
    <w:uiPriority w:val="0"/>
    <w:pPr>
      <w:widowControl/>
      <w:spacing w:before="187" w:after="175" w:line="374" w:lineRule="atLeast"/>
      <w:jc w:val="center"/>
      <w:textAlignment w:val="baseline"/>
    </w:pPr>
    <w:rPr>
      <w:color w:val="000000"/>
      <w:kern w:val="0"/>
      <w:sz w:val="36"/>
      <w:u w:color="000000"/>
    </w:rPr>
  </w:style>
  <w:style w:type="paragraph" w:customStyle="1" w:styleId="639">
    <w:name w:val="Char Char92"/>
    <w:basedOn w:val="1"/>
    <w:autoRedefine/>
    <w:qFormat/>
    <w:uiPriority w:val="0"/>
    <w:rPr>
      <w:szCs w:val="24"/>
    </w:rPr>
  </w:style>
  <w:style w:type="paragraph" w:customStyle="1" w:styleId="640">
    <w:name w:val="表格02"/>
    <w:basedOn w:val="1"/>
    <w:autoRedefine/>
    <w:qFormat/>
    <w:uiPriority w:val="0"/>
    <w:pPr>
      <w:jc w:val="center"/>
    </w:pPr>
    <w:rPr>
      <w:kern w:val="0"/>
      <w:sz w:val="18"/>
      <w:szCs w:val="18"/>
    </w:rPr>
  </w:style>
  <w:style w:type="paragraph" w:customStyle="1" w:styleId="641">
    <w:name w:val="xl31"/>
    <w:basedOn w:val="1"/>
    <w:autoRedefine/>
    <w:qFormat/>
    <w:uiPriority w:val="99"/>
    <w:pPr>
      <w:widowControl/>
      <w:pBdr>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Cs w:val="21"/>
    </w:rPr>
  </w:style>
  <w:style w:type="paragraph" w:customStyle="1" w:styleId="642">
    <w:name w:val="标题3 Char Char Char Char"/>
    <w:basedOn w:val="1"/>
    <w:autoRedefine/>
    <w:qFormat/>
    <w:uiPriority w:val="0"/>
    <w:pPr>
      <w:spacing w:afterLines="50" w:line="560" w:lineRule="exact"/>
    </w:pPr>
    <w:rPr>
      <w:rFonts w:eastAsia="黑体"/>
      <w:sz w:val="30"/>
      <w:szCs w:val="30"/>
    </w:rPr>
  </w:style>
  <w:style w:type="paragraph" w:customStyle="1" w:styleId="643">
    <w:name w:val="xl43"/>
    <w:basedOn w:val="1"/>
    <w:autoRedefine/>
    <w:qFormat/>
    <w:uiPriority w:val="99"/>
    <w:pPr>
      <w:widowControl/>
      <w:pBdr>
        <w:bottom w:val="single" w:color="auto" w:sz="4" w:space="0"/>
        <w:right w:val="single" w:color="auto" w:sz="4" w:space="0"/>
      </w:pBdr>
      <w:spacing w:before="100" w:beforeAutospacing="1" w:after="100" w:afterAutospacing="1"/>
      <w:jc w:val="center"/>
    </w:pPr>
    <w:rPr>
      <w:kern w:val="0"/>
      <w:sz w:val="20"/>
    </w:rPr>
  </w:style>
  <w:style w:type="paragraph" w:customStyle="1" w:styleId="644">
    <w:name w:val="1"/>
    <w:basedOn w:val="1"/>
    <w:autoRedefine/>
    <w:qFormat/>
    <w:uiPriority w:val="0"/>
    <w:pPr>
      <w:spacing w:line="360" w:lineRule="auto"/>
      <w:ind w:firstLine="560" w:firstLineChars="200"/>
    </w:pPr>
    <w:rPr>
      <w:sz w:val="28"/>
      <w:szCs w:val="24"/>
    </w:rPr>
  </w:style>
  <w:style w:type="paragraph" w:customStyle="1" w:styleId="645">
    <w:name w:val="xl54"/>
    <w:basedOn w:val="1"/>
    <w:autoRedefine/>
    <w:qFormat/>
    <w:uiPriority w:val="99"/>
    <w:pPr>
      <w:widowControl/>
      <w:pBdr>
        <w:bottom w:val="single" w:color="auto" w:sz="4" w:space="0"/>
        <w:right w:val="single" w:color="auto" w:sz="4" w:space="0"/>
      </w:pBdr>
      <w:spacing w:before="100" w:beforeAutospacing="1" w:after="100" w:afterAutospacing="1"/>
      <w:jc w:val="center"/>
    </w:pPr>
    <w:rPr>
      <w:rFonts w:ascii="Arial Unicode MS" w:hAnsi="Arial Unicode MS"/>
      <w:b/>
      <w:bCs/>
      <w:kern w:val="0"/>
      <w:szCs w:val="21"/>
    </w:rPr>
  </w:style>
  <w:style w:type="paragraph" w:customStyle="1" w:styleId="646">
    <w:name w:val="xl26"/>
    <w:basedOn w:val="1"/>
    <w:autoRedefine/>
    <w:qFormat/>
    <w:uiPriority w:val="99"/>
    <w:pPr>
      <w:widowControl/>
      <w:pBdr>
        <w:bottom w:val="single" w:color="auto" w:sz="4" w:space="0"/>
        <w:right w:val="single" w:color="auto" w:sz="4" w:space="0"/>
      </w:pBdr>
      <w:spacing w:before="100" w:beforeAutospacing="1" w:after="100" w:afterAutospacing="1"/>
      <w:jc w:val="center"/>
    </w:pPr>
    <w:rPr>
      <w:rFonts w:ascii="Arial Unicode MS" w:hAnsi="Arial Unicode MS"/>
      <w:color w:val="000000"/>
      <w:kern w:val="0"/>
      <w:sz w:val="20"/>
    </w:rPr>
  </w:style>
  <w:style w:type="paragraph" w:customStyle="1" w:styleId="647">
    <w:name w:val="xl56"/>
    <w:basedOn w:val="1"/>
    <w:autoRedefine/>
    <w:qFormat/>
    <w:uiPriority w:val="99"/>
    <w:pPr>
      <w:widowControl/>
      <w:pBdr>
        <w:top w:val="single" w:color="auto" w:sz="4" w:space="0"/>
        <w:bottom w:val="single" w:color="auto" w:sz="4" w:space="0"/>
      </w:pBdr>
      <w:spacing w:before="100" w:beforeAutospacing="1" w:after="100" w:afterAutospacing="1"/>
      <w:jc w:val="center"/>
    </w:pPr>
    <w:rPr>
      <w:kern w:val="0"/>
      <w:sz w:val="20"/>
    </w:rPr>
  </w:style>
  <w:style w:type="table" w:customStyle="1" w:styleId="648">
    <w:name w:val="网格型31"/>
    <w:basedOn w:val="7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9">
    <w:name w:val="网格型14"/>
    <w:basedOn w:val="7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0">
    <w:name w:val="网格型23"/>
    <w:basedOn w:val="7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1">
    <w:name w:val="网格型111"/>
    <w:basedOn w:val="76"/>
    <w:autoRedefine/>
    <w:qFormat/>
    <w:uiPriority w:val="0"/>
    <w:pPr>
      <w:widowControl w:val="0"/>
      <w:adjustRightInd w:val="0"/>
      <w:spacing w:line="360"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2">
    <w:name w:val="description"/>
    <w:basedOn w:val="79"/>
    <w:autoRedefine/>
    <w:qFormat/>
    <w:uiPriority w:val="0"/>
  </w:style>
  <w:style w:type="paragraph" w:customStyle="1" w:styleId="653">
    <w:name w:val="表文字中"/>
    <w:basedOn w:val="1"/>
    <w:next w:val="1"/>
    <w:link w:val="654"/>
    <w:autoRedefine/>
    <w:qFormat/>
    <w:uiPriority w:val="0"/>
    <w:pPr>
      <w:snapToGrid w:val="0"/>
      <w:jc w:val="center"/>
    </w:pPr>
    <w:rPr>
      <w:rFonts w:eastAsia="仿宋_GB2312"/>
      <w:szCs w:val="21"/>
    </w:rPr>
  </w:style>
  <w:style w:type="character" w:customStyle="1" w:styleId="654">
    <w:name w:val="表文字中 Char"/>
    <w:link w:val="653"/>
    <w:autoRedefine/>
    <w:qFormat/>
    <w:uiPriority w:val="0"/>
    <w:rPr>
      <w:rFonts w:eastAsia="仿宋_GB2312"/>
      <w:kern w:val="2"/>
      <w:sz w:val="21"/>
      <w:szCs w:val="21"/>
    </w:rPr>
  </w:style>
  <w:style w:type="paragraph" w:customStyle="1" w:styleId="655">
    <w:name w:val="reader-word-layer reader-word-s18-11"/>
    <w:basedOn w:val="1"/>
    <w:autoRedefine/>
    <w:qFormat/>
    <w:uiPriority w:val="0"/>
    <w:pPr>
      <w:widowControl/>
      <w:spacing w:before="100" w:beforeAutospacing="1" w:after="100" w:afterAutospacing="1"/>
      <w:jc w:val="left"/>
    </w:pPr>
    <w:rPr>
      <w:rFonts w:ascii="宋体" w:hAnsi="宋体" w:cs="宋体"/>
      <w:kern w:val="0"/>
      <w:sz w:val="28"/>
      <w:szCs w:val="22"/>
    </w:rPr>
  </w:style>
  <w:style w:type="paragraph" w:customStyle="1" w:styleId="656">
    <w:name w:val="二级条标题"/>
    <w:basedOn w:val="1"/>
    <w:next w:val="1"/>
    <w:link w:val="657"/>
    <w:autoRedefine/>
    <w:qFormat/>
    <w:uiPriority w:val="0"/>
    <w:pPr>
      <w:widowControl/>
      <w:ind w:left="1260" w:firstLine="200" w:firstLineChars="200"/>
      <w:jc w:val="left"/>
      <w:outlineLvl w:val="3"/>
    </w:pPr>
    <w:rPr>
      <w:rFonts w:eastAsia="黑体"/>
      <w:kern w:val="0"/>
      <w:sz w:val="20"/>
    </w:rPr>
  </w:style>
  <w:style w:type="character" w:customStyle="1" w:styleId="657">
    <w:name w:val="二级条标题 Char"/>
    <w:link w:val="656"/>
    <w:autoRedefine/>
    <w:qFormat/>
    <w:uiPriority w:val="0"/>
    <w:rPr>
      <w:rFonts w:eastAsia="黑体"/>
    </w:rPr>
  </w:style>
  <w:style w:type="paragraph" w:customStyle="1" w:styleId="658">
    <w:name w:val="样式 段 + 首行缩进:  2 字符"/>
    <w:basedOn w:val="171"/>
    <w:link w:val="659"/>
    <w:autoRedefine/>
    <w:qFormat/>
    <w:uiPriority w:val="0"/>
    <w:pPr>
      <w:ind w:firstLine="420"/>
    </w:pPr>
    <w:rPr>
      <w:rFonts w:ascii="Times New Roman"/>
      <w:kern w:val="0"/>
      <w:sz w:val="20"/>
      <w:szCs w:val="21"/>
    </w:rPr>
  </w:style>
  <w:style w:type="character" w:customStyle="1" w:styleId="659">
    <w:name w:val="样式 段 + 首行缩进:  2 字符 Char"/>
    <w:link w:val="658"/>
    <w:autoRedefine/>
    <w:qFormat/>
    <w:uiPriority w:val="0"/>
    <w:rPr>
      <w:szCs w:val="21"/>
    </w:rPr>
  </w:style>
  <w:style w:type="paragraph" w:customStyle="1" w:styleId="660">
    <w:name w:val="_Style 29"/>
    <w:basedOn w:val="1"/>
    <w:autoRedefine/>
    <w:qFormat/>
    <w:uiPriority w:val="0"/>
    <w:rPr>
      <w:szCs w:val="24"/>
    </w:rPr>
  </w:style>
  <w:style w:type="paragraph" w:customStyle="1" w:styleId="661">
    <w:name w:val="正文3"/>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662">
    <w:name w:val="font2"/>
    <w:basedOn w:val="1"/>
    <w:autoRedefine/>
    <w:qFormat/>
    <w:uiPriority w:val="0"/>
    <w:pPr>
      <w:widowControl/>
      <w:spacing w:before="100" w:beforeAutospacing="1" w:after="100" w:afterAutospacing="1"/>
      <w:jc w:val="left"/>
    </w:pPr>
    <w:rPr>
      <w:rFonts w:ascii="仿宋_GB2312" w:hAnsi="宋体" w:eastAsia="仿宋_GB2312" w:cs="宋体"/>
      <w:color w:val="000000"/>
      <w:kern w:val="0"/>
      <w:szCs w:val="21"/>
    </w:rPr>
  </w:style>
  <w:style w:type="paragraph" w:customStyle="1" w:styleId="663">
    <w:name w:val="font3"/>
    <w:basedOn w:val="1"/>
    <w:autoRedefine/>
    <w:qFormat/>
    <w:uiPriority w:val="0"/>
    <w:pPr>
      <w:widowControl/>
      <w:spacing w:before="100" w:beforeAutospacing="1" w:after="100" w:afterAutospacing="1"/>
      <w:jc w:val="left"/>
    </w:pPr>
    <w:rPr>
      <w:rFonts w:ascii="等线" w:hAnsi="等线" w:eastAsia="等线" w:cs="宋体"/>
      <w:color w:val="000000"/>
      <w:kern w:val="0"/>
      <w:sz w:val="22"/>
      <w:szCs w:val="22"/>
    </w:rPr>
  </w:style>
  <w:style w:type="paragraph" w:customStyle="1" w:styleId="664">
    <w:name w:val="font4"/>
    <w:basedOn w:val="1"/>
    <w:autoRedefine/>
    <w:qFormat/>
    <w:uiPriority w:val="0"/>
    <w:pPr>
      <w:widowControl/>
      <w:spacing w:before="100" w:beforeAutospacing="1" w:after="100" w:afterAutospacing="1"/>
      <w:jc w:val="left"/>
    </w:pPr>
    <w:rPr>
      <w:rFonts w:ascii="等线" w:hAnsi="等线" w:eastAsia="等线" w:cs="宋体"/>
      <w:color w:val="000000"/>
      <w:kern w:val="0"/>
      <w:sz w:val="22"/>
      <w:szCs w:val="22"/>
    </w:rPr>
  </w:style>
  <w:style w:type="paragraph" w:customStyle="1" w:styleId="665">
    <w:name w:val="et2"/>
    <w:basedOn w:val="1"/>
    <w:autoRedefine/>
    <w:qFormat/>
    <w:uiPriority w:val="0"/>
    <w:pPr>
      <w:widowControl/>
      <w:spacing w:before="100" w:beforeAutospacing="1" w:after="100" w:afterAutospacing="1"/>
      <w:jc w:val="left"/>
    </w:pPr>
    <w:rPr>
      <w:rFonts w:ascii="宋体" w:hAnsi="宋体" w:cs="宋体"/>
      <w:color w:val="000000"/>
      <w:kern w:val="0"/>
      <w:sz w:val="28"/>
      <w:szCs w:val="24"/>
    </w:rPr>
  </w:style>
  <w:style w:type="paragraph" w:customStyle="1" w:styleId="666">
    <w:name w:val="et3"/>
    <w:basedOn w:val="1"/>
    <w:autoRedefine/>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textAlignment w:val="center"/>
    </w:pPr>
    <w:rPr>
      <w:rFonts w:ascii="仿宋_GB2312" w:hAnsi="宋体" w:eastAsia="仿宋_GB2312" w:cs="宋体"/>
      <w:color w:val="000000"/>
      <w:kern w:val="0"/>
      <w:szCs w:val="21"/>
    </w:rPr>
  </w:style>
  <w:style w:type="paragraph" w:customStyle="1" w:styleId="667">
    <w:name w:val="et4"/>
    <w:basedOn w:val="1"/>
    <w:autoRedefine/>
    <w:qFormat/>
    <w:uiPriority w:val="0"/>
    <w:pPr>
      <w:widowControl/>
      <w:pBdr>
        <w:top w:val="single" w:color="000000" w:sz="8" w:space="0"/>
        <w:bottom w:val="single" w:color="000000" w:sz="8" w:space="0"/>
        <w:right w:val="single" w:color="000000" w:sz="8" w:space="0"/>
      </w:pBdr>
      <w:spacing w:before="100" w:beforeAutospacing="1" w:after="100" w:afterAutospacing="1"/>
      <w:jc w:val="center"/>
      <w:textAlignment w:val="center"/>
    </w:pPr>
    <w:rPr>
      <w:rFonts w:ascii="仿宋_GB2312" w:hAnsi="宋体" w:eastAsia="仿宋_GB2312" w:cs="宋体"/>
      <w:color w:val="000000"/>
      <w:kern w:val="0"/>
      <w:szCs w:val="21"/>
    </w:rPr>
  </w:style>
  <w:style w:type="paragraph" w:customStyle="1" w:styleId="668">
    <w:name w:val="et5"/>
    <w:basedOn w:val="1"/>
    <w:autoRedefine/>
    <w:qFormat/>
    <w:uiPriority w:val="0"/>
    <w:pPr>
      <w:widowControl/>
      <w:pBdr>
        <w:top w:val="single" w:color="000000" w:sz="8" w:space="0"/>
        <w:left w:val="single" w:color="000000" w:sz="8" w:space="0"/>
        <w:right w:val="single" w:color="000000" w:sz="8" w:space="0"/>
      </w:pBdr>
      <w:spacing w:before="100" w:beforeAutospacing="1" w:after="100" w:afterAutospacing="1"/>
      <w:jc w:val="center"/>
      <w:textAlignment w:val="center"/>
    </w:pPr>
    <w:rPr>
      <w:rFonts w:ascii="仿宋_GB2312" w:hAnsi="宋体" w:eastAsia="仿宋_GB2312" w:cs="宋体"/>
      <w:color w:val="000000"/>
      <w:kern w:val="0"/>
      <w:szCs w:val="21"/>
    </w:rPr>
  </w:style>
  <w:style w:type="paragraph" w:customStyle="1" w:styleId="669">
    <w:name w:val="et6"/>
    <w:basedOn w:val="1"/>
    <w:autoRedefine/>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仿宋_GB2312" w:hAnsi="宋体" w:eastAsia="仿宋_GB2312" w:cs="宋体"/>
      <w:color w:val="000000"/>
      <w:kern w:val="0"/>
      <w:szCs w:val="21"/>
    </w:rPr>
  </w:style>
  <w:style w:type="paragraph" w:customStyle="1" w:styleId="670">
    <w:name w:val="et7"/>
    <w:basedOn w:val="1"/>
    <w:autoRedefine/>
    <w:qFormat/>
    <w:uiPriority w:val="0"/>
    <w:pPr>
      <w:widowControl/>
      <w:pBdr>
        <w:bottom w:val="single" w:color="000000" w:sz="8" w:space="0"/>
        <w:right w:val="single" w:color="000000" w:sz="8" w:space="0"/>
      </w:pBdr>
      <w:spacing w:before="100" w:beforeAutospacing="1" w:after="100" w:afterAutospacing="1"/>
      <w:jc w:val="center"/>
      <w:textAlignment w:val="center"/>
    </w:pPr>
    <w:rPr>
      <w:color w:val="000000"/>
      <w:kern w:val="0"/>
      <w:szCs w:val="21"/>
    </w:rPr>
  </w:style>
  <w:style w:type="paragraph" w:customStyle="1" w:styleId="671">
    <w:name w:val="et8"/>
    <w:basedOn w:val="1"/>
    <w:autoRedefine/>
    <w:qFormat/>
    <w:uiPriority w:val="0"/>
    <w:pPr>
      <w:widowControl/>
      <w:pBdr>
        <w:left w:val="single" w:color="000000" w:sz="8" w:space="0"/>
        <w:right w:val="single" w:color="000000" w:sz="8" w:space="0"/>
      </w:pBdr>
      <w:spacing w:before="100" w:beforeAutospacing="1" w:after="100" w:afterAutospacing="1"/>
      <w:jc w:val="center"/>
      <w:textAlignment w:val="center"/>
    </w:pPr>
    <w:rPr>
      <w:rFonts w:ascii="仿宋_GB2312" w:hAnsi="宋体" w:eastAsia="仿宋_GB2312" w:cs="宋体"/>
      <w:color w:val="000000"/>
      <w:kern w:val="0"/>
      <w:szCs w:val="21"/>
    </w:rPr>
  </w:style>
  <w:style w:type="paragraph" w:customStyle="1" w:styleId="672">
    <w:name w:val="et9"/>
    <w:basedOn w:val="1"/>
    <w:autoRedefine/>
    <w:qFormat/>
    <w:uiPriority w:val="0"/>
    <w:pPr>
      <w:widowControl/>
      <w:pBdr>
        <w:left w:val="single" w:color="000000" w:sz="8" w:space="0"/>
        <w:bottom w:val="single" w:color="000000" w:sz="8" w:space="0"/>
        <w:right w:val="single" w:color="000000" w:sz="8" w:space="0"/>
      </w:pBdr>
      <w:spacing w:before="100" w:beforeAutospacing="1" w:after="100" w:afterAutospacing="1"/>
      <w:jc w:val="center"/>
      <w:textAlignment w:val="center"/>
    </w:pPr>
    <w:rPr>
      <w:rFonts w:ascii="仿宋_GB2312" w:hAnsi="宋体" w:eastAsia="仿宋_GB2312" w:cs="宋体"/>
      <w:color w:val="000000"/>
      <w:kern w:val="0"/>
      <w:szCs w:val="21"/>
    </w:rPr>
  </w:style>
  <w:style w:type="paragraph" w:customStyle="1" w:styleId="673">
    <w:name w:val="et10"/>
    <w:basedOn w:val="1"/>
    <w:autoRedefine/>
    <w:qFormat/>
    <w:uiPriority w:val="0"/>
    <w:pPr>
      <w:widowControl/>
      <w:pBdr>
        <w:top w:val="single" w:color="000000" w:sz="8" w:space="0"/>
        <w:left w:val="single" w:color="000000" w:sz="8" w:space="0"/>
        <w:right w:val="single" w:color="000000" w:sz="12" w:space="0"/>
      </w:pBdr>
      <w:spacing w:before="100" w:beforeAutospacing="1" w:after="100" w:afterAutospacing="1"/>
      <w:jc w:val="center"/>
      <w:textAlignment w:val="center"/>
    </w:pPr>
    <w:rPr>
      <w:rFonts w:ascii="仿宋_GB2312" w:hAnsi="宋体" w:eastAsia="仿宋_GB2312" w:cs="宋体"/>
      <w:color w:val="000000"/>
      <w:kern w:val="0"/>
      <w:szCs w:val="21"/>
    </w:rPr>
  </w:style>
  <w:style w:type="paragraph" w:customStyle="1" w:styleId="674">
    <w:name w:val="et11"/>
    <w:basedOn w:val="1"/>
    <w:autoRedefine/>
    <w:qFormat/>
    <w:uiPriority w:val="0"/>
    <w:pPr>
      <w:widowControl/>
      <w:pBdr>
        <w:left w:val="single" w:color="000000" w:sz="8" w:space="0"/>
        <w:right w:val="single" w:color="000000" w:sz="12" w:space="0"/>
      </w:pBdr>
      <w:spacing w:before="100" w:beforeAutospacing="1" w:after="100" w:afterAutospacing="1"/>
      <w:jc w:val="center"/>
      <w:textAlignment w:val="center"/>
    </w:pPr>
    <w:rPr>
      <w:rFonts w:ascii="仿宋_GB2312" w:hAnsi="宋体" w:eastAsia="仿宋_GB2312" w:cs="宋体"/>
      <w:color w:val="000000"/>
      <w:kern w:val="0"/>
      <w:szCs w:val="21"/>
    </w:rPr>
  </w:style>
  <w:style w:type="paragraph" w:customStyle="1" w:styleId="675">
    <w:name w:val="et12"/>
    <w:basedOn w:val="1"/>
    <w:autoRedefine/>
    <w:qFormat/>
    <w:uiPriority w:val="0"/>
    <w:pPr>
      <w:widowControl/>
      <w:pBdr>
        <w:left w:val="single" w:color="000000" w:sz="8" w:space="0"/>
        <w:bottom w:val="single" w:color="000000" w:sz="8" w:space="0"/>
        <w:right w:val="single" w:color="000000" w:sz="12" w:space="0"/>
      </w:pBdr>
      <w:spacing w:before="100" w:beforeAutospacing="1" w:after="100" w:afterAutospacing="1"/>
      <w:jc w:val="center"/>
      <w:textAlignment w:val="center"/>
    </w:pPr>
    <w:rPr>
      <w:rFonts w:ascii="仿宋_GB2312" w:hAnsi="宋体" w:eastAsia="仿宋_GB2312" w:cs="宋体"/>
      <w:color w:val="000000"/>
      <w:kern w:val="0"/>
      <w:szCs w:val="21"/>
    </w:rPr>
  </w:style>
  <w:style w:type="character" w:customStyle="1" w:styleId="676">
    <w:name w:val="纯文本 Char"/>
    <w:autoRedefine/>
    <w:qFormat/>
    <w:uiPriority w:val="0"/>
    <w:rPr>
      <w:rFonts w:ascii="宋体" w:hAnsi="Courier New" w:eastAsia="宋体"/>
      <w:kern w:val="2"/>
      <w:sz w:val="28"/>
      <w:szCs w:val="21"/>
      <w:lang w:val="en-US" w:eastAsia="zh-CN" w:bidi="ar-SA"/>
    </w:rPr>
  </w:style>
  <w:style w:type="paragraph" w:customStyle="1" w:styleId="677">
    <w:name w:val="Default Paragraph Font Para Char"/>
    <w:basedOn w:val="1"/>
    <w:autoRedefine/>
    <w:qFormat/>
    <w:uiPriority w:val="0"/>
    <w:pPr>
      <w:widowControl/>
      <w:spacing w:line="300" w:lineRule="exact"/>
      <w:jc w:val="center"/>
    </w:pPr>
    <w:rPr>
      <w:kern w:val="0"/>
      <w:sz w:val="28"/>
      <w:lang w:eastAsia="en-US"/>
    </w:rPr>
  </w:style>
  <w:style w:type="paragraph" w:customStyle="1" w:styleId="678">
    <w:name w:val="4正文-HF"/>
    <w:link w:val="679"/>
    <w:autoRedefine/>
    <w:qFormat/>
    <w:uiPriority w:val="0"/>
    <w:pPr>
      <w:widowControl w:val="0"/>
      <w:adjustRightInd w:val="0"/>
      <w:snapToGrid w:val="0"/>
      <w:spacing w:line="360" w:lineRule="auto"/>
      <w:ind w:firstLine="200" w:firstLineChars="200"/>
      <w:jc w:val="both"/>
    </w:pPr>
    <w:rPr>
      <w:rFonts w:ascii="宋体" w:hAnsi="宋体" w:eastAsia="宋体" w:cs="宋体"/>
      <w:kern w:val="2"/>
      <w:sz w:val="24"/>
      <w:szCs w:val="28"/>
      <w:lang w:val="en-US" w:eastAsia="zh-CN" w:bidi="ar-SA"/>
    </w:rPr>
  </w:style>
  <w:style w:type="character" w:customStyle="1" w:styleId="679">
    <w:name w:val="4正文-HF 字符"/>
    <w:link w:val="678"/>
    <w:autoRedefine/>
    <w:qFormat/>
    <w:uiPriority w:val="0"/>
    <w:rPr>
      <w:rFonts w:ascii="宋体" w:hAnsi="宋体" w:cs="宋体"/>
      <w:kern w:val="2"/>
      <w:sz w:val="24"/>
      <w:szCs w:val="28"/>
    </w:rPr>
  </w:style>
  <w:style w:type="paragraph" w:customStyle="1" w:styleId="680">
    <w:name w:val="正文，首行缩进2"/>
    <w:basedOn w:val="1"/>
    <w:autoRedefine/>
    <w:qFormat/>
    <w:uiPriority w:val="0"/>
    <w:pPr>
      <w:widowControl/>
      <w:adjustRightInd w:val="0"/>
      <w:snapToGrid w:val="0"/>
      <w:spacing w:line="360" w:lineRule="auto"/>
      <w:ind w:firstLine="200" w:firstLineChars="200"/>
      <w:jc w:val="left"/>
    </w:pPr>
    <w:rPr>
      <w:rFonts w:ascii="Calibri" w:hAnsi="Calibri" w:eastAsia="仿宋_GB2312"/>
      <w:kern w:val="0"/>
      <w:sz w:val="28"/>
      <w:szCs w:val="22"/>
      <w:lang w:eastAsia="en-US" w:bidi="en-US"/>
    </w:rPr>
  </w:style>
  <w:style w:type="paragraph" w:customStyle="1" w:styleId="681">
    <w:name w:val="样式9"/>
    <w:basedOn w:val="49"/>
    <w:autoRedefine/>
    <w:qFormat/>
    <w:uiPriority w:val="99"/>
    <w:pPr>
      <w:pBdr>
        <w:top w:val="single" w:color="000000" w:sz="6" w:space="1"/>
        <w:left w:val="none" w:color="auto" w:sz="0" w:space="4"/>
        <w:bottom w:val="none" w:color="auto" w:sz="0" w:space="1"/>
        <w:right w:val="none" w:color="auto" w:sz="0" w:space="4"/>
      </w:pBdr>
      <w:adjustRightInd w:val="0"/>
      <w:jc w:val="center"/>
    </w:pPr>
    <w:rPr>
      <w:kern w:val="0"/>
      <w:szCs w:val="18"/>
    </w:rPr>
  </w:style>
  <w:style w:type="character" w:customStyle="1" w:styleId="682">
    <w:name w:val="Body text|1_"/>
    <w:basedOn w:val="79"/>
    <w:link w:val="268"/>
    <w:autoRedefine/>
    <w:qFormat/>
    <w:uiPriority w:val="0"/>
    <w:rPr>
      <w:rFonts w:ascii="宋体" w:hAnsi="宋体" w:cs="宋体"/>
      <w:kern w:val="2"/>
      <w:sz w:val="26"/>
      <w:szCs w:val="26"/>
      <w:lang w:val="zh-TW" w:eastAsia="zh-TW" w:bidi="zh-TW"/>
    </w:rPr>
  </w:style>
  <w:style w:type="paragraph" w:customStyle="1" w:styleId="683">
    <w:name w:val="样式 仿宋 小四 行距: 1.5 倍行距"/>
    <w:basedOn w:val="1"/>
    <w:autoRedefine/>
    <w:qFormat/>
    <w:uiPriority w:val="0"/>
    <w:pPr>
      <w:adjustRightInd w:val="0"/>
      <w:snapToGrid w:val="0"/>
      <w:spacing w:line="360" w:lineRule="auto"/>
      <w:ind w:firstLine="480" w:firstLineChars="200"/>
    </w:pPr>
    <w:rPr>
      <w:rFonts w:eastAsia="仿宋" w:cs="宋体"/>
      <w:sz w:val="28"/>
    </w:rPr>
  </w:style>
  <w:style w:type="paragraph" w:customStyle="1" w:styleId="684">
    <w:name w:val="正文表格"/>
    <w:next w:val="1"/>
    <w:autoRedefine/>
    <w:qFormat/>
    <w:uiPriority w:val="0"/>
    <w:pPr>
      <w:widowControl w:val="0"/>
      <w:adjustRightInd w:val="0"/>
      <w:snapToGrid w:val="0"/>
      <w:jc w:val="center"/>
    </w:pPr>
    <w:rPr>
      <w:rFonts w:ascii="Times New Roman" w:hAnsi="Times New Roman" w:eastAsia="宋体" w:cs="Times New Roman"/>
      <w:kern w:val="2"/>
      <w:sz w:val="21"/>
      <w:szCs w:val="24"/>
      <w:lang w:val="en-US" w:eastAsia="zh-CN" w:bidi="ar-SA"/>
    </w:rPr>
  </w:style>
  <w:style w:type="paragraph" w:customStyle="1" w:styleId="685">
    <w:name w:val="正文4"/>
    <w:autoRedefine/>
    <w:qFormat/>
    <w:uiPriority w:val="0"/>
    <w:pPr>
      <w:jc w:val="both"/>
    </w:pPr>
    <w:rPr>
      <w:rFonts w:ascii="Times New Roman" w:hAnsi="Times New Roman" w:eastAsia="宋体" w:cs="Times New Roman"/>
      <w:kern w:val="2"/>
      <w:sz w:val="21"/>
      <w:szCs w:val="21"/>
      <w:lang w:val="en-US" w:eastAsia="zh-CN" w:bidi="ar-SA"/>
    </w:rPr>
  </w:style>
  <w:style w:type="table" w:customStyle="1" w:styleId="686">
    <w:name w:val="Table Normal11"/>
    <w:basedOn w:val="76"/>
    <w:autoRedefine/>
    <w:qFormat/>
    <w:uiPriority w:val="0"/>
    <w:rPr>
      <w:rFonts w:eastAsia="Times New Roman"/>
    </w:rPr>
    <w:tblPr>
      <w:tblCellMar>
        <w:left w:w="0" w:type="dxa"/>
        <w:right w:w="0" w:type="dxa"/>
      </w:tblCellMar>
    </w:tblPr>
  </w:style>
  <w:style w:type="table" w:customStyle="1" w:styleId="687">
    <w:name w:val="Table Normal12"/>
    <w:autoRedefine/>
    <w:semiHidden/>
    <w:unhideWhenUsed/>
    <w:qFormat/>
    <w:uiPriority w:val="0"/>
    <w:rPr>
      <w:rFonts w:ascii="Arial" w:hAnsi="Arial" w:cs="Arial"/>
    </w:rPr>
    <w:tblPr>
      <w:tblCellMar>
        <w:top w:w="0" w:type="dxa"/>
        <w:left w:w="0" w:type="dxa"/>
        <w:bottom w:w="0" w:type="dxa"/>
        <w:right w:w="0" w:type="dxa"/>
      </w:tblCellMar>
    </w:tblPr>
  </w:style>
  <w:style w:type="table" w:customStyle="1" w:styleId="688">
    <w:name w:val="Table Normal21"/>
    <w:autoRedefine/>
    <w:semiHidden/>
    <w:unhideWhenUsed/>
    <w:qFormat/>
    <w:uiPriority w:val="0"/>
    <w:rPr>
      <w:rFonts w:ascii="Arial" w:hAnsi="Arial" w:cs="Arial"/>
    </w:rPr>
    <w:tblPr>
      <w:tblCellMar>
        <w:top w:w="0" w:type="dxa"/>
        <w:left w:w="0" w:type="dxa"/>
        <w:bottom w:w="0" w:type="dxa"/>
        <w:right w:w="0" w:type="dxa"/>
      </w:tblCellMar>
    </w:tblPr>
  </w:style>
  <w:style w:type="paragraph" w:customStyle="1" w:styleId="689">
    <w:name w:val="文章正文"/>
    <w:basedOn w:val="1"/>
    <w:autoRedefine/>
    <w:qFormat/>
    <w:uiPriority w:val="0"/>
    <w:pPr>
      <w:autoSpaceDE w:val="0"/>
      <w:autoSpaceDN w:val="0"/>
      <w:adjustRightInd w:val="0"/>
      <w:snapToGrid w:val="0"/>
      <w:spacing w:line="360" w:lineRule="auto"/>
      <w:ind w:firstLine="200" w:firstLineChars="200"/>
      <w:jc w:val="left"/>
    </w:pPr>
    <w:rPr>
      <w:bCs/>
      <w:kern w:val="0"/>
      <w:sz w:val="28"/>
      <w:szCs w:val="28"/>
    </w:rPr>
  </w:style>
  <w:style w:type="paragraph" w:customStyle="1" w:styleId="690">
    <w:name w:val="图 名"/>
    <w:basedOn w:val="1"/>
    <w:autoRedefine/>
    <w:qFormat/>
    <w:uiPriority w:val="0"/>
    <w:pPr>
      <w:adjustRightInd w:val="0"/>
      <w:snapToGrid w:val="0"/>
      <w:spacing w:beforeLines="50" w:line="360" w:lineRule="auto"/>
      <w:ind w:firstLine="723" w:firstLineChars="200"/>
      <w:jc w:val="center"/>
    </w:pPr>
    <w:rPr>
      <w:b/>
      <w:szCs w:val="24"/>
    </w:rPr>
  </w:style>
  <w:style w:type="paragraph" w:customStyle="1" w:styleId="691">
    <w:name w:val="其他"/>
    <w:basedOn w:val="1"/>
    <w:autoRedefine/>
    <w:qFormat/>
    <w:uiPriority w:val="0"/>
    <w:pPr>
      <w:adjustRightInd w:val="0"/>
      <w:snapToGrid w:val="0"/>
      <w:spacing w:line="454" w:lineRule="auto"/>
      <w:ind w:firstLine="400" w:firstLineChars="200"/>
    </w:pPr>
    <w:rPr>
      <w:rFonts w:ascii="宋体" w:hAnsi="宋体" w:cs="宋体"/>
      <w:sz w:val="20"/>
    </w:rPr>
  </w:style>
  <w:style w:type="paragraph" w:customStyle="1" w:styleId="692">
    <w:name w:val="表内－中"/>
    <w:autoRedefine/>
    <w:qFormat/>
    <w:uiPriority w:val="0"/>
    <w:pPr>
      <w:widowControl w:val="0"/>
      <w:adjustRightInd w:val="0"/>
      <w:snapToGrid w:val="0"/>
      <w:jc w:val="center"/>
    </w:pPr>
    <w:rPr>
      <w:rFonts w:ascii="Times New Roman" w:hAnsi="Times New Roman" w:eastAsia="宋体" w:cs="Times New Roman"/>
      <w:kern w:val="28"/>
      <w:sz w:val="21"/>
      <w:szCs w:val="24"/>
      <w:lang w:val="en-US" w:eastAsia="zh-CN" w:bidi="ar-SA"/>
    </w:rPr>
  </w:style>
  <w:style w:type="paragraph" w:customStyle="1" w:styleId="693">
    <w:name w:val="图名hh"/>
    <w:basedOn w:val="1"/>
    <w:next w:val="694"/>
    <w:autoRedefine/>
    <w:qFormat/>
    <w:uiPriority w:val="0"/>
    <w:pPr>
      <w:adjustRightInd w:val="0"/>
      <w:snapToGrid w:val="0"/>
      <w:spacing w:line="360" w:lineRule="auto"/>
      <w:ind w:firstLine="200" w:firstLineChars="200"/>
      <w:jc w:val="center"/>
    </w:pPr>
    <w:rPr>
      <w:rFonts w:hAnsi="宋体" w:eastAsia="黑体"/>
      <w:szCs w:val="22"/>
    </w:rPr>
  </w:style>
  <w:style w:type="paragraph" w:customStyle="1" w:styleId="694">
    <w:name w:val="表名 刘宇"/>
    <w:basedOn w:val="1"/>
    <w:autoRedefine/>
    <w:qFormat/>
    <w:uiPriority w:val="0"/>
    <w:pPr>
      <w:adjustRightInd w:val="0"/>
      <w:snapToGrid w:val="0"/>
      <w:spacing w:line="360" w:lineRule="auto"/>
      <w:ind w:firstLine="200" w:firstLineChars="200"/>
      <w:jc w:val="center"/>
    </w:pPr>
    <w:rPr>
      <w:rFonts w:eastAsia="黑体"/>
      <w:sz w:val="28"/>
      <w:szCs w:val="22"/>
    </w:rPr>
  </w:style>
  <w:style w:type="paragraph" w:customStyle="1" w:styleId="695">
    <w:name w:val="6正文-FK"/>
    <w:autoRedefine/>
    <w:qFormat/>
    <w:uiPriority w:val="0"/>
    <w:pPr>
      <w:widowControl w:val="0"/>
      <w:adjustRightInd w:val="0"/>
      <w:snapToGrid w:val="0"/>
      <w:spacing w:line="560" w:lineRule="exact"/>
      <w:ind w:firstLine="200" w:firstLineChars="200"/>
      <w:jc w:val="both"/>
    </w:pPr>
    <w:rPr>
      <w:rFonts w:ascii="Times New Roman" w:hAnsi="Times New Roman" w:eastAsia="仿宋" w:cs="Times New Roman"/>
      <w:color w:val="000000"/>
      <w:kern w:val="2"/>
      <w:sz w:val="24"/>
      <w:szCs w:val="30"/>
      <w:lang w:val="en-US" w:eastAsia="zh-CN" w:bidi="ar-SA"/>
    </w:rPr>
  </w:style>
  <w:style w:type="paragraph" w:customStyle="1" w:styleId="696">
    <w:name w:val="CM5"/>
    <w:basedOn w:val="1"/>
    <w:next w:val="1"/>
    <w:autoRedefine/>
    <w:qFormat/>
    <w:uiPriority w:val="99"/>
    <w:pPr>
      <w:autoSpaceDE w:val="0"/>
      <w:autoSpaceDN w:val="0"/>
      <w:adjustRightInd w:val="0"/>
      <w:snapToGrid w:val="0"/>
      <w:jc w:val="left"/>
    </w:pPr>
    <w:rPr>
      <w:rFonts w:ascii="仿宋_GB2312" w:hAnsi="仿宋_GB2312" w:cs="仿宋_GB2312"/>
      <w:color w:val="000000"/>
      <w:kern w:val="0"/>
      <w:sz w:val="28"/>
      <w:szCs w:val="22"/>
    </w:rPr>
  </w:style>
  <w:style w:type="paragraph" w:customStyle="1" w:styleId="697">
    <w:name w:val="_正文"/>
    <w:basedOn w:val="1"/>
    <w:next w:val="1"/>
    <w:autoRedefine/>
    <w:qFormat/>
    <w:uiPriority w:val="0"/>
    <w:pPr>
      <w:adjustRightInd w:val="0"/>
      <w:snapToGrid w:val="0"/>
      <w:spacing w:line="360" w:lineRule="auto"/>
      <w:ind w:firstLine="200" w:firstLineChars="200"/>
    </w:pPr>
    <w:rPr>
      <w:sz w:val="28"/>
      <w:szCs w:val="28"/>
      <w:lang w:val="zh-CN"/>
    </w:rPr>
  </w:style>
  <w:style w:type="paragraph" w:customStyle="1" w:styleId="698">
    <w:name w:val="_Style 13"/>
    <w:autoRedefine/>
    <w:qFormat/>
    <w:uiPriority w:val="0"/>
    <w:pPr>
      <w:spacing w:before="120" w:after="120" w:line="288" w:lineRule="auto"/>
    </w:pPr>
    <w:rPr>
      <w:rFonts w:ascii="Arial" w:hAnsi="Arial" w:eastAsia="等线" w:cs="Arial"/>
      <w:sz w:val="22"/>
      <w:szCs w:val="22"/>
      <w:lang w:val="en-US" w:eastAsia="zh-CN" w:bidi="ar-SA"/>
    </w:rPr>
  </w:style>
  <w:style w:type="character" w:customStyle="1" w:styleId="699">
    <w:name w:val="纯文本 字符2"/>
    <w:basedOn w:val="79"/>
    <w:autoRedefine/>
    <w:qFormat/>
    <w:uiPriority w:val="99"/>
    <w:rPr>
      <w:rFonts w:hint="eastAsia" w:ascii="宋体" w:hAnsi="Courier New" w:eastAsia="宋体" w:cs="Courier New"/>
      <w:szCs w:val="21"/>
    </w:rPr>
  </w:style>
  <w:style w:type="character" w:customStyle="1" w:styleId="700">
    <w:name w:val="正文文本缩进 3 Char3"/>
    <w:basedOn w:val="79"/>
    <w:autoRedefine/>
    <w:qFormat/>
    <w:uiPriority w:val="99"/>
    <w:rPr>
      <w:sz w:val="16"/>
    </w:rPr>
  </w:style>
  <w:style w:type="character" w:customStyle="1" w:styleId="701">
    <w:name w:val="-14正文2 Char"/>
    <w:basedOn w:val="79"/>
    <w:link w:val="702"/>
    <w:autoRedefine/>
    <w:qFormat/>
    <w:uiPriority w:val="0"/>
    <w:rPr>
      <w:rFonts w:ascii="..ì." w:hAnsi="..ì." w:eastAsia="..ì." w:cs="..ì."/>
      <w:color w:val="000000"/>
    </w:rPr>
  </w:style>
  <w:style w:type="paragraph" w:customStyle="1" w:styleId="702">
    <w:name w:val="-14正文2"/>
    <w:basedOn w:val="1"/>
    <w:link w:val="701"/>
    <w:qFormat/>
    <w:uiPriority w:val="0"/>
    <w:pPr>
      <w:wordWrap w:val="0"/>
      <w:topLinePunct/>
      <w:ind w:firstLine="200" w:firstLineChars="200"/>
      <w:textAlignment w:val="center"/>
    </w:pPr>
    <w:rPr>
      <w:rFonts w:ascii="..ì." w:hAnsi="..ì." w:eastAsia="..ì." w:cs="..ì."/>
      <w:color w:val="000000"/>
      <w:kern w:val="0"/>
      <w:sz w:val="20"/>
    </w:rPr>
  </w:style>
  <w:style w:type="character" w:customStyle="1" w:styleId="703">
    <w:name w:val="引用 Char5"/>
    <w:basedOn w:val="79"/>
    <w:autoRedefine/>
    <w:qFormat/>
    <w:uiPriority w:val="29"/>
    <w:rPr>
      <w:i/>
      <w:sz w:val="21"/>
    </w:rPr>
  </w:style>
  <w:style w:type="character" w:customStyle="1" w:styleId="704">
    <w:name w:val="标题1 Char Char"/>
    <w:basedOn w:val="79"/>
    <w:link w:val="705"/>
    <w:autoRedefine/>
    <w:qFormat/>
    <w:uiPriority w:val="99"/>
    <w:rPr>
      <w:rFonts w:ascii="..ì." w:hAnsi="..ì." w:eastAsia="..ì." w:cs="..ì."/>
      <w:b/>
      <w:bCs/>
      <w:spacing w:val="20"/>
      <w:kern w:val="52"/>
      <w:sz w:val="32"/>
      <w:szCs w:val="32"/>
    </w:rPr>
  </w:style>
  <w:style w:type="paragraph" w:customStyle="1" w:styleId="705">
    <w:name w:val="标题1"/>
    <w:basedOn w:val="3"/>
    <w:link w:val="704"/>
    <w:qFormat/>
    <w:uiPriority w:val="99"/>
    <w:pPr>
      <w:keepNext/>
      <w:keepLines/>
      <w:pageBreakBefore w:val="0"/>
      <w:widowControl/>
      <w:spacing w:line="360" w:lineRule="auto"/>
      <w:textAlignment w:val="center"/>
    </w:pPr>
    <w:rPr>
      <w:rFonts w:ascii="..ì." w:hAnsi="..ì." w:eastAsia="..ì." w:cs="..ì."/>
      <w:b/>
      <w:bCs/>
      <w:spacing w:val="20"/>
      <w:kern w:val="52"/>
      <w:szCs w:val="32"/>
    </w:rPr>
  </w:style>
  <w:style w:type="character" w:customStyle="1" w:styleId="706">
    <w:name w:val="正文文本缩进 2 Char1"/>
    <w:basedOn w:val="79"/>
    <w:autoRedefine/>
    <w:qFormat/>
    <w:uiPriority w:val="99"/>
    <w:rPr>
      <w:rFonts w:hint="default" w:ascii="Tahoma" w:hAnsi="Tahoma" w:eastAsia="..ì." w:cs="Tahoma"/>
      <w:sz w:val="20"/>
    </w:rPr>
  </w:style>
  <w:style w:type="character" w:customStyle="1" w:styleId="707">
    <w:name w:val="正文（缩进2） Char"/>
    <w:basedOn w:val="79"/>
    <w:autoRedefine/>
    <w:qFormat/>
    <w:uiPriority w:val="0"/>
    <w:rPr>
      <w:rFonts w:hint="eastAsia" w:ascii="..ì." w:hAnsi="..ì." w:eastAsia="..ì." w:cs="..ì."/>
      <w:kern w:val="2"/>
      <w:sz w:val="21"/>
    </w:rPr>
  </w:style>
  <w:style w:type="character" w:customStyle="1" w:styleId="708">
    <w:name w:val="z-窗体顶端 Char1"/>
    <w:basedOn w:val="79"/>
    <w:autoRedefine/>
    <w:qFormat/>
    <w:uiPriority w:val="0"/>
    <w:rPr>
      <w:rFonts w:ascii="Arial" w:hAnsi="Arial" w:cs="Arial"/>
      <w:vanish/>
      <w:kern w:val="2"/>
      <w:sz w:val="16"/>
      <w:szCs w:val="16"/>
    </w:rPr>
  </w:style>
  <w:style w:type="character" w:customStyle="1" w:styleId="709">
    <w:name w:val="msoplaceholdertext"/>
    <w:basedOn w:val="79"/>
    <w:autoRedefine/>
    <w:qFormat/>
    <w:uiPriority w:val="0"/>
    <w:rPr>
      <w:color w:val="808080"/>
    </w:rPr>
  </w:style>
  <w:style w:type="character" w:customStyle="1" w:styleId="710">
    <w:name w:val="cont2"/>
    <w:basedOn w:val="79"/>
    <w:autoRedefine/>
    <w:qFormat/>
    <w:uiPriority w:val="0"/>
  </w:style>
  <w:style w:type="character" w:customStyle="1" w:styleId="711">
    <w:name w:val="Char Char22"/>
    <w:basedOn w:val="79"/>
    <w:autoRedefine/>
    <w:qFormat/>
    <w:uiPriority w:val="0"/>
    <w:rPr>
      <w:rFonts w:hint="eastAsia" w:ascii="宋体" w:hAnsi="宋体" w:eastAsia="宋体" w:cs="宋体"/>
      <w:kern w:val="2"/>
      <w:sz w:val="28"/>
    </w:rPr>
  </w:style>
  <w:style w:type="character" w:customStyle="1" w:styleId="712">
    <w:name w:val="a1 Char"/>
    <w:basedOn w:val="79"/>
    <w:link w:val="713"/>
    <w:autoRedefine/>
    <w:qFormat/>
    <w:uiPriority w:val="0"/>
    <w:rPr>
      <w:rFonts w:ascii="宋体" w:hAnsi="宋体" w:cs="宋体"/>
    </w:rPr>
  </w:style>
  <w:style w:type="paragraph" w:customStyle="1" w:styleId="713">
    <w:name w:val="a1"/>
    <w:basedOn w:val="1"/>
    <w:link w:val="712"/>
    <w:qFormat/>
    <w:uiPriority w:val="0"/>
    <w:pPr>
      <w:spacing w:line="360" w:lineRule="auto"/>
      <w:ind w:firstLine="493"/>
    </w:pPr>
    <w:rPr>
      <w:rFonts w:ascii="宋体" w:hAnsi="宋体" w:cs="宋体"/>
      <w:kern w:val="0"/>
      <w:sz w:val="20"/>
    </w:rPr>
  </w:style>
  <w:style w:type="character" w:customStyle="1" w:styleId="714">
    <w:name w:val="blue1"/>
    <w:basedOn w:val="79"/>
    <w:autoRedefine/>
    <w:qFormat/>
    <w:uiPriority w:val="0"/>
  </w:style>
  <w:style w:type="character" w:customStyle="1" w:styleId="715">
    <w:name w:val="正文文本缩进 字符2"/>
    <w:basedOn w:val="79"/>
    <w:autoRedefine/>
    <w:qFormat/>
    <w:uiPriority w:val="99"/>
    <w:rPr>
      <w:rFonts w:hint="default" w:ascii="Tahoma" w:hAnsi="Tahoma" w:eastAsia="仿宋_GB2312" w:cs="Tahoma"/>
      <w:sz w:val="28"/>
      <w:szCs w:val="28"/>
    </w:rPr>
  </w:style>
  <w:style w:type="character" w:customStyle="1" w:styleId="716">
    <w:name w:val="样式 正文 +"/>
    <w:basedOn w:val="79"/>
    <w:autoRedefine/>
    <w:qFormat/>
    <w:uiPriority w:val="0"/>
    <w:rPr>
      <w:kern w:val="0"/>
    </w:rPr>
  </w:style>
  <w:style w:type="character" w:customStyle="1" w:styleId="717">
    <w:name w:val="宏文本 Char1"/>
    <w:basedOn w:val="79"/>
    <w:autoRedefine/>
    <w:qFormat/>
    <w:uiPriority w:val="0"/>
    <w:rPr>
      <w:rFonts w:hint="default" w:ascii="Courier New" w:hAnsi="Courier New" w:cs="Courier New"/>
      <w:kern w:val="2"/>
    </w:rPr>
  </w:style>
  <w:style w:type="character" w:customStyle="1" w:styleId="718">
    <w:name w:val="-14正文2 Char Char"/>
    <w:basedOn w:val="79"/>
    <w:autoRedefine/>
    <w:qFormat/>
    <w:uiPriority w:val="99"/>
    <w:rPr>
      <w:rFonts w:hint="eastAsia" w:ascii="..ì." w:hAnsi="..ì." w:eastAsia="..ì." w:cs="..ì."/>
      <w:color w:val="000000"/>
    </w:rPr>
  </w:style>
  <w:style w:type="character" w:customStyle="1" w:styleId="719">
    <w:name w:val="xp20051"/>
    <w:basedOn w:val="79"/>
    <w:autoRedefine/>
    <w:qFormat/>
    <w:uiPriority w:val="0"/>
    <w:rPr>
      <w:rFonts w:hint="eastAsia" w:ascii="宋体" w:hAnsi="宋体" w:eastAsia="宋体" w:cs="宋体"/>
      <w:sz w:val="18"/>
    </w:rPr>
  </w:style>
  <w:style w:type="character" w:customStyle="1" w:styleId="720">
    <w:name w:val="文档结构图 Char2"/>
    <w:basedOn w:val="79"/>
    <w:autoRedefine/>
    <w:qFormat/>
    <w:uiPriority w:val="0"/>
    <w:rPr>
      <w:rFonts w:hint="eastAsia" w:ascii="Arial Unicode MS" w:hAnsi="Arial Unicode MS" w:eastAsia="Times New Roman" w:cs="Arial Unicode MS"/>
      <w:sz w:val="18"/>
    </w:rPr>
  </w:style>
  <w:style w:type="character" w:customStyle="1" w:styleId="721">
    <w:name w:val="标题 5 Char1"/>
    <w:basedOn w:val="79"/>
    <w:autoRedefine/>
    <w:qFormat/>
    <w:uiPriority w:val="0"/>
    <w:rPr>
      <w:rFonts w:hint="eastAsia" w:ascii="..ì." w:hAnsi="..ì." w:eastAsia="..ì." w:cs="..ì."/>
      <w:color w:val="800080"/>
      <w:kern w:val="28"/>
      <w:sz w:val="28"/>
    </w:rPr>
  </w:style>
  <w:style w:type="character" w:customStyle="1" w:styleId="722">
    <w:name w:val="Char Char241"/>
    <w:basedOn w:val="79"/>
    <w:autoRedefine/>
    <w:qFormat/>
    <w:uiPriority w:val="0"/>
    <w:rPr>
      <w:b/>
      <w:kern w:val="2"/>
      <w:sz w:val="32"/>
    </w:rPr>
  </w:style>
  <w:style w:type="character" w:customStyle="1" w:styleId="723">
    <w:name w:val="几内亚正文 Char"/>
    <w:basedOn w:val="79"/>
    <w:link w:val="724"/>
    <w:autoRedefine/>
    <w:qFormat/>
    <w:uiPriority w:val="0"/>
    <w:rPr>
      <w:color w:val="000000"/>
      <w:sz w:val="24"/>
      <w:szCs w:val="24"/>
      <w:lang w:val="zh-CN"/>
    </w:rPr>
  </w:style>
  <w:style w:type="paragraph" w:customStyle="1" w:styleId="724">
    <w:name w:val="几内亚正文"/>
    <w:basedOn w:val="1"/>
    <w:link w:val="723"/>
    <w:qFormat/>
    <w:uiPriority w:val="0"/>
    <w:pPr>
      <w:autoSpaceDE w:val="0"/>
      <w:autoSpaceDN w:val="0"/>
      <w:adjustRightInd w:val="0"/>
      <w:spacing w:beforeLines="50" w:afterLines="50"/>
      <w:ind w:left="851" w:firstLine="480" w:firstLineChars="200"/>
    </w:pPr>
    <w:rPr>
      <w:color w:val="000000"/>
      <w:kern w:val="0"/>
      <w:sz w:val="24"/>
      <w:szCs w:val="24"/>
      <w:lang w:val="zh-CN"/>
    </w:rPr>
  </w:style>
  <w:style w:type="character" w:customStyle="1" w:styleId="725">
    <w:name w:val="宏文本 字符2"/>
    <w:basedOn w:val="79"/>
    <w:autoRedefine/>
    <w:qFormat/>
    <w:uiPriority w:val="99"/>
    <w:rPr>
      <w:rFonts w:hint="default" w:ascii="Courier New" w:hAnsi="Courier New" w:cs="Courier New"/>
      <w:sz w:val="24"/>
      <w:szCs w:val="24"/>
    </w:rPr>
  </w:style>
  <w:style w:type="character" w:customStyle="1" w:styleId="726">
    <w:name w:val="Char Char131"/>
    <w:basedOn w:val="79"/>
    <w:autoRedefine/>
    <w:qFormat/>
    <w:uiPriority w:val="0"/>
    <w:rPr>
      <w:kern w:val="2"/>
      <w:sz w:val="18"/>
    </w:rPr>
  </w:style>
  <w:style w:type="character" w:customStyle="1" w:styleId="727">
    <w:name w:val="Char Char19"/>
    <w:basedOn w:val="79"/>
    <w:autoRedefine/>
    <w:qFormat/>
    <w:uiPriority w:val="0"/>
    <w:rPr>
      <w:kern w:val="2"/>
    </w:rPr>
  </w:style>
  <w:style w:type="character" w:customStyle="1" w:styleId="728">
    <w:name w:val="图表目录 Char"/>
    <w:basedOn w:val="79"/>
    <w:autoRedefine/>
    <w:qFormat/>
    <w:uiPriority w:val="0"/>
    <w:rPr>
      <w:kern w:val="2"/>
    </w:rPr>
  </w:style>
  <w:style w:type="character" w:customStyle="1" w:styleId="729">
    <w:name w:val="称呼 Char1"/>
    <w:basedOn w:val="79"/>
    <w:autoRedefine/>
    <w:qFormat/>
    <w:uiPriority w:val="0"/>
    <w:rPr>
      <w:kern w:val="2"/>
    </w:rPr>
  </w:style>
  <w:style w:type="character" w:customStyle="1" w:styleId="730">
    <w:name w:val="Char Char511"/>
    <w:basedOn w:val="79"/>
    <w:autoRedefine/>
    <w:qFormat/>
    <w:uiPriority w:val="99"/>
    <w:rPr>
      <w:b/>
      <w:kern w:val="2"/>
      <w:sz w:val="30"/>
    </w:rPr>
  </w:style>
  <w:style w:type="character" w:customStyle="1" w:styleId="731">
    <w:name w:val="日期 Char1"/>
    <w:basedOn w:val="79"/>
    <w:autoRedefine/>
    <w:qFormat/>
    <w:uiPriority w:val="99"/>
    <w:rPr>
      <w:sz w:val="21"/>
    </w:rPr>
  </w:style>
  <w:style w:type="character" w:customStyle="1" w:styleId="732">
    <w:name w:val="Char Char41"/>
    <w:basedOn w:val="79"/>
    <w:autoRedefine/>
    <w:qFormat/>
    <w:uiPriority w:val="0"/>
    <w:rPr>
      <w:rFonts w:hint="eastAsia" w:ascii="宋体" w:hAnsi="宋体" w:eastAsia="宋体" w:cs="宋体"/>
      <w:kern w:val="2"/>
    </w:rPr>
  </w:style>
  <w:style w:type="character" w:customStyle="1" w:styleId="733">
    <w:name w:val="标题 3 Char Char1"/>
    <w:basedOn w:val="79"/>
    <w:autoRedefine/>
    <w:qFormat/>
    <w:uiPriority w:val="0"/>
    <w:rPr>
      <w:b/>
      <w:kern w:val="2"/>
      <w:sz w:val="32"/>
    </w:rPr>
  </w:style>
  <w:style w:type="character" w:customStyle="1" w:styleId="734">
    <w:name w:val="正文文本缩进 Char4"/>
    <w:basedOn w:val="79"/>
    <w:autoRedefine/>
    <w:qFormat/>
    <w:uiPriority w:val="99"/>
    <w:rPr>
      <w:sz w:val="21"/>
    </w:rPr>
  </w:style>
  <w:style w:type="character" w:customStyle="1" w:styleId="735">
    <w:name w:val="批注主题 Char3"/>
    <w:basedOn w:val="79"/>
    <w:autoRedefine/>
    <w:qFormat/>
    <w:uiPriority w:val="99"/>
    <w:rPr>
      <w:b/>
      <w:sz w:val="21"/>
    </w:rPr>
  </w:style>
  <w:style w:type="character" w:customStyle="1" w:styleId="736">
    <w:name w:val="simjour"/>
    <w:basedOn w:val="79"/>
    <w:autoRedefine/>
    <w:qFormat/>
    <w:uiPriority w:val="0"/>
  </w:style>
  <w:style w:type="character" w:customStyle="1" w:styleId="737">
    <w:name w:val="2011迪延正文 Char Char"/>
    <w:basedOn w:val="79"/>
    <w:link w:val="738"/>
    <w:autoRedefine/>
    <w:qFormat/>
    <w:uiPriority w:val="0"/>
  </w:style>
  <w:style w:type="paragraph" w:customStyle="1" w:styleId="738">
    <w:name w:val="2011迪延正文"/>
    <w:basedOn w:val="74"/>
    <w:link w:val="737"/>
    <w:qFormat/>
    <w:uiPriority w:val="0"/>
    <w:pPr>
      <w:spacing w:after="0" w:line="360" w:lineRule="auto"/>
      <w:ind w:firstLine="200" w:firstLineChars="200"/>
      <w:jc w:val="left"/>
    </w:pPr>
    <w:rPr>
      <w:kern w:val="0"/>
      <w:sz w:val="20"/>
      <w:szCs w:val="20"/>
    </w:rPr>
  </w:style>
  <w:style w:type="character" w:customStyle="1" w:styleId="739">
    <w:name w:val="副标题 Char2"/>
    <w:basedOn w:val="79"/>
    <w:autoRedefine/>
    <w:qFormat/>
    <w:uiPriority w:val="0"/>
    <w:rPr>
      <w:rFonts w:hint="default" w:ascii="Cambria Math" w:hAnsi="Cambria Math" w:eastAsia="Cambria Math" w:cs="Cambria Math"/>
      <w:b/>
      <w:kern w:val="28"/>
      <w:sz w:val="32"/>
    </w:rPr>
  </w:style>
  <w:style w:type="character" w:customStyle="1" w:styleId="740">
    <w:name w:val="Header Char"/>
    <w:basedOn w:val="79"/>
    <w:autoRedefine/>
    <w:qFormat/>
    <w:uiPriority w:val="0"/>
    <w:rPr>
      <w:rFonts w:hint="default" w:ascii="Times New Roman" w:hAnsi="Times New Roman" w:cs="Times New Roman"/>
      <w:kern w:val="2"/>
      <w:sz w:val="18"/>
      <w:szCs w:val="18"/>
    </w:rPr>
  </w:style>
  <w:style w:type="character" w:customStyle="1" w:styleId="741">
    <w:name w:val="正文文本首行缩进 字符1"/>
    <w:basedOn w:val="348"/>
    <w:autoRedefine/>
    <w:qFormat/>
    <w:uiPriority w:val="99"/>
    <w:rPr>
      <w:rFonts w:hint="eastAsia" w:ascii="..ì." w:hAnsi="..ì." w:eastAsia="..ì." w:cs="..ì."/>
      <w:color w:val="000000"/>
      <w:kern w:val="2"/>
      <w:sz w:val="28"/>
      <w:szCs w:val="28"/>
    </w:rPr>
  </w:style>
  <w:style w:type="character" w:customStyle="1" w:styleId="742">
    <w:name w:val="样式2 Char"/>
    <w:basedOn w:val="79"/>
    <w:autoRedefine/>
    <w:qFormat/>
    <w:uiPriority w:val="0"/>
    <w:rPr>
      <w:rFonts w:hint="default" w:ascii="Cambria" w:hAnsi="Cambria" w:eastAsia="黑体" w:cs="Cambria"/>
      <w:kern w:val="2"/>
    </w:rPr>
  </w:style>
  <w:style w:type="character" w:customStyle="1" w:styleId="743">
    <w:name w:val="1.图 Char"/>
    <w:basedOn w:val="79"/>
    <w:link w:val="744"/>
    <w:autoRedefine/>
    <w:qFormat/>
    <w:uiPriority w:val="0"/>
    <w:rPr>
      <w:rFonts w:ascii="宋体" w:hAnsi="宋体" w:cs="宋体"/>
      <w:b/>
    </w:rPr>
  </w:style>
  <w:style w:type="paragraph" w:customStyle="1" w:styleId="744">
    <w:name w:val="1.图"/>
    <w:basedOn w:val="1"/>
    <w:link w:val="743"/>
    <w:qFormat/>
    <w:uiPriority w:val="0"/>
    <w:pPr>
      <w:spacing w:afterLines="50" w:line="240" w:lineRule="atLeast"/>
      <w:jc w:val="center"/>
    </w:pPr>
    <w:rPr>
      <w:rFonts w:ascii="宋体" w:hAnsi="宋体" w:cs="宋体"/>
      <w:b/>
      <w:kern w:val="0"/>
      <w:sz w:val="20"/>
    </w:rPr>
  </w:style>
  <w:style w:type="character" w:customStyle="1" w:styleId="745">
    <w:name w:val="标题 Char2"/>
    <w:basedOn w:val="79"/>
    <w:autoRedefine/>
    <w:qFormat/>
    <w:uiPriority w:val="10"/>
    <w:rPr>
      <w:rFonts w:hint="default" w:ascii="Arial Narrow" w:hAnsi="Arial Narrow" w:eastAsia="Arial Narrow" w:cs="Arial Narrow"/>
      <w:b/>
      <w:sz w:val="32"/>
    </w:rPr>
  </w:style>
  <w:style w:type="character" w:customStyle="1" w:styleId="746">
    <w:name w:val="2011迪延正文 Char"/>
    <w:basedOn w:val="79"/>
    <w:autoRedefine/>
    <w:qFormat/>
    <w:uiPriority w:val="0"/>
    <w:rPr>
      <w:rFonts w:hint="eastAsia" w:ascii="..ì." w:hAnsi="..ì." w:eastAsia="..ì." w:cs="..ì."/>
      <w:kern w:val="2"/>
    </w:rPr>
  </w:style>
  <w:style w:type="character" w:customStyle="1" w:styleId="747">
    <w:name w:val="脚注文本 字符2"/>
    <w:basedOn w:val="79"/>
    <w:autoRedefine/>
    <w:qFormat/>
    <w:uiPriority w:val="99"/>
    <w:rPr>
      <w:rFonts w:hint="default" w:ascii="Tahoma" w:hAnsi="Tahoma" w:eastAsia="仿宋_GB2312" w:cs="Tahoma"/>
      <w:sz w:val="18"/>
      <w:szCs w:val="18"/>
    </w:rPr>
  </w:style>
  <w:style w:type="character" w:customStyle="1" w:styleId="748">
    <w:name w:val="Char Char63"/>
    <w:basedOn w:val="79"/>
    <w:autoRedefine/>
    <w:qFormat/>
    <w:uiPriority w:val="0"/>
    <w:rPr>
      <w:rFonts w:hint="eastAsia" w:ascii="宋体" w:hAnsi="宋体" w:eastAsia="宋体" w:cs="宋体"/>
      <w:b/>
      <w:kern w:val="2"/>
    </w:rPr>
  </w:style>
  <w:style w:type="character" w:customStyle="1" w:styleId="749">
    <w:name w:val="文档结构图 Char3"/>
    <w:basedOn w:val="79"/>
    <w:autoRedefine/>
    <w:qFormat/>
    <w:uiPriority w:val="99"/>
    <w:rPr>
      <w:rFonts w:hint="eastAsia" w:ascii="Arial Unicode MS" w:hAnsi="Arial Unicode MS" w:eastAsia="Times New Roman" w:cs="Arial Unicode MS"/>
      <w:sz w:val="18"/>
    </w:rPr>
  </w:style>
  <w:style w:type="character" w:customStyle="1" w:styleId="750">
    <w:name w:val="引用 Char1"/>
    <w:basedOn w:val="79"/>
    <w:autoRedefine/>
    <w:qFormat/>
    <w:uiPriority w:val="29"/>
    <w:rPr>
      <w:rFonts w:hint="default" w:ascii="Tahoma" w:hAnsi="Tahoma" w:eastAsia="..ì." w:cs="Tahoma"/>
      <w:i/>
      <w:color w:val="000000"/>
      <w:sz w:val="20"/>
    </w:rPr>
  </w:style>
  <w:style w:type="character" w:customStyle="1" w:styleId="751">
    <w:name w:val="Char Char26"/>
    <w:basedOn w:val="79"/>
    <w:autoRedefine/>
    <w:qFormat/>
    <w:uiPriority w:val="0"/>
    <w:rPr>
      <w:b/>
      <w:kern w:val="44"/>
      <w:sz w:val="44"/>
    </w:rPr>
  </w:style>
  <w:style w:type="character" w:customStyle="1" w:styleId="752">
    <w:name w:val="上标"/>
    <w:basedOn w:val="79"/>
    <w:autoRedefine/>
    <w:qFormat/>
    <w:uiPriority w:val="0"/>
    <w:rPr>
      <w:vertAlign w:val="superscript"/>
    </w:rPr>
  </w:style>
  <w:style w:type="character" w:customStyle="1" w:styleId="753">
    <w:name w:val="标题 3 Char Char Char"/>
    <w:basedOn w:val="79"/>
    <w:autoRedefine/>
    <w:qFormat/>
    <w:uiPriority w:val="0"/>
    <w:rPr>
      <w:rFonts w:hint="eastAsia" w:ascii="黑体" w:hAnsi="宋体" w:eastAsia="黑体" w:cs="黑体"/>
      <w:b/>
      <w:kern w:val="2"/>
      <w:sz w:val="32"/>
    </w:rPr>
  </w:style>
  <w:style w:type="character" w:customStyle="1" w:styleId="754">
    <w:name w:val="Char Char25"/>
    <w:basedOn w:val="79"/>
    <w:autoRedefine/>
    <w:qFormat/>
    <w:uiPriority w:val="0"/>
    <w:rPr>
      <w:rFonts w:hint="default" w:ascii="Arial" w:hAnsi="Arial" w:eastAsia="黑体" w:cs="Arial"/>
      <w:b/>
      <w:kern w:val="2"/>
      <w:sz w:val="32"/>
    </w:rPr>
  </w:style>
  <w:style w:type="character" w:customStyle="1" w:styleId="755">
    <w:name w:val="引用 字符1"/>
    <w:basedOn w:val="79"/>
    <w:autoRedefine/>
    <w:qFormat/>
    <w:uiPriority w:val="99"/>
    <w:rPr>
      <w:rFonts w:hint="default" w:ascii="Calibri" w:hAnsi="Calibri" w:cs="Calibri"/>
      <w:color w:val="000000"/>
      <w:kern w:val="2"/>
      <w:sz w:val="24"/>
      <w:szCs w:val="24"/>
    </w:rPr>
  </w:style>
  <w:style w:type="character" w:customStyle="1" w:styleId="756">
    <w:name w:val="正文首行缩进 Char1"/>
    <w:basedOn w:val="79"/>
    <w:autoRedefine/>
    <w:qFormat/>
    <w:uiPriority w:val="0"/>
    <w:rPr>
      <w:rFonts w:hint="eastAsia" w:ascii="..ì." w:hAnsi="..ì." w:eastAsia="..ì." w:cs="..ì."/>
      <w:color w:val="000000"/>
      <w:kern w:val="2"/>
      <w:sz w:val="21"/>
    </w:rPr>
  </w:style>
  <w:style w:type="character" w:customStyle="1" w:styleId="757">
    <w:name w:val="HTML 预设格式 Char1"/>
    <w:basedOn w:val="79"/>
    <w:autoRedefine/>
    <w:qFormat/>
    <w:uiPriority w:val="99"/>
    <w:rPr>
      <w:rFonts w:hint="eastAsia" w:ascii="宋体" w:hAnsi="Courier New" w:eastAsia="宋体" w:cs="宋体"/>
      <w:sz w:val="20"/>
    </w:rPr>
  </w:style>
  <w:style w:type="character" w:customStyle="1" w:styleId="758">
    <w:name w:val="Heading 2 Char"/>
    <w:basedOn w:val="79"/>
    <w:autoRedefine/>
    <w:qFormat/>
    <w:uiPriority w:val="0"/>
    <w:rPr>
      <w:rFonts w:hint="default" w:ascii="Tahoma" w:hAnsi="Tahoma" w:eastAsia="..ì." w:cs="Tahoma"/>
      <w:color w:val="000000"/>
      <w:sz w:val="20"/>
      <w:szCs w:val="20"/>
    </w:rPr>
  </w:style>
  <w:style w:type="character" w:customStyle="1" w:styleId="759">
    <w:name w:val="lcb正文 Char"/>
    <w:basedOn w:val="79"/>
    <w:autoRedefine/>
    <w:qFormat/>
    <w:uiPriority w:val="0"/>
    <w:rPr>
      <w:sz w:val="21"/>
    </w:rPr>
  </w:style>
  <w:style w:type="character" w:customStyle="1" w:styleId="760">
    <w:name w:val="标题3 Char Char"/>
    <w:basedOn w:val="79"/>
    <w:autoRedefine/>
    <w:qFormat/>
    <w:uiPriority w:val="0"/>
    <w:rPr>
      <w:rFonts w:hint="eastAsia" w:ascii="宋体" w:hAnsi="Courier New" w:eastAsia="宋体" w:cs="宋体"/>
      <w:kern w:val="2"/>
      <w:sz w:val="21"/>
    </w:rPr>
  </w:style>
  <w:style w:type="character" w:customStyle="1" w:styleId="761">
    <w:name w:val="副标题 Char3"/>
    <w:basedOn w:val="79"/>
    <w:autoRedefine/>
    <w:qFormat/>
    <w:uiPriority w:val="0"/>
    <w:rPr>
      <w:rFonts w:hint="default" w:ascii="Arial Narrow" w:hAnsi="Arial Narrow" w:eastAsia="Arial Narrow" w:cs="Arial Narrow"/>
      <w:b/>
      <w:kern w:val="28"/>
      <w:sz w:val="32"/>
    </w:rPr>
  </w:style>
  <w:style w:type="character" w:customStyle="1" w:styleId="762">
    <w:name w:val="unnamed11"/>
    <w:basedOn w:val="79"/>
    <w:autoRedefine/>
    <w:qFormat/>
    <w:uiPriority w:val="0"/>
    <w:rPr>
      <w:spacing w:val="240"/>
      <w:sz w:val="18"/>
    </w:rPr>
  </w:style>
  <w:style w:type="character" w:customStyle="1" w:styleId="763">
    <w:name w:val="文档结构图 Char4"/>
    <w:basedOn w:val="79"/>
    <w:autoRedefine/>
    <w:qFormat/>
    <w:uiPriority w:val="99"/>
    <w:rPr>
      <w:rFonts w:hint="eastAsia" w:ascii="Arial Unicode MS" w:hAnsi="Arial Unicode MS" w:eastAsia="Times New Roman" w:cs="Arial Unicode MS"/>
      <w:sz w:val="18"/>
    </w:rPr>
  </w:style>
  <w:style w:type="character" w:customStyle="1" w:styleId="764">
    <w:name w:val="javascript"/>
    <w:basedOn w:val="79"/>
    <w:autoRedefine/>
    <w:qFormat/>
    <w:uiPriority w:val="0"/>
  </w:style>
  <w:style w:type="character" w:customStyle="1" w:styleId="765">
    <w:name w:val="迪延正文 Char"/>
    <w:basedOn w:val="79"/>
    <w:link w:val="766"/>
    <w:autoRedefine/>
    <w:qFormat/>
    <w:uiPriority w:val="0"/>
    <w:rPr>
      <w:rFonts w:ascii="宋体" w:hAnsi="宋体" w:cs="宋体"/>
    </w:rPr>
  </w:style>
  <w:style w:type="paragraph" w:customStyle="1" w:styleId="766">
    <w:name w:val="迪延正文"/>
    <w:basedOn w:val="1"/>
    <w:link w:val="765"/>
    <w:qFormat/>
    <w:uiPriority w:val="0"/>
    <w:pPr>
      <w:spacing w:line="360" w:lineRule="auto"/>
      <w:ind w:firstLine="449" w:firstLineChars="187"/>
      <w:jc w:val="left"/>
    </w:pPr>
    <w:rPr>
      <w:rFonts w:ascii="宋体" w:hAnsi="宋体" w:cs="宋体"/>
      <w:kern w:val="0"/>
      <w:sz w:val="20"/>
    </w:rPr>
  </w:style>
  <w:style w:type="character" w:customStyle="1" w:styleId="767">
    <w:name w:val="称呼 字符2"/>
    <w:basedOn w:val="79"/>
    <w:autoRedefine/>
    <w:qFormat/>
    <w:uiPriority w:val="99"/>
    <w:rPr>
      <w:rFonts w:hint="default" w:ascii="Tahoma" w:hAnsi="Tahoma" w:eastAsia="仿宋_GB2312" w:cs="Tahoma"/>
      <w:sz w:val="28"/>
      <w:szCs w:val="28"/>
    </w:rPr>
  </w:style>
  <w:style w:type="character" w:customStyle="1" w:styleId="768">
    <w:name w:val="Char Char18"/>
    <w:basedOn w:val="79"/>
    <w:autoRedefine/>
    <w:qFormat/>
    <w:uiPriority w:val="0"/>
    <w:rPr>
      <w:rFonts w:hint="eastAsia" w:ascii="黑体" w:hAnsi="宋体" w:eastAsia="黑体" w:cs="黑体"/>
      <w:kern w:val="2"/>
    </w:rPr>
  </w:style>
  <w:style w:type="character" w:customStyle="1" w:styleId="769">
    <w:name w:val="正文文本 3 Char2"/>
    <w:basedOn w:val="79"/>
    <w:autoRedefine/>
    <w:qFormat/>
    <w:uiPriority w:val="99"/>
    <w:rPr>
      <w:sz w:val="16"/>
    </w:rPr>
  </w:style>
  <w:style w:type="character" w:customStyle="1" w:styleId="770">
    <w:name w:val="Char Char15"/>
    <w:basedOn w:val="79"/>
    <w:autoRedefine/>
    <w:qFormat/>
    <w:uiPriority w:val="0"/>
    <w:rPr>
      <w:rFonts w:hint="eastAsia" w:ascii="..ì." w:hAnsi="..ì." w:eastAsia="..ì." w:cs="..ì."/>
      <w:b/>
      <w:kern w:val="2"/>
      <w:sz w:val="32"/>
    </w:rPr>
  </w:style>
  <w:style w:type="character" w:customStyle="1" w:styleId="771">
    <w:name w:val="-19表 Char"/>
    <w:basedOn w:val="79"/>
    <w:link w:val="772"/>
    <w:autoRedefine/>
    <w:qFormat/>
    <w:uiPriority w:val="0"/>
    <w:rPr>
      <w:rFonts w:ascii="仿宋_GB2312" w:eastAsia="仿宋_GB2312" w:cs="仿宋_GB2312"/>
      <w:sz w:val="28"/>
    </w:rPr>
  </w:style>
  <w:style w:type="paragraph" w:customStyle="1" w:styleId="772">
    <w:name w:val="-19表"/>
    <w:basedOn w:val="1"/>
    <w:link w:val="771"/>
    <w:qFormat/>
    <w:uiPriority w:val="0"/>
    <w:pPr>
      <w:kinsoku w:val="0"/>
      <w:topLinePunct/>
      <w:jc w:val="center"/>
      <w:textAlignment w:val="center"/>
    </w:pPr>
    <w:rPr>
      <w:rFonts w:ascii="仿宋_GB2312" w:eastAsia="仿宋_GB2312" w:cs="仿宋_GB2312"/>
      <w:kern w:val="0"/>
      <w:sz w:val="28"/>
    </w:rPr>
  </w:style>
  <w:style w:type="character" w:customStyle="1" w:styleId="773">
    <w:name w:val="批注框文本 Char2"/>
    <w:basedOn w:val="79"/>
    <w:autoRedefine/>
    <w:qFormat/>
    <w:uiPriority w:val="99"/>
    <w:rPr>
      <w:sz w:val="18"/>
    </w:rPr>
  </w:style>
  <w:style w:type="character" w:customStyle="1" w:styleId="774">
    <w:name w:val="Title Char"/>
    <w:basedOn w:val="79"/>
    <w:autoRedefine/>
    <w:qFormat/>
    <w:uiPriority w:val="0"/>
    <w:rPr>
      <w:rFonts w:hint="default" w:ascii="Cambria" w:hAnsi="Cambria" w:eastAsia="Cambria" w:cs="Cambria"/>
      <w:b/>
      <w:sz w:val="32"/>
    </w:rPr>
  </w:style>
  <w:style w:type="character" w:customStyle="1" w:styleId="775">
    <w:name w:val="样式2 Char Char"/>
    <w:basedOn w:val="79"/>
    <w:autoRedefine/>
    <w:qFormat/>
    <w:uiPriority w:val="99"/>
  </w:style>
  <w:style w:type="character" w:customStyle="1" w:styleId="776">
    <w:name w:val="Char Char24"/>
    <w:basedOn w:val="79"/>
    <w:autoRedefine/>
    <w:qFormat/>
    <w:uiPriority w:val="0"/>
    <w:rPr>
      <w:kern w:val="2"/>
      <w:sz w:val="28"/>
    </w:rPr>
  </w:style>
  <w:style w:type="character" w:customStyle="1" w:styleId="777">
    <w:name w:val="Char Char27"/>
    <w:basedOn w:val="79"/>
    <w:autoRedefine/>
    <w:qFormat/>
    <w:uiPriority w:val="0"/>
    <w:rPr>
      <w:kern w:val="2"/>
      <w:sz w:val="18"/>
    </w:rPr>
  </w:style>
  <w:style w:type="character" w:customStyle="1" w:styleId="778">
    <w:name w:val="7 Char Char Char Char Char Char Char Char Char Char Char Char Char Char Char Char Char Char Char Char Char Char Char Char Char Char Char Char Char Char Char Char Char Char Char Char Char Char Char Char Char Char Char Char Char Char Char Char"/>
    <w:basedOn w:val="79"/>
    <w:autoRedefine/>
    <w:qFormat/>
    <w:uiPriority w:val="99"/>
    <w:rPr>
      <w:kern w:val="2"/>
      <w:sz w:val="21"/>
    </w:rPr>
  </w:style>
  <w:style w:type="character" w:customStyle="1" w:styleId="779">
    <w:name w:val="8级标题 Char Char"/>
    <w:basedOn w:val="79"/>
    <w:autoRedefine/>
    <w:qFormat/>
    <w:uiPriority w:val="0"/>
    <w:rPr>
      <w:rFonts w:hint="eastAsia" w:ascii="黑体" w:hAnsi="宋体" w:eastAsia="黑体" w:cs="黑体"/>
      <w:kern w:val="2"/>
    </w:rPr>
  </w:style>
  <w:style w:type="character" w:customStyle="1" w:styleId="780">
    <w:name w:val="博士论文-节 Char"/>
    <w:basedOn w:val="79"/>
    <w:link w:val="781"/>
    <w:autoRedefine/>
    <w:qFormat/>
    <w:uiPriority w:val="0"/>
    <w:rPr>
      <w:rFonts w:ascii="Arial" w:hAnsi="Arial" w:cs="Arial"/>
      <w:b/>
      <w:bCs/>
      <w:color w:val="000000"/>
      <w:sz w:val="30"/>
      <w:szCs w:val="30"/>
    </w:rPr>
  </w:style>
  <w:style w:type="paragraph" w:customStyle="1" w:styleId="781">
    <w:name w:val="博士论文-节"/>
    <w:basedOn w:val="4"/>
    <w:link w:val="780"/>
    <w:qFormat/>
    <w:uiPriority w:val="0"/>
    <w:pPr>
      <w:tabs>
        <w:tab w:val="left" w:pos="0"/>
      </w:tabs>
      <w:spacing w:before="240" w:beforeLines="0" w:after="240"/>
    </w:pPr>
    <w:rPr>
      <w:rFonts w:ascii="Arial" w:cs="Arial"/>
      <w:bCs/>
      <w:color w:val="000000"/>
      <w:kern w:val="0"/>
      <w:szCs w:val="30"/>
    </w:rPr>
  </w:style>
  <w:style w:type="character" w:customStyle="1" w:styleId="782">
    <w:name w:val="样式 小四"/>
    <w:basedOn w:val="79"/>
    <w:autoRedefine/>
    <w:qFormat/>
    <w:uiPriority w:val="0"/>
    <w:rPr>
      <w:sz w:val="28"/>
    </w:rPr>
  </w:style>
  <w:style w:type="character" w:customStyle="1" w:styleId="783">
    <w:name w:val="figtext"/>
    <w:basedOn w:val="79"/>
    <w:autoRedefine/>
    <w:qFormat/>
    <w:uiPriority w:val="0"/>
  </w:style>
  <w:style w:type="character" w:customStyle="1" w:styleId="784">
    <w:name w:val="脚注文本 Char3"/>
    <w:basedOn w:val="79"/>
    <w:autoRedefine/>
    <w:qFormat/>
    <w:uiPriority w:val="0"/>
    <w:rPr>
      <w:sz w:val="18"/>
    </w:rPr>
  </w:style>
  <w:style w:type="character" w:customStyle="1" w:styleId="785">
    <w:name w:val="样式 正文首行缩进 + 首行缩进:  1 字符 Char"/>
    <w:basedOn w:val="79"/>
    <w:link w:val="786"/>
    <w:autoRedefine/>
    <w:qFormat/>
    <w:uiPriority w:val="0"/>
    <w:rPr>
      <w:rFonts w:ascii="宋体" w:hAnsi="宋体" w:cs="宋体"/>
      <w:kern w:val="10"/>
      <w:sz w:val="28"/>
    </w:rPr>
  </w:style>
  <w:style w:type="paragraph" w:customStyle="1" w:styleId="786">
    <w:name w:val="样式 正文首行缩进 + 首行缩进:  1 字符"/>
    <w:basedOn w:val="74"/>
    <w:link w:val="785"/>
    <w:qFormat/>
    <w:uiPriority w:val="0"/>
    <w:pPr>
      <w:widowControl/>
      <w:tabs>
        <w:tab w:val="left" w:pos="5327"/>
        <w:tab w:val="left" w:pos="6326"/>
        <w:tab w:val="left" w:pos="7230"/>
        <w:tab w:val="left" w:pos="9301"/>
      </w:tabs>
      <w:spacing w:before="120" w:line="560" w:lineRule="exact"/>
      <w:ind w:firstLine="560" w:firstLineChars="200"/>
      <w:jc w:val="left"/>
    </w:pPr>
    <w:rPr>
      <w:rFonts w:ascii="宋体" w:hAnsi="宋体" w:cs="宋体"/>
      <w:kern w:val="10"/>
      <w:sz w:val="28"/>
      <w:szCs w:val="20"/>
    </w:rPr>
  </w:style>
  <w:style w:type="character" w:customStyle="1" w:styleId="787">
    <w:name w:val="纯文本 Char Char Char"/>
    <w:basedOn w:val="79"/>
    <w:autoRedefine/>
    <w:qFormat/>
    <w:uiPriority w:val="0"/>
    <w:rPr>
      <w:rFonts w:hint="eastAsia" w:ascii="宋体" w:hAnsi="Courier New" w:eastAsia="宋体" w:cs="宋体"/>
      <w:kern w:val="2"/>
      <w:sz w:val="21"/>
    </w:rPr>
  </w:style>
  <w:style w:type="character" w:customStyle="1" w:styleId="788">
    <w:name w:val="批注框文本 Char4"/>
    <w:basedOn w:val="79"/>
    <w:autoRedefine/>
    <w:qFormat/>
    <w:uiPriority w:val="99"/>
    <w:rPr>
      <w:sz w:val="18"/>
    </w:rPr>
  </w:style>
  <w:style w:type="character" w:customStyle="1" w:styleId="789">
    <w:name w:val="dash6b63-6587__char1"/>
    <w:basedOn w:val="79"/>
    <w:autoRedefine/>
    <w:qFormat/>
    <w:uiPriority w:val="99"/>
    <w:rPr>
      <w:sz w:val="20"/>
    </w:rPr>
  </w:style>
  <w:style w:type="character" w:customStyle="1" w:styleId="790">
    <w:name w:val="黑侠 Char Char"/>
    <w:basedOn w:val="79"/>
    <w:autoRedefine/>
    <w:qFormat/>
    <w:uiPriority w:val="0"/>
    <w:rPr>
      <w:b/>
      <w:kern w:val="44"/>
      <w:sz w:val="44"/>
    </w:rPr>
  </w:style>
  <w:style w:type="character" w:customStyle="1" w:styleId="791">
    <w:name w:val="标题四 Char Char"/>
    <w:basedOn w:val="79"/>
    <w:autoRedefine/>
    <w:qFormat/>
    <w:uiPriority w:val="0"/>
    <w:rPr>
      <w:rFonts w:hint="eastAsia" w:ascii="仿宋_GB2312" w:eastAsia="仿宋_GB2312" w:cs="仿宋_GB2312"/>
      <w:kern w:val="2"/>
      <w:sz w:val="28"/>
    </w:rPr>
  </w:style>
  <w:style w:type="character" w:customStyle="1" w:styleId="792">
    <w:name w:val="正文文本 Char4"/>
    <w:basedOn w:val="79"/>
    <w:autoRedefine/>
    <w:qFormat/>
    <w:uiPriority w:val="99"/>
    <w:rPr>
      <w:sz w:val="21"/>
    </w:rPr>
  </w:style>
  <w:style w:type="character" w:customStyle="1" w:styleId="793">
    <w:name w:val="脚注文本 Char2"/>
    <w:basedOn w:val="79"/>
    <w:autoRedefine/>
    <w:qFormat/>
    <w:uiPriority w:val="0"/>
    <w:rPr>
      <w:kern w:val="2"/>
      <w:sz w:val="18"/>
    </w:rPr>
  </w:style>
  <w:style w:type="character" w:customStyle="1" w:styleId="794">
    <w:name w:val="z-窗体顶端 字符"/>
    <w:basedOn w:val="79"/>
    <w:link w:val="795"/>
    <w:autoRedefine/>
    <w:qFormat/>
    <w:uiPriority w:val="0"/>
    <w:rPr>
      <w:rFonts w:ascii="宋体" w:hAnsi="Courier New" w:cs="宋体"/>
      <w:sz w:val="28"/>
    </w:rPr>
  </w:style>
  <w:style w:type="paragraph" w:customStyle="1" w:styleId="795">
    <w:name w:val="z-窗体顶端1"/>
    <w:basedOn w:val="1"/>
    <w:next w:val="1"/>
    <w:link w:val="794"/>
    <w:qFormat/>
    <w:uiPriority w:val="0"/>
    <w:pPr>
      <w:pBdr>
        <w:bottom w:val="single" w:color="auto" w:sz="6" w:space="1"/>
      </w:pBdr>
      <w:jc w:val="center"/>
    </w:pPr>
    <w:rPr>
      <w:rFonts w:ascii="宋体" w:hAnsi="Courier New" w:cs="宋体"/>
      <w:kern w:val="0"/>
      <w:sz w:val="28"/>
    </w:rPr>
  </w:style>
  <w:style w:type="character" w:customStyle="1" w:styleId="796">
    <w:name w:val="样式 博士论文-节 + Times New Roman 黑色 Char"/>
    <w:basedOn w:val="79"/>
    <w:link w:val="797"/>
    <w:autoRedefine/>
    <w:qFormat/>
    <w:uiPriority w:val="0"/>
    <w:rPr>
      <w:rFonts w:ascii="Arial" w:hAnsi="Arial" w:cs="Arial"/>
      <w:b/>
      <w:color w:val="000000"/>
      <w:sz w:val="30"/>
    </w:rPr>
  </w:style>
  <w:style w:type="paragraph" w:customStyle="1" w:styleId="797">
    <w:name w:val="样式 博士论文-节 + Times New Roman 黑色"/>
    <w:basedOn w:val="781"/>
    <w:link w:val="796"/>
    <w:qFormat/>
    <w:uiPriority w:val="0"/>
    <w:rPr>
      <w:bCs w:val="0"/>
      <w:szCs w:val="20"/>
    </w:rPr>
  </w:style>
  <w:style w:type="character" w:customStyle="1" w:styleId="798">
    <w:name w:val="样式 博士论文-图名和表名 + 红色 Char"/>
    <w:basedOn w:val="79"/>
    <w:link w:val="799"/>
    <w:autoRedefine/>
    <w:qFormat/>
    <w:uiPriority w:val="0"/>
    <w:rPr>
      <w:rFonts w:ascii="宋体" w:hAnsi="宋体" w:cs="宋体"/>
      <w:b/>
      <w:color w:val="808000"/>
    </w:rPr>
  </w:style>
  <w:style w:type="paragraph" w:customStyle="1" w:styleId="799">
    <w:name w:val="样式 博士论文-图名和表名 + 红色"/>
    <w:basedOn w:val="800"/>
    <w:link w:val="798"/>
    <w:qFormat/>
    <w:uiPriority w:val="0"/>
    <w:rPr>
      <w:bCs w:val="0"/>
      <w:kern w:val="0"/>
      <w:sz w:val="20"/>
      <w:szCs w:val="20"/>
    </w:rPr>
  </w:style>
  <w:style w:type="paragraph" w:customStyle="1" w:styleId="800">
    <w:name w:val="博士论文-图名和表名"/>
    <w:basedOn w:val="8"/>
    <w:link w:val="834"/>
    <w:qFormat/>
    <w:uiPriority w:val="0"/>
    <w:pPr>
      <w:adjustRightInd w:val="0"/>
      <w:snapToGrid w:val="0"/>
      <w:spacing w:before="0" w:after="0" w:line="240" w:lineRule="auto"/>
      <w:jc w:val="center"/>
      <w:outlineLvl w:val="9"/>
    </w:pPr>
    <w:rPr>
      <w:rFonts w:ascii="宋体" w:hAnsi="宋体" w:eastAsia="宋体" w:cs="宋体"/>
      <w:color w:val="808000"/>
      <w:sz w:val="21"/>
      <w:szCs w:val="21"/>
    </w:rPr>
  </w:style>
  <w:style w:type="character" w:customStyle="1" w:styleId="801">
    <w:name w:val="g Char Char"/>
    <w:basedOn w:val="79"/>
    <w:autoRedefine/>
    <w:qFormat/>
    <w:uiPriority w:val="0"/>
    <w:rPr>
      <w:kern w:val="2"/>
      <w:sz w:val="18"/>
    </w:rPr>
  </w:style>
  <w:style w:type="character" w:customStyle="1" w:styleId="802">
    <w:name w:val="正文首行缩进 Char2"/>
    <w:basedOn w:val="79"/>
    <w:autoRedefine/>
    <w:qFormat/>
    <w:uiPriority w:val="99"/>
  </w:style>
  <w:style w:type="character" w:customStyle="1" w:styleId="803">
    <w:name w:val="bg正文首行缩进 Char1"/>
    <w:basedOn w:val="79"/>
    <w:autoRedefine/>
    <w:qFormat/>
    <w:uiPriority w:val="0"/>
    <w:rPr>
      <w:kern w:val="2"/>
    </w:rPr>
  </w:style>
  <w:style w:type="character" w:customStyle="1" w:styleId="804">
    <w:name w:val="apple-style-span"/>
    <w:basedOn w:val="79"/>
    <w:autoRedefine/>
    <w:qFormat/>
    <w:uiPriority w:val="0"/>
  </w:style>
  <w:style w:type="character" w:customStyle="1" w:styleId="805">
    <w:name w:val="Char Char53"/>
    <w:basedOn w:val="79"/>
    <w:autoRedefine/>
    <w:qFormat/>
    <w:uiPriority w:val="0"/>
    <w:rPr>
      <w:kern w:val="2"/>
      <w:sz w:val="18"/>
    </w:rPr>
  </w:style>
  <w:style w:type="character" w:customStyle="1" w:styleId="806">
    <w:name w:val="普通文字 Char Char Char"/>
    <w:basedOn w:val="79"/>
    <w:autoRedefine/>
    <w:qFormat/>
    <w:uiPriority w:val="0"/>
    <w:rPr>
      <w:rFonts w:hint="eastAsia" w:ascii="宋体" w:hAnsi="Courier New" w:eastAsia="宋体" w:cs="Courier New"/>
      <w:kern w:val="2"/>
      <w:sz w:val="21"/>
      <w:szCs w:val="21"/>
      <w:lang w:val="en-US" w:eastAsia="zh-CN" w:bidi="ar"/>
    </w:rPr>
  </w:style>
  <w:style w:type="character" w:customStyle="1" w:styleId="807">
    <w:name w:val="正文文本首行缩进 2 字符1"/>
    <w:basedOn w:val="79"/>
    <w:autoRedefine/>
    <w:qFormat/>
    <w:uiPriority w:val="99"/>
    <w:rPr>
      <w:rFonts w:hint="default" w:ascii="Tahoma" w:hAnsi="Tahoma" w:eastAsia="仿宋_GB2312" w:cs="Tahoma"/>
      <w:kern w:val="2"/>
      <w:sz w:val="28"/>
      <w:szCs w:val="28"/>
    </w:rPr>
  </w:style>
  <w:style w:type="character" w:customStyle="1" w:styleId="808">
    <w:name w:val="批注文字 Char3"/>
    <w:basedOn w:val="79"/>
    <w:autoRedefine/>
    <w:qFormat/>
    <w:uiPriority w:val="0"/>
    <w:rPr>
      <w:sz w:val="21"/>
    </w:rPr>
  </w:style>
  <w:style w:type="character" w:customStyle="1" w:styleId="809">
    <w:name w:val="批注主题 Char1"/>
    <w:basedOn w:val="79"/>
    <w:autoRedefine/>
    <w:qFormat/>
    <w:uiPriority w:val="0"/>
    <w:rPr>
      <w:b/>
      <w:sz w:val="21"/>
    </w:rPr>
  </w:style>
  <w:style w:type="character" w:customStyle="1" w:styleId="810">
    <w:name w:val="说明书正文 Char"/>
    <w:basedOn w:val="79"/>
    <w:link w:val="811"/>
    <w:autoRedefine/>
    <w:qFormat/>
    <w:uiPriority w:val="0"/>
    <w:rPr>
      <w:rFonts w:ascii="仿宋_GB2312" w:eastAsia="仿宋_GB2312" w:cs="仿宋_GB2312"/>
      <w:color w:val="000000"/>
      <w:sz w:val="30"/>
    </w:rPr>
  </w:style>
  <w:style w:type="paragraph" w:customStyle="1" w:styleId="811">
    <w:name w:val="说明书正文"/>
    <w:basedOn w:val="1"/>
    <w:link w:val="810"/>
    <w:qFormat/>
    <w:uiPriority w:val="0"/>
    <w:pPr>
      <w:spacing w:line="480" w:lineRule="exact"/>
      <w:ind w:firstLine="600" w:firstLineChars="200"/>
      <w:jc w:val="left"/>
    </w:pPr>
    <w:rPr>
      <w:rFonts w:ascii="仿宋_GB2312" w:eastAsia="仿宋_GB2312" w:cs="仿宋_GB2312"/>
      <w:color w:val="000000"/>
      <w:kern w:val="0"/>
      <w:sz w:val="30"/>
    </w:rPr>
  </w:style>
  <w:style w:type="character" w:customStyle="1" w:styleId="812">
    <w:name w:val="引用 Char2"/>
    <w:basedOn w:val="79"/>
    <w:autoRedefine/>
    <w:qFormat/>
    <w:uiPriority w:val="29"/>
    <w:rPr>
      <w:i/>
      <w:color w:val="000000"/>
      <w:kern w:val="2"/>
    </w:rPr>
  </w:style>
  <w:style w:type="character" w:customStyle="1" w:styleId="813">
    <w:name w:val="bgbt3条标题 Char"/>
    <w:basedOn w:val="79"/>
    <w:autoRedefine/>
    <w:qFormat/>
    <w:uiPriority w:val="0"/>
    <w:rPr>
      <w:rFonts w:hint="eastAsia" w:ascii="黑体" w:hAnsi="宋体" w:eastAsia="黑体" w:cs="黑体"/>
      <w:kern w:val="2"/>
      <w:sz w:val="28"/>
    </w:rPr>
  </w:style>
  <w:style w:type="character" w:customStyle="1" w:styleId="814">
    <w:name w:val="1.1.1 Char"/>
    <w:basedOn w:val="79"/>
    <w:link w:val="815"/>
    <w:autoRedefine/>
    <w:qFormat/>
    <w:uiPriority w:val="0"/>
    <w:rPr>
      <w:rFonts w:ascii="仿宋_GB2312" w:eastAsia="仿宋_GB2312" w:cs="仿宋_GB2312"/>
      <w:b/>
      <w:sz w:val="30"/>
    </w:rPr>
  </w:style>
  <w:style w:type="paragraph" w:customStyle="1" w:styleId="815">
    <w:name w:val="1.1.1"/>
    <w:basedOn w:val="5"/>
    <w:link w:val="814"/>
    <w:qFormat/>
    <w:uiPriority w:val="0"/>
    <w:pPr>
      <w:keepNext/>
      <w:keepLines/>
      <w:tabs>
        <w:tab w:val="left" w:pos="0"/>
      </w:tabs>
      <w:snapToGrid w:val="0"/>
      <w:spacing w:before="260" w:beforeLines="50" w:after="260" w:afterLines="50" w:line="360" w:lineRule="auto"/>
    </w:pPr>
    <w:rPr>
      <w:rFonts w:ascii="仿宋_GB2312" w:eastAsia="仿宋_GB2312" w:cs="仿宋_GB2312"/>
      <w:b/>
      <w:kern w:val="0"/>
      <w:sz w:val="30"/>
    </w:rPr>
  </w:style>
  <w:style w:type="character" w:customStyle="1" w:styleId="816">
    <w:name w:val="样式 正文内容 + 首行缩进:  2 字符1 Char"/>
    <w:basedOn w:val="79"/>
    <w:link w:val="817"/>
    <w:autoRedefine/>
    <w:qFormat/>
    <w:uiPriority w:val="0"/>
    <w:rPr>
      <w:sz w:val="28"/>
    </w:rPr>
  </w:style>
  <w:style w:type="paragraph" w:customStyle="1" w:styleId="817">
    <w:name w:val="样式 正文内容 + 首行缩进:  2 字符1"/>
    <w:basedOn w:val="1"/>
    <w:link w:val="816"/>
    <w:qFormat/>
    <w:uiPriority w:val="0"/>
    <w:pPr>
      <w:spacing w:line="540" w:lineRule="exact"/>
      <w:ind w:firstLine="560" w:firstLineChars="200"/>
    </w:pPr>
    <w:rPr>
      <w:kern w:val="0"/>
      <w:sz w:val="28"/>
    </w:rPr>
  </w:style>
  <w:style w:type="character" w:customStyle="1" w:styleId="818">
    <w:name w:val="正文文本 2 Char3"/>
    <w:basedOn w:val="79"/>
    <w:autoRedefine/>
    <w:qFormat/>
    <w:uiPriority w:val="99"/>
    <w:rPr>
      <w:sz w:val="21"/>
    </w:rPr>
  </w:style>
  <w:style w:type="character" w:customStyle="1" w:styleId="819">
    <w:name w:val="Char Char17"/>
    <w:basedOn w:val="79"/>
    <w:autoRedefine/>
    <w:qFormat/>
    <w:uiPriority w:val="0"/>
    <w:rPr>
      <w:rFonts w:hint="default" w:ascii="Calibri" w:hAnsi="Calibri" w:cs="Calibri"/>
      <w:kern w:val="2"/>
      <w:sz w:val="18"/>
    </w:rPr>
  </w:style>
  <w:style w:type="character" w:customStyle="1" w:styleId="820">
    <w:name w:val="hui11"/>
    <w:basedOn w:val="79"/>
    <w:autoRedefine/>
    <w:qFormat/>
    <w:uiPriority w:val="0"/>
    <w:rPr>
      <w:rFonts w:hint="default" w:ascii="??" w:hAnsi="??" w:eastAsia="??" w:cs="??"/>
      <w:sz w:val="18"/>
    </w:rPr>
  </w:style>
  <w:style w:type="character" w:customStyle="1" w:styleId="821">
    <w:name w:val="bgbt6插图标题 Char"/>
    <w:basedOn w:val="79"/>
    <w:link w:val="822"/>
    <w:autoRedefine/>
    <w:qFormat/>
    <w:uiPriority w:val="0"/>
    <w:rPr>
      <w:b/>
      <w:sz w:val="44"/>
      <w:lang w:val="zh-CN"/>
    </w:rPr>
  </w:style>
  <w:style w:type="paragraph" w:customStyle="1" w:styleId="822">
    <w:name w:val="bgbt6插图标题"/>
    <w:basedOn w:val="1"/>
    <w:next w:val="538"/>
    <w:link w:val="821"/>
    <w:qFormat/>
    <w:uiPriority w:val="0"/>
    <w:pPr>
      <w:spacing w:after="60" w:line="480" w:lineRule="exact"/>
      <w:ind w:firstLine="200" w:firstLineChars="200"/>
      <w:jc w:val="center"/>
      <w:outlineLvl w:val="5"/>
    </w:pPr>
    <w:rPr>
      <w:b/>
      <w:kern w:val="0"/>
      <w:sz w:val="44"/>
      <w:lang w:val="zh-CN"/>
    </w:rPr>
  </w:style>
  <w:style w:type="character" w:customStyle="1" w:styleId="823">
    <w:name w:val="正文文本 3 Char3"/>
    <w:basedOn w:val="79"/>
    <w:autoRedefine/>
    <w:qFormat/>
    <w:uiPriority w:val="99"/>
    <w:rPr>
      <w:sz w:val="16"/>
    </w:rPr>
  </w:style>
  <w:style w:type="character" w:customStyle="1" w:styleId="824">
    <w:name w:val="3号宋体居中行距2倍 Char1 Char"/>
    <w:basedOn w:val="79"/>
    <w:autoRedefine/>
    <w:qFormat/>
    <w:uiPriority w:val="0"/>
    <w:rPr>
      <w:rFonts w:hint="default" w:ascii="Arial" w:hAnsi="Arial" w:eastAsia="黑体" w:cs="Times New Roman"/>
      <w:b/>
      <w:bCs/>
      <w:sz w:val="32"/>
      <w:szCs w:val="32"/>
    </w:rPr>
  </w:style>
  <w:style w:type="character" w:customStyle="1" w:styleId="825">
    <w:name w:val="日期 Char3"/>
    <w:basedOn w:val="79"/>
    <w:autoRedefine/>
    <w:qFormat/>
    <w:uiPriority w:val="99"/>
    <w:rPr>
      <w:sz w:val="21"/>
    </w:rPr>
  </w:style>
  <w:style w:type="character" w:customStyle="1" w:styleId="826">
    <w:name w:val="设计正文 Char"/>
    <w:basedOn w:val="79"/>
    <w:link w:val="827"/>
    <w:autoRedefine/>
    <w:qFormat/>
    <w:uiPriority w:val="0"/>
    <w:rPr>
      <w:rFonts w:ascii="宋体" w:hAnsi="宋体" w:cs="宋体"/>
    </w:rPr>
  </w:style>
  <w:style w:type="paragraph" w:customStyle="1" w:styleId="827">
    <w:name w:val="设计正文"/>
    <w:basedOn w:val="1"/>
    <w:link w:val="826"/>
    <w:qFormat/>
    <w:uiPriority w:val="0"/>
    <w:pPr>
      <w:ind w:firstLine="480" w:firstLineChars="200"/>
    </w:pPr>
    <w:rPr>
      <w:rFonts w:ascii="宋体" w:hAnsi="宋体" w:cs="宋体"/>
      <w:kern w:val="0"/>
      <w:sz w:val="20"/>
    </w:rPr>
  </w:style>
  <w:style w:type="character" w:customStyle="1" w:styleId="828">
    <w:name w:val="bg正文 Char1"/>
    <w:basedOn w:val="79"/>
    <w:autoRedefine/>
    <w:qFormat/>
    <w:uiPriority w:val="0"/>
    <w:rPr>
      <w:kern w:val="2"/>
    </w:rPr>
  </w:style>
  <w:style w:type="character" w:customStyle="1" w:styleId="829">
    <w:name w:val="标题 7 Char1"/>
    <w:basedOn w:val="79"/>
    <w:autoRedefine/>
    <w:qFormat/>
    <w:uiPriority w:val="0"/>
    <w:rPr>
      <w:b/>
      <w:kern w:val="2"/>
    </w:rPr>
  </w:style>
  <w:style w:type="character" w:customStyle="1" w:styleId="830">
    <w:name w:val="博士论文正文 Char"/>
    <w:basedOn w:val="79"/>
    <w:link w:val="831"/>
    <w:autoRedefine/>
    <w:qFormat/>
    <w:uiPriority w:val="0"/>
  </w:style>
  <w:style w:type="paragraph" w:customStyle="1" w:styleId="831">
    <w:name w:val="博士论文正文"/>
    <w:basedOn w:val="1"/>
    <w:link w:val="830"/>
    <w:qFormat/>
    <w:uiPriority w:val="0"/>
    <w:pPr>
      <w:adjustRightInd w:val="0"/>
      <w:snapToGrid w:val="0"/>
      <w:spacing w:line="360" w:lineRule="auto"/>
      <w:ind w:firstLine="480" w:firstLineChars="200"/>
      <w:jc w:val="left"/>
      <w:outlineLvl w:val="2"/>
    </w:pPr>
    <w:rPr>
      <w:kern w:val="0"/>
      <w:sz w:val="20"/>
    </w:rPr>
  </w:style>
  <w:style w:type="character" w:customStyle="1" w:styleId="832">
    <w:name w:val="big1"/>
    <w:basedOn w:val="79"/>
    <w:autoRedefine/>
    <w:qFormat/>
    <w:uiPriority w:val="0"/>
    <w:rPr>
      <w:spacing w:val="360"/>
      <w:sz w:val="30"/>
    </w:rPr>
  </w:style>
  <w:style w:type="character" w:customStyle="1" w:styleId="833">
    <w:name w:val="样式5 Char Char Char Char Char Char Char Char Char Char Char Char Char"/>
    <w:basedOn w:val="79"/>
    <w:autoRedefine/>
    <w:qFormat/>
    <w:uiPriority w:val="0"/>
    <w:rPr>
      <w:color w:val="000000"/>
      <w:kern w:val="2"/>
    </w:rPr>
  </w:style>
  <w:style w:type="character" w:customStyle="1" w:styleId="834">
    <w:name w:val="博士论文-图名和表名 Char"/>
    <w:basedOn w:val="79"/>
    <w:link w:val="800"/>
    <w:autoRedefine/>
    <w:qFormat/>
    <w:uiPriority w:val="0"/>
    <w:rPr>
      <w:rFonts w:ascii="宋体" w:hAnsi="宋体" w:cs="宋体"/>
      <w:b/>
      <w:bCs/>
      <w:color w:val="808000"/>
      <w:kern w:val="2"/>
      <w:sz w:val="21"/>
      <w:szCs w:val="21"/>
    </w:rPr>
  </w:style>
  <w:style w:type="character" w:customStyle="1" w:styleId="835">
    <w:name w:val="bg形成单位和时间 Char"/>
    <w:basedOn w:val="79"/>
    <w:link w:val="836"/>
    <w:autoRedefine/>
    <w:qFormat/>
    <w:uiPriority w:val="0"/>
    <w:rPr>
      <w:rFonts w:ascii="Arial" w:hAnsi="Arial" w:eastAsia="黑体" w:cs="Arial"/>
    </w:rPr>
  </w:style>
  <w:style w:type="paragraph" w:customStyle="1" w:styleId="836">
    <w:name w:val="bg形成单位和时间"/>
    <w:basedOn w:val="837"/>
    <w:next w:val="837"/>
    <w:link w:val="835"/>
    <w:qFormat/>
    <w:uiPriority w:val="0"/>
    <w:pPr>
      <w:spacing w:line="240" w:lineRule="auto"/>
      <w:ind w:firstLine="0" w:firstLineChars="0"/>
      <w:jc w:val="center"/>
    </w:pPr>
    <w:rPr>
      <w:rFonts w:ascii="Arial" w:hAnsi="Arial" w:eastAsia="黑体" w:cs="Arial"/>
      <w:sz w:val="20"/>
      <w:szCs w:val="20"/>
    </w:rPr>
  </w:style>
  <w:style w:type="paragraph" w:customStyle="1" w:styleId="837">
    <w:name w:val="bg正文"/>
    <w:basedOn w:val="1"/>
    <w:qFormat/>
    <w:uiPriority w:val="0"/>
    <w:pPr>
      <w:spacing w:line="480" w:lineRule="exact"/>
      <w:ind w:firstLine="200" w:firstLineChars="200"/>
      <w:jc w:val="left"/>
    </w:pPr>
    <w:rPr>
      <w:kern w:val="0"/>
      <w:sz w:val="24"/>
      <w:szCs w:val="24"/>
    </w:rPr>
  </w:style>
  <w:style w:type="character" w:customStyle="1" w:styleId="838">
    <w:name w:val="正文文本缩进 2 Char3"/>
    <w:basedOn w:val="79"/>
    <w:autoRedefine/>
    <w:qFormat/>
    <w:uiPriority w:val="99"/>
    <w:rPr>
      <w:sz w:val="21"/>
    </w:rPr>
  </w:style>
  <w:style w:type="character" w:customStyle="1" w:styleId="839">
    <w:name w:val="xref"/>
    <w:basedOn w:val="79"/>
    <w:autoRedefine/>
    <w:qFormat/>
    <w:uiPriority w:val="0"/>
  </w:style>
  <w:style w:type="character" w:customStyle="1" w:styleId="840">
    <w:name w:val="批注主题 Char2"/>
    <w:basedOn w:val="79"/>
    <w:autoRedefine/>
    <w:qFormat/>
    <w:uiPriority w:val="99"/>
    <w:rPr>
      <w:b/>
      <w:sz w:val="21"/>
    </w:rPr>
  </w:style>
  <w:style w:type="character" w:customStyle="1" w:styleId="841">
    <w:name w:val="2级标题 Char Char"/>
    <w:basedOn w:val="79"/>
    <w:autoRedefine/>
    <w:qFormat/>
    <w:uiPriority w:val="0"/>
    <w:rPr>
      <w:rFonts w:hint="eastAsia" w:ascii="楷体_GB2312" w:hAnsi="宋体" w:eastAsia="楷体_GB2312" w:cs="楷体_GB2312"/>
      <w:b/>
      <w:kern w:val="2"/>
      <w:sz w:val="32"/>
    </w:rPr>
  </w:style>
  <w:style w:type="character" w:customStyle="1" w:styleId="842">
    <w:name w:val="正文文本缩进 2 Char2"/>
    <w:basedOn w:val="79"/>
    <w:autoRedefine/>
    <w:qFormat/>
    <w:uiPriority w:val="0"/>
    <w:rPr>
      <w:sz w:val="21"/>
    </w:rPr>
  </w:style>
  <w:style w:type="character" w:customStyle="1" w:styleId="843">
    <w:name w:val="设计正文 Char Char"/>
    <w:basedOn w:val="79"/>
    <w:autoRedefine/>
    <w:qFormat/>
    <w:uiPriority w:val="99"/>
    <w:rPr>
      <w:rFonts w:hint="eastAsia" w:ascii="宋体" w:hAnsi="宋体" w:eastAsia="宋体" w:cs="宋体"/>
      <w:sz w:val="24"/>
      <w:szCs w:val="24"/>
    </w:rPr>
  </w:style>
  <w:style w:type="character" w:customStyle="1" w:styleId="844">
    <w:name w:val="00正文文字格式 Char"/>
    <w:basedOn w:val="79"/>
    <w:link w:val="845"/>
    <w:autoRedefine/>
    <w:qFormat/>
    <w:uiPriority w:val="0"/>
    <w:rPr>
      <w:rFonts w:ascii="ATC-534e65877ec69ed1* *82f16587" w:hAnsi="ATC-534e65877ec69ed1* + *82f165" w:eastAsia="ATC-534e65877ec69ed1* + *82f165" w:cs="ATC-534e65877ec69ed1* + *82f165"/>
      <w:color w:val="000000"/>
      <w:lang w:val="zh-CN"/>
    </w:rPr>
  </w:style>
  <w:style w:type="paragraph" w:customStyle="1" w:styleId="845">
    <w:name w:val="00正文文字格式"/>
    <w:basedOn w:val="846"/>
    <w:link w:val="844"/>
    <w:qFormat/>
    <w:uiPriority w:val="0"/>
    <w:pPr>
      <w:spacing w:line="360" w:lineRule="auto"/>
      <w:ind w:firstLine="480" w:firstLineChars="200"/>
    </w:pPr>
    <w:rPr>
      <w:rFonts w:eastAsia="ATC-534e65877ec69ed1* + *82f165" w:cs="ATC-534e65877ec69ed1* + *82f165"/>
      <w:kern w:val="0"/>
      <w:sz w:val="20"/>
      <w:szCs w:val="20"/>
    </w:rPr>
  </w:style>
  <w:style w:type="paragraph" w:customStyle="1" w:styleId="846">
    <w:name w:val="0 正文 文字"/>
    <w:basedOn w:val="1"/>
    <w:link w:val="848"/>
    <w:qFormat/>
    <w:uiPriority w:val="0"/>
    <w:pPr>
      <w:suppressAutoHyphens/>
      <w:autoSpaceDE w:val="0"/>
      <w:autoSpaceDN w:val="0"/>
      <w:adjustRightInd w:val="0"/>
      <w:spacing w:line="300" w:lineRule="atLeast"/>
      <w:ind w:firstLine="340"/>
      <w:textAlignment w:val="center"/>
    </w:pPr>
    <w:rPr>
      <w:rFonts w:ascii="ATC-534e65877ec69ed1* *82f16587" w:hAnsi="ATC-534e65877ec69ed1* + *82f165" w:eastAsia="ATC-534e65877ec69ed1* *82f16587" w:cs="ATC-534e65877ec69ed1* *82f16587"/>
      <w:color w:val="000000"/>
      <w:sz w:val="18"/>
      <w:szCs w:val="18"/>
      <w:lang w:val="zh-CN"/>
    </w:rPr>
  </w:style>
  <w:style w:type="character" w:customStyle="1" w:styleId="847">
    <w:name w:val="Char Char16"/>
    <w:basedOn w:val="79"/>
    <w:autoRedefine/>
    <w:qFormat/>
    <w:uiPriority w:val="0"/>
    <w:rPr>
      <w:rFonts w:hint="default" w:ascii="Arial" w:hAnsi="Arial" w:eastAsia="黑体" w:cs="Arial"/>
      <w:kern w:val="2"/>
      <w:sz w:val="21"/>
    </w:rPr>
  </w:style>
  <w:style w:type="character" w:customStyle="1" w:styleId="848">
    <w:name w:val="0 正文 文字 Char"/>
    <w:basedOn w:val="79"/>
    <w:link w:val="846"/>
    <w:autoRedefine/>
    <w:qFormat/>
    <w:uiPriority w:val="0"/>
    <w:rPr>
      <w:rFonts w:ascii="ATC-534e65877ec69ed1* *82f16587" w:hAnsi="ATC-534e65877ec69ed1* + *82f165" w:eastAsia="ATC-534e65877ec69ed1* *82f16587" w:cs="ATC-534e65877ec69ed1* *82f16587"/>
      <w:color w:val="000000"/>
      <w:kern w:val="2"/>
      <w:sz w:val="18"/>
      <w:szCs w:val="18"/>
      <w:lang w:val="zh-CN"/>
    </w:rPr>
  </w:style>
  <w:style w:type="character" w:customStyle="1" w:styleId="849">
    <w:name w:val="无间隔 字符"/>
    <w:basedOn w:val="79"/>
    <w:autoRedefine/>
    <w:qFormat/>
    <w:uiPriority w:val="1"/>
    <w:rPr>
      <w:rFonts w:hint="default" w:ascii="Calibri" w:hAnsi="Calibri" w:cs="Calibri"/>
      <w:sz w:val="22"/>
    </w:rPr>
  </w:style>
  <w:style w:type="character" w:customStyle="1" w:styleId="850">
    <w:name w:val="Char Char61"/>
    <w:basedOn w:val="79"/>
    <w:autoRedefine/>
    <w:qFormat/>
    <w:uiPriority w:val="0"/>
    <w:rPr>
      <w:color w:val="000000"/>
      <w:kern w:val="2"/>
      <w:sz w:val="28"/>
    </w:rPr>
  </w:style>
  <w:style w:type="character" w:customStyle="1" w:styleId="851">
    <w:name w:val="纯文本 Char4"/>
    <w:basedOn w:val="79"/>
    <w:autoRedefine/>
    <w:qFormat/>
    <w:uiPriority w:val="99"/>
    <w:rPr>
      <w:rFonts w:hint="eastAsia" w:ascii="..ì." w:hAnsi="Wingdings" w:eastAsia="..ì." w:cs="..ì."/>
      <w:sz w:val="21"/>
    </w:rPr>
  </w:style>
  <w:style w:type="character" w:customStyle="1" w:styleId="852">
    <w:name w:val="引用 字符2"/>
    <w:basedOn w:val="79"/>
    <w:qFormat/>
    <w:uiPriority w:val="99"/>
    <w:rPr>
      <w:i/>
      <w:iCs/>
      <w:color w:val="404040"/>
      <w:kern w:val="2"/>
      <w:sz w:val="28"/>
      <w:szCs w:val="22"/>
    </w:rPr>
  </w:style>
  <w:style w:type="character" w:customStyle="1" w:styleId="853">
    <w:name w:val="脚注文本 Char1"/>
    <w:basedOn w:val="79"/>
    <w:autoRedefine/>
    <w:qFormat/>
    <w:uiPriority w:val="99"/>
    <w:rPr>
      <w:rFonts w:hint="default" w:ascii="Tahoma" w:hAnsi="Tahoma" w:eastAsia="..ì." w:cs="Tahoma"/>
      <w:sz w:val="18"/>
    </w:rPr>
  </w:style>
  <w:style w:type="character" w:customStyle="1" w:styleId="854">
    <w:name w:val="文档结构图 Char1"/>
    <w:basedOn w:val="79"/>
    <w:autoRedefine/>
    <w:qFormat/>
    <w:uiPriority w:val="99"/>
    <w:rPr>
      <w:rFonts w:hint="eastAsia" w:ascii="..ì." w:hAnsi="Tahoma" w:eastAsia="..ì." w:cs="..ì."/>
      <w:sz w:val="18"/>
    </w:rPr>
  </w:style>
  <w:style w:type="character" w:customStyle="1" w:styleId="855">
    <w:name w:val="副标题 Char1"/>
    <w:basedOn w:val="79"/>
    <w:autoRedefine/>
    <w:qFormat/>
    <w:uiPriority w:val="11"/>
    <w:rPr>
      <w:rFonts w:hint="default" w:ascii="Cambria Math" w:hAnsi="Cambria Math" w:eastAsia="..ì." w:cs="Cambria Math"/>
      <w:b/>
      <w:kern w:val="28"/>
      <w:sz w:val="32"/>
    </w:rPr>
  </w:style>
  <w:style w:type="character" w:customStyle="1" w:styleId="856">
    <w:name w:val="正文文本缩进 3 Char1"/>
    <w:basedOn w:val="79"/>
    <w:autoRedefine/>
    <w:qFormat/>
    <w:uiPriority w:val="0"/>
    <w:rPr>
      <w:sz w:val="16"/>
    </w:rPr>
  </w:style>
  <w:style w:type="character" w:customStyle="1" w:styleId="857">
    <w:name w:val="Char Char811"/>
    <w:basedOn w:val="79"/>
    <w:autoRedefine/>
    <w:qFormat/>
    <w:uiPriority w:val="99"/>
    <w:rPr>
      <w:kern w:val="2"/>
      <w:sz w:val="18"/>
    </w:rPr>
  </w:style>
  <w:style w:type="character" w:customStyle="1" w:styleId="858">
    <w:name w:val="批注文字 Char2"/>
    <w:basedOn w:val="79"/>
    <w:autoRedefine/>
    <w:qFormat/>
    <w:uiPriority w:val="0"/>
    <w:rPr>
      <w:kern w:val="2"/>
    </w:rPr>
  </w:style>
  <w:style w:type="character" w:customStyle="1" w:styleId="859">
    <w:name w:val="Char Char611"/>
    <w:basedOn w:val="79"/>
    <w:autoRedefine/>
    <w:qFormat/>
    <w:uiPriority w:val="99"/>
    <w:rPr>
      <w:color w:val="000000"/>
      <w:kern w:val="2"/>
      <w:sz w:val="28"/>
    </w:rPr>
  </w:style>
  <w:style w:type="character" w:customStyle="1" w:styleId="860">
    <w:name w:val="Char Char62"/>
    <w:basedOn w:val="79"/>
    <w:autoRedefine/>
    <w:qFormat/>
    <w:uiPriority w:val="0"/>
    <w:rPr>
      <w:color w:val="000000"/>
      <w:kern w:val="2"/>
      <w:sz w:val="28"/>
    </w:rPr>
  </w:style>
  <w:style w:type="character" w:customStyle="1" w:styleId="861">
    <w:name w:val="正文文本缩进 Char3"/>
    <w:basedOn w:val="79"/>
    <w:autoRedefine/>
    <w:qFormat/>
    <w:uiPriority w:val="99"/>
    <w:rPr>
      <w:sz w:val="21"/>
    </w:rPr>
  </w:style>
  <w:style w:type="character" w:customStyle="1" w:styleId="862">
    <w:name w:val="引用 Char3"/>
    <w:basedOn w:val="79"/>
    <w:autoRedefine/>
    <w:qFormat/>
    <w:uiPriority w:val="29"/>
    <w:rPr>
      <w:i/>
      <w:sz w:val="21"/>
    </w:rPr>
  </w:style>
  <w:style w:type="character" w:customStyle="1" w:styleId="863">
    <w:name w:val="脚注文本 Char4"/>
    <w:basedOn w:val="79"/>
    <w:autoRedefine/>
    <w:qFormat/>
    <w:uiPriority w:val="99"/>
    <w:rPr>
      <w:sz w:val="18"/>
    </w:rPr>
  </w:style>
  <w:style w:type="character" w:customStyle="1" w:styleId="864">
    <w:name w:val="附录一级条标题 Char"/>
    <w:basedOn w:val="79"/>
    <w:link w:val="865"/>
    <w:autoRedefine/>
    <w:qFormat/>
    <w:uiPriority w:val="0"/>
    <w:rPr>
      <w:rFonts w:ascii="黑体" w:hAnsi="宋体" w:eastAsia="黑体" w:cs="黑体"/>
      <w:kern w:val="21"/>
    </w:rPr>
  </w:style>
  <w:style w:type="paragraph" w:customStyle="1" w:styleId="865">
    <w:name w:val="附录一级条标题"/>
    <w:basedOn w:val="866"/>
    <w:next w:val="1"/>
    <w:link w:val="864"/>
    <w:qFormat/>
    <w:uiPriority w:val="0"/>
    <w:pPr>
      <w:autoSpaceDN w:val="0"/>
      <w:spacing w:beforeLines="50" w:afterLines="50"/>
      <w:outlineLvl w:val="2"/>
    </w:pPr>
    <w:rPr>
      <w:rFonts w:hAnsi="宋体" w:cs="黑体"/>
      <w:sz w:val="20"/>
    </w:rPr>
  </w:style>
  <w:style w:type="paragraph" w:customStyle="1" w:styleId="866">
    <w:name w:val="附录章标题"/>
    <w:next w:val="1"/>
    <w:qFormat/>
    <w:uiPriority w:val="0"/>
    <w:pPr>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character" w:customStyle="1" w:styleId="867">
    <w:name w:val="Char Char14"/>
    <w:basedOn w:val="79"/>
    <w:autoRedefine/>
    <w:qFormat/>
    <w:uiPriority w:val="0"/>
    <w:rPr>
      <w:kern w:val="2"/>
      <w:sz w:val="18"/>
    </w:rPr>
  </w:style>
  <w:style w:type="character" w:customStyle="1" w:styleId="868">
    <w:name w:val="Char Char51"/>
    <w:basedOn w:val="79"/>
    <w:autoRedefine/>
    <w:qFormat/>
    <w:uiPriority w:val="0"/>
    <w:rPr>
      <w:b/>
      <w:kern w:val="2"/>
      <w:sz w:val="30"/>
    </w:rPr>
  </w:style>
  <w:style w:type="character" w:customStyle="1" w:styleId="869">
    <w:name w:val="Char Char21"/>
    <w:basedOn w:val="79"/>
    <w:autoRedefine/>
    <w:qFormat/>
    <w:uiPriority w:val="0"/>
    <w:rPr>
      <w:rFonts w:hint="eastAsia" w:ascii="宋体" w:hAnsi="宋体" w:eastAsia="宋体" w:cs="宋体"/>
      <w:kern w:val="2"/>
      <w:sz w:val="28"/>
    </w:rPr>
  </w:style>
  <w:style w:type="character" w:customStyle="1" w:styleId="870">
    <w:name w:val="标题6 Char Char"/>
    <w:basedOn w:val="79"/>
    <w:autoRedefine/>
    <w:qFormat/>
    <w:uiPriority w:val="0"/>
    <w:rPr>
      <w:rFonts w:hint="eastAsia" w:ascii="黑体" w:hAnsi="宋体" w:eastAsia="黑体" w:cs="黑体"/>
      <w:kern w:val="2"/>
    </w:rPr>
  </w:style>
  <w:style w:type="character" w:customStyle="1" w:styleId="871">
    <w:name w:val="1级标题 Char Char"/>
    <w:basedOn w:val="79"/>
    <w:autoRedefine/>
    <w:qFormat/>
    <w:uiPriority w:val="0"/>
    <w:rPr>
      <w:rFonts w:hint="eastAsia" w:ascii="宋体" w:hAnsi="宋体" w:eastAsia="宋体" w:cs="宋体"/>
      <w:b/>
      <w:kern w:val="2"/>
      <w:sz w:val="44"/>
    </w:rPr>
  </w:style>
  <w:style w:type="character" w:customStyle="1" w:styleId="872">
    <w:name w:val="Char Char152"/>
    <w:basedOn w:val="79"/>
    <w:autoRedefine/>
    <w:qFormat/>
    <w:uiPriority w:val="0"/>
    <w:rPr>
      <w:b/>
      <w:kern w:val="2"/>
      <w:sz w:val="32"/>
    </w:rPr>
  </w:style>
  <w:style w:type="character" w:customStyle="1" w:styleId="873">
    <w:name w:val="批注文字 Char4"/>
    <w:basedOn w:val="79"/>
    <w:autoRedefine/>
    <w:qFormat/>
    <w:uiPriority w:val="99"/>
    <w:rPr>
      <w:sz w:val="21"/>
    </w:rPr>
  </w:style>
  <w:style w:type="character" w:customStyle="1" w:styleId="874">
    <w:name w:val="正文宋体小四1.5行 Char Char"/>
    <w:basedOn w:val="79"/>
    <w:autoRedefine/>
    <w:qFormat/>
    <w:uiPriority w:val="0"/>
    <w:rPr>
      <w:kern w:val="2"/>
      <w:sz w:val="21"/>
    </w:rPr>
  </w:style>
  <w:style w:type="character" w:customStyle="1" w:styleId="875">
    <w:name w:val="正文文本缩进 3 Char2"/>
    <w:basedOn w:val="79"/>
    <w:autoRedefine/>
    <w:qFormat/>
    <w:uiPriority w:val="99"/>
    <w:rPr>
      <w:sz w:val="16"/>
    </w:rPr>
  </w:style>
  <w:style w:type="character" w:customStyle="1" w:styleId="876">
    <w:name w:val="bg正文首行缩进 Char Char"/>
    <w:basedOn w:val="79"/>
    <w:autoRedefine/>
    <w:qFormat/>
    <w:uiPriority w:val="0"/>
    <w:rPr>
      <w:kern w:val="2"/>
    </w:rPr>
  </w:style>
  <w:style w:type="character" w:customStyle="1" w:styleId="877">
    <w:name w:val="bgt4条标题 Char"/>
    <w:basedOn w:val="79"/>
    <w:autoRedefine/>
    <w:qFormat/>
    <w:uiPriority w:val="0"/>
    <w:rPr>
      <w:rFonts w:hint="eastAsia" w:ascii="仿宋_GB2312" w:eastAsia="仿宋_GB2312" w:cs="仿宋_GB2312"/>
      <w:b/>
      <w:kern w:val="2"/>
    </w:rPr>
  </w:style>
  <w:style w:type="character" w:customStyle="1" w:styleId="878">
    <w:name w:val="信息标题 字符2"/>
    <w:basedOn w:val="79"/>
    <w:autoRedefine/>
    <w:qFormat/>
    <w:uiPriority w:val="99"/>
    <w:rPr>
      <w:rFonts w:hint="default" w:ascii="Cambria" w:hAnsi="Cambria" w:eastAsia="宋体" w:cs="Times New Roman"/>
      <w:sz w:val="24"/>
      <w:szCs w:val="24"/>
      <w:shd w:val="pct20" w:color="auto" w:fill="auto"/>
    </w:rPr>
  </w:style>
  <w:style w:type="character" w:customStyle="1" w:styleId="879">
    <w:name w:val="报告正文 Char"/>
    <w:basedOn w:val="79"/>
    <w:autoRedefine/>
    <w:qFormat/>
    <w:uiPriority w:val="0"/>
    <w:rPr>
      <w:kern w:val="2"/>
    </w:rPr>
  </w:style>
  <w:style w:type="character" w:customStyle="1" w:styleId="880">
    <w:name w:val="正文文本缩进 3 字符2"/>
    <w:basedOn w:val="79"/>
    <w:autoRedefine/>
    <w:qFormat/>
    <w:uiPriority w:val="99"/>
    <w:rPr>
      <w:rFonts w:hint="default" w:ascii="Tahoma" w:hAnsi="Tahoma" w:eastAsia="仿宋_GB2312" w:cs="Tahoma"/>
      <w:sz w:val="16"/>
      <w:szCs w:val="16"/>
    </w:rPr>
  </w:style>
  <w:style w:type="character" w:customStyle="1" w:styleId="881">
    <w:name w:val="日期 Char2"/>
    <w:basedOn w:val="79"/>
    <w:autoRedefine/>
    <w:qFormat/>
    <w:uiPriority w:val="99"/>
    <w:rPr>
      <w:sz w:val="21"/>
    </w:rPr>
  </w:style>
  <w:style w:type="character" w:customStyle="1" w:styleId="882">
    <w:name w:val="批注文字 Char5"/>
    <w:basedOn w:val="79"/>
    <w:autoRedefine/>
    <w:qFormat/>
    <w:uiPriority w:val="99"/>
    <w:rPr>
      <w:sz w:val="21"/>
    </w:rPr>
  </w:style>
  <w:style w:type="character" w:customStyle="1" w:styleId="883">
    <w:name w:val="页脚 Char2"/>
    <w:basedOn w:val="79"/>
    <w:autoRedefine/>
    <w:qFormat/>
    <w:uiPriority w:val="99"/>
    <w:rPr>
      <w:sz w:val="18"/>
    </w:rPr>
  </w:style>
  <w:style w:type="character" w:customStyle="1" w:styleId="884">
    <w:name w:val="正文首行缩进 Char3"/>
    <w:basedOn w:val="79"/>
    <w:autoRedefine/>
    <w:qFormat/>
    <w:uiPriority w:val="99"/>
  </w:style>
  <w:style w:type="character" w:customStyle="1" w:styleId="885">
    <w:name w:val="页眉 Char2"/>
    <w:basedOn w:val="79"/>
    <w:autoRedefine/>
    <w:qFormat/>
    <w:uiPriority w:val="99"/>
    <w:rPr>
      <w:sz w:val="18"/>
    </w:rPr>
  </w:style>
  <w:style w:type="character" w:customStyle="1" w:styleId="886">
    <w:name w:val="正文文本 2 Char2"/>
    <w:basedOn w:val="79"/>
    <w:autoRedefine/>
    <w:qFormat/>
    <w:uiPriority w:val="99"/>
    <w:rPr>
      <w:sz w:val="21"/>
    </w:rPr>
  </w:style>
  <w:style w:type="character" w:customStyle="1" w:styleId="887">
    <w:name w:val="样式 标题 3 + 仿宋_GB2312 四号 非加粗 Char Char"/>
    <w:basedOn w:val="79"/>
    <w:link w:val="888"/>
    <w:autoRedefine/>
    <w:qFormat/>
    <w:uiPriority w:val="99"/>
    <w:rPr>
      <w:rFonts w:ascii="仿宋_GB2312" w:hAnsi="仿宋_GB2312" w:eastAsia="仿宋_GB2312" w:cs="宋体"/>
      <w:b/>
      <w:bCs/>
      <w:spacing w:val="20"/>
      <w:sz w:val="28"/>
      <w:szCs w:val="32"/>
    </w:rPr>
  </w:style>
  <w:style w:type="paragraph" w:customStyle="1" w:styleId="888">
    <w:name w:val="样式 标题 3 + 仿宋_GB2312 四号 非加粗"/>
    <w:basedOn w:val="5"/>
    <w:link w:val="887"/>
    <w:qFormat/>
    <w:uiPriority w:val="99"/>
    <w:pPr>
      <w:tabs>
        <w:tab w:val="left" w:pos="0"/>
      </w:tabs>
      <w:spacing w:before="120" w:after="120" w:line="240" w:lineRule="atLeast"/>
    </w:pPr>
    <w:rPr>
      <w:rFonts w:ascii="仿宋_GB2312" w:hAnsi="仿宋_GB2312" w:eastAsia="仿宋_GB2312" w:cs="宋体"/>
      <w:b/>
      <w:bCs/>
      <w:spacing w:val="20"/>
      <w:kern w:val="0"/>
      <w:sz w:val="28"/>
      <w:szCs w:val="32"/>
    </w:rPr>
  </w:style>
  <w:style w:type="character" w:customStyle="1" w:styleId="889">
    <w:name w:val="下标"/>
    <w:basedOn w:val="79"/>
    <w:autoRedefine/>
    <w:qFormat/>
    <w:uiPriority w:val="0"/>
    <w:rPr>
      <w:vertAlign w:val="subscript"/>
    </w:rPr>
  </w:style>
  <w:style w:type="character" w:customStyle="1" w:styleId="890">
    <w:name w:val="正文 1 Char Char"/>
    <w:basedOn w:val="79"/>
    <w:autoRedefine/>
    <w:qFormat/>
    <w:uiPriority w:val="0"/>
    <w:rPr>
      <w:kern w:val="2"/>
    </w:rPr>
  </w:style>
  <w:style w:type="character" w:customStyle="1" w:styleId="891">
    <w:name w:val="普通文字 Char1"/>
    <w:basedOn w:val="79"/>
    <w:autoRedefine/>
    <w:qFormat/>
    <w:uiPriority w:val="99"/>
    <w:rPr>
      <w:kern w:val="2"/>
      <w:sz w:val="21"/>
    </w:rPr>
  </w:style>
  <w:style w:type="character" w:customStyle="1" w:styleId="892">
    <w:name w:val="Char Char52"/>
    <w:basedOn w:val="79"/>
    <w:autoRedefine/>
    <w:qFormat/>
    <w:uiPriority w:val="0"/>
    <w:rPr>
      <w:b/>
      <w:kern w:val="2"/>
      <w:sz w:val="30"/>
    </w:rPr>
  </w:style>
  <w:style w:type="character" w:customStyle="1" w:styleId="893">
    <w:name w:val="05表格表头格式 Char"/>
    <w:basedOn w:val="79"/>
    <w:link w:val="894"/>
    <w:autoRedefine/>
    <w:qFormat/>
    <w:uiPriority w:val="0"/>
    <w:rPr>
      <w:rFonts w:ascii="宋体" w:hAnsi="宋体" w:cs="宋体"/>
    </w:rPr>
  </w:style>
  <w:style w:type="paragraph" w:customStyle="1" w:styleId="894">
    <w:name w:val="05表格表头格式"/>
    <w:basedOn w:val="1"/>
    <w:link w:val="893"/>
    <w:qFormat/>
    <w:uiPriority w:val="0"/>
    <w:pPr>
      <w:spacing w:line="360" w:lineRule="auto"/>
      <w:jc w:val="center"/>
    </w:pPr>
    <w:rPr>
      <w:rFonts w:ascii="宋体" w:hAnsi="宋体" w:cs="宋体"/>
      <w:kern w:val="0"/>
      <w:sz w:val="20"/>
    </w:rPr>
  </w:style>
  <w:style w:type="character" w:customStyle="1" w:styleId="895">
    <w:name w:val="批注框文本 Char3"/>
    <w:basedOn w:val="79"/>
    <w:autoRedefine/>
    <w:qFormat/>
    <w:uiPriority w:val="99"/>
    <w:rPr>
      <w:sz w:val="18"/>
    </w:rPr>
  </w:style>
  <w:style w:type="character" w:customStyle="1" w:styleId="896">
    <w:name w:val="07图标题格式 Char"/>
    <w:basedOn w:val="79"/>
    <w:link w:val="897"/>
    <w:autoRedefine/>
    <w:qFormat/>
    <w:uiPriority w:val="0"/>
    <w:rPr>
      <w:rFonts w:ascii="宋体" w:hAnsi="宋体" w:cs="宋体"/>
    </w:rPr>
  </w:style>
  <w:style w:type="paragraph" w:customStyle="1" w:styleId="897">
    <w:name w:val="07图标题格式"/>
    <w:basedOn w:val="1"/>
    <w:link w:val="896"/>
    <w:qFormat/>
    <w:uiPriority w:val="0"/>
    <w:pPr>
      <w:tabs>
        <w:tab w:val="left" w:pos="-2310"/>
        <w:tab w:val="left" w:pos="-1890"/>
      </w:tabs>
      <w:spacing w:line="360" w:lineRule="auto"/>
      <w:jc w:val="center"/>
    </w:pPr>
    <w:rPr>
      <w:rFonts w:ascii="宋体" w:hAnsi="宋体" w:cs="宋体"/>
      <w:kern w:val="0"/>
      <w:sz w:val="20"/>
    </w:rPr>
  </w:style>
  <w:style w:type="character" w:customStyle="1" w:styleId="898">
    <w:name w:val="Char Char20"/>
    <w:basedOn w:val="79"/>
    <w:autoRedefine/>
    <w:qFormat/>
    <w:uiPriority w:val="0"/>
    <w:rPr>
      <w:kern w:val="2"/>
    </w:rPr>
  </w:style>
  <w:style w:type="character" w:customStyle="1" w:styleId="899">
    <w:name w:val="03条标题格式 Char"/>
    <w:basedOn w:val="79"/>
    <w:link w:val="900"/>
    <w:autoRedefine/>
    <w:qFormat/>
    <w:uiPriority w:val="0"/>
    <w:rPr>
      <w:rFonts w:ascii="黑体" w:hAnsi="宋体" w:eastAsia="黑体" w:cs="黑体"/>
    </w:rPr>
  </w:style>
  <w:style w:type="paragraph" w:customStyle="1" w:styleId="900">
    <w:name w:val="03条标题格式"/>
    <w:basedOn w:val="1"/>
    <w:link w:val="899"/>
    <w:qFormat/>
    <w:uiPriority w:val="0"/>
    <w:pPr>
      <w:spacing w:line="360" w:lineRule="auto"/>
    </w:pPr>
    <w:rPr>
      <w:rFonts w:ascii="黑体" w:hAnsi="宋体" w:eastAsia="黑体" w:cs="黑体"/>
      <w:kern w:val="0"/>
      <w:sz w:val="20"/>
    </w:rPr>
  </w:style>
  <w:style w:type="character" w:customStyle="1" w:styleId="901">
    <w:name w:val="脚注文本 Char5"/>
    <w:basedOn w:val="79"/>
    <w:autoRedefine/>
    <w:qFormat/>
    <w:uiPriority w:val="99"/>
    <w:rPr>
      <w:sz w:val="18"/>
    </w:rPr>
  </w:style>
  <w:style w:type="character" w:customStyle="1" w:styleId="902">
    <w:name w:val="标题 Char3"/>
    <w:basedOn w:val="79"/>
    <w:autoRedefine/>
    <w:qFormat/>
    <w:uiPriority w:val="10"/>
    <w:rPr>
      <w:rFonts w:hint="default" w:ascii="Arial Narrow" w:hAnsi="Arial Narrow" w:eastAsia="Arial Narrow" w:cs="Arial Narrow"/>
      <w:b/>
      <w:sz w:val="32"/>
    </w:rPr>
  </w:style>
  <w:style w:type="character" w:customStyle="1" w:styleId="903">
    <w:name w:val="副标题 Char5"/>
    <w:basedOn w:val="79"/>
    <w:autoRedefine/>
    <w:qFormat/>
    <w:uiPriority w:val="11"/>
    <w:rPr>
      <w:rFonts w:hint="default" w:ascii="Arial Narrow" w:hAnsi="Arial Narrow" w:eastAsia="Arial Narrow" w:cs="Arial Narrow"/>
      <w:b/>
      <w:kern w:val="28"/>
      <w:sz w:val="32"/>
    </w:rPr>
  </w:style>
  <w:style w:type="character" w:customStyle="1" w:styleId="904">
    <w:name w:val="标题 Char1"/>
    <w:basedOn w:val="79"/>
    <w:autoRedefine/>
    <w:qFormat/>
    <w:uiPriority w:val="99"/>
    <w:rPr>
      <w:rFonts w:hint="default" w:ascii="Arial Narrow" w:hAnsi="Arial Narrow" w:eastAsia="Arial Narrow" w:cs="Arial Narrow"/>
      <w:b/>
      <w:sz w:val="32"/>
    </w:rPr>
  </w:style>
  <w:style w:type="character" w:customStyle="1" w:styleId="905">
    <w:name w:val="Char Char1511"/>
    <w:basedOn w:val="79"/>
    <w:autoRedefine/>
    <w:qFormat/>
    <w:uiPriority w:val="0"/>
    <w:rPr>
      <w:b/>
      <w:kern w:val="2"/>
      <w:sz w:val="32"/>
    </w:rPr>
  </w:style>
  <w:style w:type="character" w:customStyle="1" w:styleId="906">
    <w:name w:val="bg正文 Char"/>
    <w:basedOn w:val="79"/>
    <w:autoRedefine/>
    <w:qFormat/>
    <w:uiPriority w:val="0"/>
    <w:rPr>
      <w:kern w:val="2"/>
    </w:rPr>
  </w:style>
  <w:style w:type="character" w:customStyle="1" w:styleId="907">
    <w:name w:val="lcb二级标题 Char"/>
    <w:basedOn w:val="79"/>
    <w:link w:val="908"/>
    <w:autoRedefine/>
    <w:qFormat/>
    <w:uiPriority w:val="0"/>
    <w:rPr>
      <w:sz w:val="28"/>
    </w:rPr>
  </w:style>
  <w:style w:type="paragraph" w:customStyle="1" w:styleId="908">
    <w:name w:val="lcb二级标题"/>
    <w:basedOn w:val="1"/>
    <w:link w:val="907"/>
    <w:qFormat/>
    <w:uiPriority w:val="0"/>
    <w:pPr>
      <w:snapToGrid w:val="0"/>
      <w:spacing w:beforeLines="30" w:afterLines="30"/>
      <w:jc w:val="left"/>
    </w:pPr>
    <w:rPr>
      <w:kern w:val="0"/>
      <w:sz w:val="28"/>
    </w:rPr>
  </w:style>
  <w:style w:type="character" w:customStyle="1" w:styleId="909">
    <w:name w:val="正文文本 3 Char1"/>
    <w:basedOn w:val="79"/>
    <w:autoRedefine/>
    <w:qFormat/>
    <w:uiPriority w:val="0"/>
    <w:rPr>
      <w:sz w:val="16"/>
    </w:rPr>
  </w:style>
  <w:style w:type="character" w:customStyle="1" w:styleId="910">
    <w:name w:val="-14正文2 Char Char Char Char"/>
    <w:basedOn w:val="79"/>
    <w:autoRedefine/>
    <w:qFormat/>
    <w:uiPriority w:val="0"/>
    <w:rPr>
      <w:rFonts w:hint="eastAsia" w:ascii="宋体" w:hAnsi="宋体" w:eastAsia="宋体" w:cs="宋体"/>
      <w:color w:val="000000"/>
      <w:kern w:val="2"/>
      <w:sz w:val="24"/>
      <w:lang w:val="en-US" w:eastAsia="zh-CN"/>
    </w:rPr>
  </w:style>
  <w:style w:type="character" w:customStyle="1" w:styleId="911">
    <w:name w:val="正文文本 2 Char1"/>
    <w:basedOn w:val="79"/>
    <w:autoRedefine/>
    <w:qFormat/>
    <w:uiPriority w:val="0"/>
    <w:rPr>
      <w:sz w:val="21"/>
    </w:rPr>
  </w:style>
  <w:style w:type="character" w:customStyle="1" w:styleId="912">
    <w:name w:val="副标题 Char4"/>
    <w:basedOn w:val="79"/>
    <w:autoRedefine/>
    <w:qFormat/>
    <w:uiPriority w:val="11"/>
    <w:rPr>
      <w:rFonts w:hint="default" w:ascii="Arial Narrow" w:hAnsi="Arial Narrow" w:eastAsia="Arial Narrow" w:cs="Arial Narrow"/>
      <w:b/>
      <w:kern w:val="28"/>
      <w:sz w:val="32"/>
    </w:rPr>
  </w:style>
  <w:style w:type="character" w:customStyle="1" w:styleId="913">
    <w:name w:val="bgbt4款标题 Char"/>
    <w:basedOn w:val="79"/>
    <w:autoRedefine/>
    <w:qFormat/>
    <w:uiPriority w:val="0"/>
    <w:rPr>
      <w:rFonts w:hint="eastAsia" w:ascii="黑体" w:hAnsi="宋体" w:eastAsia="黑体" w:cs="黑体"/>
      <w:kern w:val="2"/>
    </w:rPr>
  </w:style>
  <w:style w:type="character" w:customStyle="1" w:styleId="914">
    <w:name w:val="尾注文本 Char1"/>
    <w:basedOn w:val="79"/>
    <w:autoRedefine/>
    <w:qFormat/>
    <w:uiPriority w:val="0"/>
    <w:rPr>
      <w:kern w:val="2"/>
    </w:rPr>
  </w:style>
  <w:style w:type="character" w:customStyle="1" w:styleId="915">
    <w:name w:val="Char Char151"/>
    <w:basedOn w:val="79"/>
    <w:autoRedefine/>
    <w:qFormat/>
    <w:uiPriority w:val="0"/>
    <w:rPr>
      <w:b/>
      <w:kern w:val="2"/>
      <w:sz w:val="32"/>
    </w:rPr>
  </w:style>
  <w:style w:type="character" w:customStyle="1" w:styleId="916">
    <w:name w:val="批注框文本 字符2"/>
    <w:basedOn w:val="79"/>
    <w:autoRedefine/>
    <w:qFormat/>
    <w:uiPriority w:val="99"/>
    <w:rPr>
      <w:rFonts w:hint="default" w:ascii="Tahoma" w:hAnsi="Tahoma" w:eastAsia="仿宋_GB2312" w:cs="Tahoma"/>
      <w:sz w:val="18"/>
      <w:szCs w:val="18"/>
    </w:rPr>
  </w:style>
  <w:style w:type="character" w:customStyle="1" w:styleId="917">
    <w:name w:val="正文文本 Char3"/>
    <w:basedOn w:val="79"/>
    <w:autoRedefine/>
    <w:qFormat/>
    <w:uiPriority w:val="99"/>
    <w:rPr>
      <w:sz w:val="21"/>
    </w:rPr>
  </w:style>
  <w:style w:type="character" w:customStyle="1" w:styleId="918">
    <w:name w:val="纯文本 Char5"/>
    <w:basedOn w:val="79"/>
    <w:autoRedefine/>
    <w:qFormat/>
    <w:uiPriority w:val="99"/>
    <w:rPr>
      <w:rFonts w:hint="eastAsia" w:ascii="..ì." w:hAnsi="Wingdings" w:eastAsia="..ì." w:cs="..ì."/>
      <w:sz w:val="21"/>
    </w:rPr>
  </w:style>
  <w:style w:type="character" w:customStyle="1" w:styleId="919">
    <w:name w:val="引用 Char4"/>
    <w:basedOn w:val="79"/>
    <w:autoRedefine/>
    <w:qFormat/>
    <w:uiPriority w:val="29"/>
    <w:rPr>
      <w:i/>
      <w:sz w:val="21"/>
    </w:rPr>
  </w:style>
  <w:style w:type="character" w:customStyle="1" w:styleId="920">
    <w:name w:val="正文文本缩进 2 Char4"/>
    <w:basedOn w:val="79"/>
    <w:autoRedefine/>
    <w:qFormat/>
    <w:uiPriority w:val="99"/>
    <w:rPr>
      <w:sz w:val="21"/>
    </w:rPr>
  </w:style>
  <w:style w:type="character" w:customStyle="1" w:styleId="921">
    <w:name w:val="a"/>
    <w:basedOn w:val="79"/>
    <w:autoRedefine/>
    <w:qFormat/>
    <w:uiPriority w:val="0"/>
  </w:style>
  <w:style w:type="character" w:customStyle="1" w:styleId="922">
    <w:name w:val="样式6 Char"/>
    <w:basedOn w:val="79"/>
    <w:link w:val="923"/>
    <w:autoRedefine/>
    <w:qFormat/>
    <w:uiPriority w:val="0"/>
    <w:rPr>
      <w:rFonts w:ascii="宋体" w:hAnsi="宋体" w:eastAsia="黑体" w:cs="宋体"/>
      <w:b/>
      <w:sz w:val="32"/>
    </w:rPr>
  </w:style>
  <w:style w:type="paragraph" w:customStyle="1" w:styleId="923">
    <w:name w:val="样式6"/>
    <w:basedOn w:val="5"/>
    <w:link w:val="922"/>
    <w:qFormat/>
    <w:uiPriority w:val="0"/>
    <w:pPr>
      <w:keepNext/>
      <w:keepLines/>
      <w:tabs>
        <w:tab w:val="left" w:pos="0"/>
      </w:tabs>
      <w:spacing w:before="340" w:after="330" w:line="576" w:lineRule="auto"/>
      <w:jc w:val="center"/>
    </w:pPr>
    <w:rPr>
      <w:rFonts w:ascii="宋体" w:hAnsi="宋体" w:eastAsia="黑体" w:cs="宋体"/>
      <w:b/>
      <w:kern w:val="0"/>
      <w:sz w:val="32"/>
    </w:rPr>
  </w:style>
  <w:style w:type="character" w:customStyle="1" w:styleId="924">
    <w:name w:val="页脚 Char3"/>
    <w:basedOn w:val="79"/>
    <w:autoRedefine/>
    <w:qFormat/>
    <w:uiPriority w:val="99"/>
    <w:rPr>
      <w:sz w:val="18"/>
    </w:rPr>
  </w:style>
  <w:style w:type="character" w:customStyle="1" w:styleId="925">
    <w:name w:val="页眉 Char3"/>
    <w:basedOn w:val="79"/>
    <w:autoRedefine/>
    <w:qFormat/>
    <w:uiPriority w:val="99"/>
    <w:rPr>
      <w:sz w:val="18"/>
    </w:rPr>
  </w:style>
  <w:style w:type="character" w:customStyle="1" w:styleId="926">
    <w:name w:val="text1"/>
    <w:basedOn w:val="79"/>
    <w:autoRedefine/>
    <w:qFormat/>
    <w:uiPriority w:val="0"/>
    <w:rPr>
      <w:color w:val="000000"/>
      <w:spacing w:val="330"/>
      <w:sz w:val="21"/>
    </w:rPr>
  </w:style>
  <w:style w:type="character" w:customStyle="1" w:styleId="927">
    <w:name w:val="tabtext"/>
    <w:basedOn w:val="79"/>
    <w:autoRedefine/>
    <w:qFormat/>
    <w:uiPriority w:val="0"/>
  </w:style>
  <w:style w:type="character" w:customStyle="1" w:styleId="928">
    <w:name w:val="Char Char13"/>
    <w:basedOn w:val="79"/>
    <w:autoRedefine/>
    <w:qFormat/>
    <w:uiPriority w:val="0"/>
    <w:rPr>
      <w:kern w:val="2"/>
    </w:rPr>
  </w:style>
  <w:style w:type="character" w:customStyle="1" w:styleId="929">
    <w:name w:val="样式 bgbt4款标题 Char + 小三 加粗 黑色"/>
    <w:basedOn w:val="79"/>
    <w:autoRedefine/>
    <w:qFormat/>
    <w:uiPriority w:val="0"/>
    <w:rPr>
      <w:rFonts w:hint="eastAsia" w:ascii="黑体" w:hAnsi="宋体" w:eastAsia="黑体" w:cs="黑体"/>
      <w:sz w:val="30"/>
    </w:rPr>
  </w:style>
  <w:style w:type="character" w:customStyle="1" w:styleId="930">
    <w:name w:val="Char Char23"/>
    <w:basedOn w:val="79"/>
    <w:autoRedefine/>
    <w:qFormat/>
    <w:uiPriority w:val="0"/>
    <w:rPr>
      <w:b/>
      <w:kern w:val="2"/>
      <w:sz w:val="32"/>
    </w:rPr>
  </w:style>
  <w:style w:type="character" w:customStyle="1" w:styleId="931">
    <w:name w:val="6级标题 Char Char"/>
    <w:basedOn w:val="79"/>
    <w:autoRedefine/>
    <w:qFormat/>
    <w:uiPriority w:val="0"/>
    <w:rPr>
      <w:rFonts w:hint="eastAsia" w:ascii="黑体" w:hAnsi="宋体" w:eastAsia="黑体" w:cs="黑体"/>
      <w:kern w:val="2"/>
    </w:rPr>
  </w:style>
  <w:style w:type="character" w:customStyle="1" w:styleId="932">
    <w:name w:val="u正文 Char Char"/>
    <w:basedOn w:val="79"/>
    <w:link w:val="933"/>
    <w:autoRedefine/>
    <w:qFormat/>
    <w:uiPriority w:val="0"/>
  </w:style>
  <w:style w:type="paragraph" w:customStyle="1" w:styleId="933">
    <w:name w:val="u正文"/>
    <w:basedOn w:val="1"/>
    <w:link w:val="932"/>
    <w:qFormat/>
    <w:uiPriority w:val="0"/>
    <w:pPr>
      <w:spacing w:beforeLines="10" w:afterLines="10" w:line="312" w:lineRule="auto"/>
      <w:ind w:firstLine="200" w:firstLineChars="200"/>
    </w:pPr>
    <w:rPr>
      <w:kern w:val="0"/>
      <w:sz w:val="20"/>
    </w:rPr>
  </w:style>
  <w:style w:type="character" w:customStyle="1" w:styleId="934">
    <w:name w:val="黑侠 Char Char1"/>
    <w:basedOn w:val="79"/>
    <w:autoRedefine/>
    <w:qFormat/>
    <w:uiPriority w:val="0"/>
    <w:rPr>
      <w:b/>
      <w:kern w:val="44"/>
      <w:sz w:val="44"/>
    </w:rPr>
  </w:style>
  <w:style w:type="character" w:customStyle="1" w:styleId="935">
    <w:name w:val="bgbt副标题 Char"/>
    <w:basedOn w:val="79"/>
    <w:autoRedefine/>
    <w:qFormat/>
    <w:uiPriority w:val="0"/>
    <w:rPr>
      <w:rFonts w:hint="eastAsia" w:ascii="黑体" w:hAnsi="宋体" w:eastAsia="黑体" w:cs="黑体"/>
      <w:kern w:val="2"/>
      <w:sz w:val="32"/>
    </w:rPr>
  </w:style>
  <w:style w:type="character" w:customStyle="1" w:styleId="936">
    <w:name w:val="bgbt5附表标题 Char"/>
    <w:basedOn w:val="79"/>
    <w:link w:val="937"/>
    <w:autoRedefine/>
    <w:qFormat/>
    <w:uiPriority w:val="0"/>
    <w:rPr>
      <w:rFonts w:ascii="黑体" w:hAnsi="宋体" w:eastAsia="黑体" w:cs="黑体"/>
      <w:sz w:val="28"/>
    </w:rPr>
  </w:style>
  <w:style w:type="paragraph" w:customStyle="1" w:styleId="937">
    <w:name w:val="bgbt5附表标题"/>
    <w:basedOn w:val="1"/>
    <w:next w:val="538"/>
    <w:link w:val="936"/>
    <w:qFormat/>
    <w:uiPriority w:val="0"/>
    <w:pPr>
      <w:spacing w:before="60" w:line="480" w:lineRule="exact"/>
      <w:ind w:firstLine="200" w:firstLineChars="200"/>
      <w:jc w:val="center"/>
      <w:outlineLvl w:val="4"/>
    </w:pPr>
    <w:rPr>
      <w:rFonts w:ascii="黑体" w:hAnsi="宋体" w:eastAsia="黑体" w:cs="黑体"/>
      <w:kern w:val="0"/>
      <w:sz w:val="28"/>
    </w:rPr>
  </w:style>
  <w:style w:type="character" w:customStyle="1" w:styleId="938">
    <w:name w:val="正文文本缩进 2 字符2"/>
    <w:basedOn w:val="79"/>
    <w:autoRedefine/>
    <w:qFormat/>
    <w:uiPriority w:val="99"/>
    <w:rPr>
      <w:rFonts w:hint="default" w:ascii="Tahoma" w:hAnsi="Tahoma" w:eastAsia="仿宋_GB2312" w:cs="Tahoma"/>
      <w:sz w:val="28"/>
      <w:szCs w:val="28"/>
    </w:rPr>
  </w:style>
  <w:style w:type="character" w:customStyle="1" w:styleId="939">
    <w:name w:val="标题4 Char Char"/>
    <w:basedOn w:val="79"/>
    <w:link w:val="246"/>
    <w:autoRedefine/>
    <w:qFormat/>
    <w:uiPriority w:val="0"/>
    <w:rPr>
      <w:rFonts w:ascii="黑体" w:eastAsia="黑体"/>
      <w:kern w:val="2"/>
      <w:sz w:val="24"/>
    </w:rPr>
  </w:style>
  <w:style w:type="character" w:customStyle="1" w:styleId="940">
    <w:name w:val="字母编号列项（一级） Char"/>
    <w:basedOn w:val="79"/>
    <w:link w:val="941"/>
    <w:autoRedefine/>
    <w:qFormat/>
    <w:uiPriority w:val="0"/>
    <w:rPr>
      <w:rFonts w:ascii="宋体" w:hAnsi="宋体" w:cs="宋体"/>
    </w:rPr>
  </w:style>
  <w:style w:type="paragraph" w:customStyle="1" w:styleId="941">
    <w:name w:val="字母编号列项（一级）"/>
    <w:link w:val="940"/>
    <w:qFormat/>
    <w:uiPriority w:val="0"/>
    <w:pPr>
      <w:jc w:val="both"/>
    </w:pPr>
    <w:rPr>
      <w:rFonts w:ascii="宋体" w:hAnsi="宋体" w:eastAsia="宋体" w:cs="宋体"/>
      <w:lang w:val="en-US" w:eastAsia="zh-CN" w:bidi="ar-SA"/>
    </w:rPr>
  </w:style>
  <w:style w:type="character" w:customStyle="1" w:styleId="942">
    <w:name w:val="标题 4 Char1"/>
    <w:basedOn w:val="79"/>
    <w:autoRedefine/>
    <w:qFormat/>
    <w:uiPriority w:val="0"/>
    <w:rPr>
      <w:b/>
      <w:kern w:val="2"/>
      <w:sz w:val="28"/>
    </w:rPr>
  </w:style>
  <w:style w:type="character" w:customStyle="1" w:styleId="943">
    <w:name w:val="信息标题 Char1"/>
    <w:basedOn w:val="79"/>
    <w:autoRedefine/>
    <w:qFormat/>
    <w:uiPriority w:val="0"/>
    <w:rPr>
      <w:rFonts w:hint="default" w:ascii="Calibri Light" w:hAnsi="Calibri Light" w:eastAsia="Calibri Light" w:cs="Calibri Light"/>
      <w:kern w:val="2"/>
      <w:shd w:val="pct20" w:color="auto" w:fill="auto"/>
    </w:rPr>
  </w:style>
  <w:style w:type="character" w:customStyle="1" w:styleId="944">
    <w:name w:val="条标题1.1.1 Char"/>
    <w:basedOn w:val="79"/>
    <w:autoRedefine/>
    <w:qFormat/>
    <w:uiPriority w:val="0"/>
    <w:rPr>
      <w:sz w:val="20"/>
    </w:rPr>
  </w:style>
  <w:style w:type="character" w:customStyle="1" w:styleId="945">
    <w:name w:val="正文（首行缩进仿宋小四） Char"/>
    <w:basedOn w:val="79"/>
    <w:autoRedefine/>
    <w:qFormat/>
    <w:uiPriority w:val="99"/>
    <w:rPr>
      <w:rFonts w:hint="default" w:ascii="Times New Roman" w:hAnsi="Times New Roman" w:cs="Times New Roman"/>
    </w:rPr>
  </w:style>
  <w:style w:type="character" w:customStyle="1" w:styleId="946">
    <w:name w:val="样式4 Char"/>
    <w:basedOn w:val="79"/>
    <w:autoRedefine/>
    <w:qFormat/>
    <w:uiPriority w:val="0"/>
    <w:rPr>
      <w:rFonts w:hint="eastAsia" w:ascii="宋体" w:hAnsi="宋体" w:eastAsia="黑体" w:cs="宋体"/>
      <w:b/>
      <w:sz w:val="32"/>
    </w:rPr>
  </w:style>
  <w:style w:type="character" w:customStyle="1" w:styleId="947">
    <w:name w:val="样式3 Char"/>
    <w:basedOn w:val="79"/>
    <w:link w:val="95"/>
    <w:autoRedefine/>
    <w:qFormat/>
    <w:uiPriority w:val="0"/>
    <w:rPr>
      <w:kern w:val="2"/>
      <w:sz w:val="28"/>
      <w:szCs w:val="24"/>
    </w:rPr>
  </w:style>
  <w:style w:type="character" w:customStyle="1" w:styleId="948">
    <w:name w:val="zw Char Char"/>
    <w:basedOn w:val="79"/>
    <w:autoRedefine/>
    <w:qFormat/>
    <w:uiPriority w:val="0"/>
    <w:rPr>
      <w:rFonts w:hint="eastAsia" w:ascii="仿宋_GB2312" w:hAnsi="仿宋_GB2312" w:eastAsia="仿宋_GB2312" w:cs="仿宋_GB2312"/>
      <w:kern w:val="2"/>
      <w:sz w:val="28"/>
    </w:rPr>
  </w:style>
  <w:style w:type="character" w:customStyle="1" w:styleId="949">
    <w:name w:val="li-3 Char"/>
    <w:basedOn w:val="79"/>
    <w:link w:val="950"/>
    <w:autoRedefine/>
    <w:qFormat/>
    <w:uiPriority w:val="0"/>
    <w:rPr>
      <w:b/>
      <w:sz w:val="32"/>
    </w:rPr>
  </w:style>
  <w:style w:type="paragraph" w:customStyle="1" w:styleId="950">
    <w:name w:val="li-3"/>
    <w:basedOn w:val="5"/>
    <w:link w:val="949"/>
    <w:qFormat/>
    <w:uiPriority w:val="0"/>
    <w:pPr>
      <w:keepNext/>
      <w:keepLines/>
      <w:tabs>
        <w:tab w:val="left" w:pos="0"/>
      </w:tabs>
      <w:spacing w:before="260" w:after="260" w:line="540" w:lineRule="exact"/>
      <w:jc w:val="left"/>
    </w:pPr>
    <w:rPr>
      <w:rFonts w:ascii="Times New Roman"/>
      <w:b/>
      <w:kern w:val="0"/>
      <w:sz w:val="32"/>
    </w:rPr>
  </w:style>
  <w:style w:type="character" w:customStyle="1" w:styleId="951">
    <w:name w:val="样式 首行缩进:  2 字符 Char Char"/>
    <w:basedOn w:val="79"/>
    <w:link w:val="952"/>
    <w:autoRedefine/>
    <w:qFormat/>
    <w:uiPriority w:val="99"/>
    <w:rPr>
      <w:rFonts w:ascii="仿宋_GB2312" w:eastAsia="仿宋_GB2312" w:cs="宋体"/>
      <w:sz w:val="28"/>
    </w:rPr>
  </w:style>
  <w:style w:type="paragraph" w:customStyle="1" w:styleId="952">
    <w:name w:val="样式 首行缩进:  2 字符"/>
    <w:basedOn w:val="1"/>
    <w:link w:val="951"/>
    <w:qFormat/>
    <w:uiPriority w:val="99"/>
    <w:pPr>
      <w:spacing w:line="480" w:lineRule="exact"/>
      <w:ind w:firstLine="200" w:firstLineChars="200"/>
    </w:pPr>
    <w:rPr>
      <w:rFonts w:ascii="仿宋_GB2312" w:eastAsia="仿宋_GB2312" w:cs="宋体"/>
      <w:kern w:val="0"/>
      <w:sz w:val="28"/>
    </w:rPr>
  </w:style>
  <w:style w:type="character" w:customStyle="1" w:styleId="953">
    <w:name w:val="报正段落 Char"/>
    <w:basedOn w:val="79"/>
    <w:link w:val="954"/>
    <w:autoRedefine/>
    <w:qFormat/>
    <w:uiPriority w:val="0"/>
    <w:rPr>
      <w:rFonts w:ascii="仿宋_GB2312" w:eastAsia="仿宋_GB2312" w:cs="仿宋_GB2312"/>
      <w:sz w:val="28"/>
      <w:lang w:val="zh-CN"/>
    </w:rPr>
  </w:style>
  <w:style w:type="paragraph" w:customStyle="1" w:styleId="954">
    <w:name w:val="报正段落"/>
    <w:basedOn w:val="1"/>
    <w:link w:val="953"/>
    <w:qFormat/>
    <w:uiPriority w:val="0"/>
    <w:pPr>
      <w:ind w:firstLine="560"/>
      <w:jc w:val="left"/>
    </w:pPr>
    <w:rPr>
      <w:rFonts w:ascii="仿宋_GB2312" w:eastAsia="仿宋_GB2312" w:cs="仿宋_GB2312"/>
      <w:kern w:val="0"/>
      <w:sz w:val="28"/>
      <w:lang w:val="zh-CN"/>
    </w:rPr>
  </w:style>
  <w:style w:type="character" w:customStyle="1" w:styleId="955">
    <w:name w:val="标题 2 Char Char Char"/>
    <w:basedOn w:val="79"/>
    <w:autoRedefine/>
    <w:qFormat/>
    <w:uiPriority w:val="0"/>
    <w:rPr>
      <w:rFonts w:hint="eastAsia" w:ascii="宋体" w:hAnsi="宋体" w:eastAsia="黑体" w:cs="宋体"/>
      <w:b/>
      <w:kern w:val="2"/>
      <w:sz w:val="24"/>
      <w:lang w:val="en-US" w:eastAsia="zh-CN"/>
    </w:rPr>
  </w:style>
  <w:style w:type="character" w:customStyle="1" w:styleId="956">
    <w:name w:val="无间隔 Char Char Char"/>
    <w:basedOn w:val="79"/>
    <w:autoRedefine/>
    <w:qFormat/>
    <w:uiPriority w:val="0"/>
    <w:rPr>
      <w:rFonts w:hint="default" w:ascii="Calibri" w:hAnsi="Calibri" w:cs="Calibri"/>
      <w:sz w:val="22"/>
      <w:lang w:val="en-US" w:eastAsia="zh-CN"/>
    </w:rPr>
  </w:style>
  <w:style w:type="character" w:customStyle="1" w:styleId="957">
    <w:name w:val="正文文本 3 字符2"/>
    <w:basedOn w:val="79"/>
    <w:autoRedefine/>
    <w:qFormat/>
    <w:uiPriority w:val="99"/>
    <w:rPr>
      <w:rFonts w:hint="default" w:ascii="Tahoma" w:hAnsi="Tahoma" w:eastAsia="仿宋_GB2312" w:cs="Tahoma"/>
      <w:sz w:val="16"/>
      <w:szCs w:val="16"/>
    </w:rPr>
  </w:style>
  <w:style w:type="character" w:customStyle="1" w:styleId="958">
    <w:name w:val="标题 字符2"/>
    <w:basedOn w:val="79"/>
    <w:autoRedefine/>
    <w:qFormat/>
    <w:uiPriority w:val="10"/>
    <w:rPr>
      <w:rFonts w:hint="default" w:ascii="Cambria" w:hAnsi="Cambria" w:eastAsia="Cambria" w:cs="Times New Roman"/>
      <w:b/>
      <w:bCs/>
      <w:sz w:val="32"/>
      <w:szCs w:val="32"/>
    </w:rPr>
  </w:style>
  <w:style w:type="character" w:customStyle="1" w:styleId="959">
    <w:name w:val="页眉 字符2"/>
    <w:basedOn w:val="79"/>
    <w:autoRedefine/>
    <w:qFormat/>
    <w:uiPriority w:val="99"/>
    <w:rPr>
      <w:rFonts w:hint="default" w:ascii="Tahoma" w:hAnsi="Tahoma" w:eastAsia="仿宋_GB2312" w:cs="Tahoma"/>
      <w:sz w:val="18"/>
      <w:szCs w:val="18"/>
    </w:rPr>
  </w:style>
  <w:style w:type="character" w:customStyle="1" w:styleId="960">
    <w:name w:val="文档结构图 字符2"/>
    <w:basedOn w:val="79"/>
    <w:autoRedefine/>
    <w:qFormat/>
    <w:uiPriority w:val="99"/>
    <w:rPr>
      <w:rFonts w:hint="eastAsia" w:ascii="Microsoft YaHei UI" w:hAnsi="Tahoma" w:eastAsia="Microsoft YaHei UI" w:cs="Tahoma"/>
      <w:sz w:val="18"/>
      <w:szCs w:val="18"/>
    </w:rPr>
  </w:style>
  <w:style w:type="character" w:customStyle="1" w:styleId="961">
    <w:name w:val="正文文本 2 字符2"/>
    <w:basedOn w:val="79"/>
    <w:autoRedefine/>
    <w:qFormat/>
    <w:uiPriority w:val="99"/>
    <w:rPr>
      <w:rFonts w:hint="default" w:ascii="Tahoma" w:hAnsi="Tahoma" w:eastAsia="仿宋_GB2312" w:cs="Tahoma"/>
      <w:sz w:val="28"/>
      <w:szCs w:val="28"/>
    </w:rPr>
  </w:style>
  <w:style w:type="character" w:customStyle="1" w:styleId="962">
    <w:name w:val="标题 3 Char Char Char Char"/>
    <w:basedOn w:val="79"/>
    <w:autoRedefine/>
    <w:qFormat/>
    <w:uiPriority w:val="0"/>
    <w:rPr>
      <w:rFonts w:hint="eastAsia" w:ascii="黑体" w:hAnsi="宋体" w:eastAsia="黑体" w:cs="黑体"/>
      <w:b/>
      <w:kern w:val="2"/>
      <w:sz w:val="32"/>
      <w:lang w:val="en-US" w:eastAsia="zh-CN"/>
    </w:rPr>
  </w:style>
  <w:style w:type="character" w:customStyle="1" w:styleId="963">
    <w:name w:val="标题 #6 + 间距 -1 pt"/>
    <w:basedOn w:val="79"/>
    <w:autoRedefine/>
    <w:qFormat/>
    <w:uiPriority w:val="0"/>
    <w:rPr>
      <w:rFonts w:hint="eastAsia" w:ascii="MingLiU" w:hAnsi="MingLiU" w:eastAsia="MingLiU" w:cs="MingLiU"/>
      <w:color w:val="000000"/>
      <w:spacing w:val="-30"/>
      <w:w w:val="100"/>
      <w:position w:val="0"/>
      <w:sz w:val="21"/>
      <w:szCs w:val="21"/>
      <w:shd w:val="clear" w:color="auto" w:fill="FFFFFF"/>
      <w:lang w:val="zh-TW"/>
    </w:rPr>
  </w:style>
  <w:style w:type="character" w:customStyle="1" w:styleId="964">
    <w:name w:val="7 Char Char Char Char Char Char Char Char Char Char Char Char Char Char Char Char Char Char Char Char Char Char Char Char Char Char Char Char Char Char Char Char Char Char Char Char Char Char Char Char Char Char Char Char Char Char Char Char Char Char C"/>
    <w:basedOn w:val="79"/>
    <w:autoRedefine/>
    <w:qFormat/>
    <w:uiPriority w:val="0"/>
    <w:rPr>
      <w:rFonts w:hint="eastAsia" w:ascii="宋体" w:hAnsi="宋体" w:eastAsia="宋体" w:cs="宋体"/>
      <w:kern w:val="2"/>
      <w:sz w:val="21"/>
      <w:lang w:val="en-US" w:eastAsia="zh-CN" w:bidi="ar"/>
    </w:rPr>
  </w:style>
  <w:style w:type="character" w:customStyle="1" w:styleId="965">
    <w:name w:val="正文文本_"/>
    <w:basedOn w:val="79"/>
    <w:link w:val="966"/>
    <w:autoRedefine/>
    <w:qFormat/>
    <w:uiPriority w:val="0"/>
    <w:rPr>
      <w:rFonts w:ascii="MingLiU" w:hAnsi="MingLiU" w:eastAsia="MingLiU" w:cs="MingLiU"/>
      <w:spacing w:val="30"/>
      <w:sz w:val="29"/>
      <w:szCs w:val="29"/>
      <w:shd w:val="clear" w:color="auto" w:fill="FFFFFF"/>
    </w:rPr>
  </w:style>
  <w:style w:type="paragraph" w:customStyle="1" w:styleId="966">
    <w:name w:val="正文文本4"/>
    <w:basedOn w:val="1"/>
    <w:link w:val="965"/>
    <w:qFormat/>
    <w:uiPriority w:val="0"/>
    <w:pPr>
      <w:shd w:val="clear" w:color="auto" w:fill="FFFFFF"/>
      <w:spacing w:before="1980" w:after="900" w:line="0" w:lineRule="atLeast"/>
      <w:ind w:hanging="800"/>
      <w:jc w:val="left"/>
    </w:pPr>
    <w:rPr>
      <w:rFonts w:ascii="MingLiU" w:hAnsi="MingLiU" w:eastAsia="MingLiU" w:cs="MingLiU"/>
      <w:spacing w:val="30"/>
      <w:kern w:val="0"/>
      <w:sz w:val="29"/>
      <w:szCs w:val="29"/>
    </w:rPr>
  </w:style>
  <w:style w:type="character" w:customStyle="1" w:styleId="967">
    <w:name w:val="脚注文本 Char"/>
    <w:basedOn w:val="79"/>
    <w:autoRedefine/>
    <w:qFormat/>
    <w:uiPriority w:val="0"/>
    <w:rPr>
      <w:rFonts w:hint="eastAsia" w:ascii="..ì." w:hAnsi="..ì." w:eastAsia="..ì." w:cs="..ì."/>
      <w:sz w:val="18"/>
    </w:rPr>
  </w:style>
  <w:style w:type="character" w:customStyle="1" w:styleId="968">
    <w:name w:val="-14正文2 Char Char Char"/>
    <w:basedOn w:val="79"/>
    <w:autoRedefine/>
    <w:qFormat/>
    <w:uiPriority w:val="0"/>
    <w:rPr>
      <w:rFonts w:hint="eastAsia" w:ascii="宋体" w:hAnsi="宋体" w:eastAsia="宋体" w:cs="宋体"/>
      <w:color w:val="000000"/>
      <w:kern w:val="2"/>
      <w:sz w:val="24"/>
      <w:lang w:val="en-US" w:eastAsia="zh-CN"/>
    </w:rPr>
  </w:style>
  <w:style w:type="character" w:customStyle="1" w:styleId="969">
    <w:name w:val="doc_title"/>
    <w:basedOn w:val="79"/>
    <w:autoRedefine/>
    <w:qFormat/>
    <w:uiPriority w:val="0"/>
  </w:style>
  <w:style w:type="character" w:customStyle="1" w:styleId="970">
    <w:name w:val="尾注文本 Char"/>
    <w:basedOn w:val="79"/>
    <w:autoRedefine/>
    <w:qFormat/>
    <w:uiPriority w:val="0"/>
    <w:rPr>
      <w:rFonts w:hint="eastAsia" w:ascii="仿宋_GB2312" w:eastAsia="仿宋_GB2312" w:cs="仿宋_GB2312"/>
      <w:caps/>
      <w:sz w:val="36"/>
      <w:vertAlign w:val="superscript"/>
    </w:rPr>
  </w:style>
  <w:style w:type="character" w:customStyle="1" w:styleId="971">
    <w:name w:val="纯文本 Char Char1"/>
    <w:basedOn w:val="79"/>
    <w:autoRedefine/>
    <w:qFormat/>
    <w:uiPriority w:val="99"/>
    <w:rPr>
      <w:rFonts w:hint="eastAsia" w:ascii="宋体" w:hAnsi="Courier New" w:eastAsia="宋体" w:cs="Courier New"/>
      <w:kern w:val="2"/>
      <w:sz w:val="21"/>
      <w:szCs w:val="21"/>
      <w:lang w:val="en-US" w:eastAsia="zh-CN" w:bidi="ar"/>
    </w:rPr>
  </w:style>
  <w:style w:type="character" w:customStyle="1" w:styleId="972">
    <w:name w:val="样式6 Char Char"/>
    <w:basedOn w:val="79"/>
    <w:autoRedefine/>
    <w:qFormat/>
    <w:uiPriority w:val="99"/>
    <w:rPr>
      <w:rFonts w:hint="eastAsia" w:ascii="宋体" w:hAnsi="宋体" w:eastAsia="黑体" w:cs="Times New Roman"/>
      <w:b/>
      <w:kern w:val="0"/>
      <w:sz w:val="24"/>
      <w:szCs w:val="32"/>
    </w:rPr>
  </w:style>
  <w:style w:type="character" w:customStyle="1" w:styleId="973">
    <w:name w:val="正文缩进 Char Char"/>
    <w:basedOn w:val="79"/>
    <w:autoRedefine/>
    <w:qFormat/>
    <w:uiPriority w:val="99"/>
    <w:rPr>
      <w:rFonts w:hint="eastAsia" w:ascii="宋体" w:hAnsi="宋体" w:eastAsia="宋体" w:cs="宋体"/>
      <w:kern w:val="2"/>
      <w:sz w:val="28"/>
      <w:szCs w:val="24"/>
      <w:lang w:val="en-US" w:eastAsia="zh-CN" w:bidi="ar"/>
    </w:rPr>
  </w:style>
  <w:style w:type="character" w:customStyle="1" w:styleId="974">
    <w:name w:val="文档结构图 Char Char Char"/>
    <w:basedOn w:val="79"/>
    <w:autoRedefine/>
    <w:qFormat/>
    <w:uiPriority w:val="0"/>
    <w:rPr>
      <w:rFonts w:hint="eastAsia" w:ascii="宋体" w:hAnsi="宋体" w:eastAsia="宋体" w:cs="宋体"/>
      <w:kern w:val="2"/>
      <w:sz w:val="18"/>
      <w:lang w:val="en-US" w:eastAsia="zh-CN"/>
    </w:rPr>
  </w:style>
  <w:style w:type="character" w:customStyle="1" w:styleId="975">
    <w:name w:val="HTML 预设格式 字符2"/>
    <w:basedOn w:val="79"/>
    <w:autoRedefine/>
    <w:qFormat/>
    <w:uiPriority w:val="99"/>
    <w:rPr>
      <w:rFonts w:hint="default" w:ascii="Courier New" w:hAnsi="Courier New" w:eastAsia="仿宋_GB2312" w:cs="Courier New"/>
      <w:sz w:val="20"/>
      <w:szCs w:val="20"/>
    </w:rPr>
  </w:style>
  <w:style w:type="character" w:customStyle="1" w:styleId="976">
    <w:name w:val="尾注文本 字符2"/>
    <w:basedOn w:val="79"/>
    <w:autoRedefine/>
    <w:qFormat/>
    <w:uiPriority w:val="99"/>
    <w:rPr>
      <w:rFonts w:hint="default" w:ascii="Tahoma" w:hAnsi="Tahoma" w:eastAsia="仿宋_GB2312" w:cs="Tahoma"/>
      <w:sz w:val="28"/>
      <w:szCs w:val="28"/>
    </w:rPr>
  </w:style>
  <w:style w:type="character" w:customStyle="1" w:styleId="977">
    <w:name w:val="标题四 Char"/>
    <w:basedOn w:val="79"/>
    <w:autoRedefine/>
    <w:qFormat/>
    <w:uiPriority w:val="0"/>
    <w:rPr>
      <w:rFonts w:hint="eastAsia" w:ascii="宋体" w:hAnsi="宋体" w:eastAsia="宋体" w:cs="宋体"/>
      <w:kern w:val="2"/>
      <w:sz w:val="24"/>
      <w:lang w:val="en-US" w:eastAsia="zh-CN" w:bidi="ar"/>
    </w:rPr>
  </w:style>
  <w:style w:type="character" w:customStyle="1" w:styleId="978">
    <w:name w:val="标题 #6_"/>
    <w:basedOn w:val="79"/>
    <w:link w:val="979"/>
    <w:autoRedefine/>
    <w:qFormat/>
    <w:uiPriority w:val="0"/>
    <w:rPr>
      <w:rFonts w:ascii="MingLiU" w:hAnsi="MingLiU" w:eastAsia="MingLiU" w:cs="MingLiU"/>
      <w:spacing w:val="30"/>
      <w:szCs w:val="21"/>
      <w:shd w:val="clear" w:color="auto" w:fill="FFFFFF"/>
    </w:rPr>
  </w:style>
  <w:style w:type="paragraph" w:customStyle="1" w:styleId="979">
    <w:name w:val="标题 #6"/>
    <w:basedOn w:val="1"/>
    <w:link w:val="978"/>
    <w:qFormat/>
    <w:uiPriority w:val="0"/>
    <w:pPr>
      <w:shd w:val="clear" w:color="auto" w:fill="FFFFFF"/>
      <w:spacing w:before="240" w:after="60" w:line="0" w:lineRule="atLeast"/>
      <w:jc w:val="center"/>
      <w:outlineLvl w:val="5"/>
    </w:pPr>
    <w:rPr>
      <w:rFonts w:ascii="MingLiU" w:hAnsi="MingLiU" w:eastAsia="MingLiU" w:cs="MingLiU"/>
      <w:spacing w:val="30"/>
      <w:kern w:val="0"/>
      <w:sz w:val="20"/>
      <w:szCs w:val="21"/>
    </w:rPr>
  </w:style>
  <w:style w:type="character" w:customStyle="1" w:styleId="980">
    <w:name w:val="附录公式 Char"/>
    <w:basedOn w:val="79"/>
    <w:link w:val="981"/>
    <w:autoRedefine/>
    <w:qFormat/>
    <w:uiPriority w:val="0"/>
    <w:rPr>
      <w:rFonts w:ascii="宋体" w:hAnsi="宋体" w:cs="宋体"/>
    </w:rPr>
  </w:style>
  <w:style w:type="paragraph" w:customStyle="1" w:styleId="981">
    <w:name w:val="附录公式"/>
    <w:basedOn w:val="1"/>
    <w:next w:val="1"/>
    <w:link w:val="980"/>
    <w:qFormat/>
    <w:uiPriority w:val="0"/>
    <w:pPr>
      <w:widowControl/>
      <w:tabs>
        <w:tab w:val="center" w:pos="4201"/>
        <w:tab w:val="right" w:leader="dot" w:pos="9298"/>
      </w:tabs>
      <w:autoSpaceDE w:val="0"/>
      <w:autoSpaceDN w:val="0"/>
      <w:spacing w:line="520" w:lineRule="exact"/>
      <w:ind w:firstLine="420" w:firstLineChars="200"/>
    </w:pPr>
    <w:rPr>
      <w:rFonts w:ascii="宋体" w:hAnsi="宋体" w:cs="宋体"/>
      <w:kern w:val="0"/>
      <w:sz w:val="20"/>
    </w:rPr>
  </w:style>
  <w:style w:type="character" w:customStyle="1" w:styleId="982">
    <w:name w:val="特殊正文 Char"/>
    <w:basedOn w:val="79"/>
    <w:autoRedefine/>
    <w:qFormat/>
    <w:uiPriority w:val="0"/>
    <w:rPr>
      <w:rFonts w:hint="default" w:ascii="Arial" w:hAnsi="Arial" w:eastAsia="黑体" w:cs="Arial"/>
      <w:b/>
      <w:bCs/>
      <w:kern w:val="2"/>
      <w:sz w:val="32"/>
      <w:szCs w:val="32"/>
    </w:rPr>
  </w:style>
  <w:style w:type="character" w:customStyle="1" w:styleId="983">
    <w:name w:val="副标题 字符2"/>
    <w:basedOn w:val="79"/>
    <w:autoRedefine/>
    <w:qFormat/>
    <w:uiPriority w:val="11"/>
    <w:rPr>
      <w:rFonts w:hint="default" w:ascii="Cambria" w:hAnsi="Cambria" w:eastAsia="Cambria" w:cs="Times New Roman"/>
      <w:b/>
      <w:bCs/>
      <w:kern w:val="28"/>
      <w:sz w:val="32"/>
      <w:szCs w:val="32"/>
    </w:rPr>
  </w:style>
  <w:style w:type="character" w:customStyle="1" w:styleId="984">
    <w:name w:val="段 Char"/>
    <w:basedOn w:val="79"/>
    <w:autoRedefine/>
    <w:qFormat/>
    <w:uiPriority w:val="0"/>
    <w:rPr>
      <w:kern w:val="2"/>
      <w:sz w:val="24"/>
      <w:szCs w:val="24"/>
    </w:rPr>
  </w:style>
  <w:style w:type="character" w:customStyle="1" w:styleId="985">
    <w:name w:val="y11"/>
    <w:basedOn w:val="79"/>
    <w:autoRedefine/>
    <w:qFormat/>
    <w:uiPriority w:val="0"/>
    <w:rPr>
      <w:sz w:val="18"/>
      <w:u w:val="none"/>
    </w:rPr>
  </w:style>
  <w:style w:type="character" w:customStyle="1" w:styleId="986">
    <w:name w:val="批注文字 字符2"/>
    <w:basedOn w:val="79"/>
    <w:autoRedefine/>
    <w:qFormat/>
    <w:uiPriority w:val="99"/>
    <w:rPr>
      <w:rFonts w:hint="default" w:ascii="Tahoma" w:hAnsi="Tahoma" w:eastAsia="仿宋_GB2312" w:cs="Tahoma"/>
      <w:sz w:val="28"/>
      <w:szCs w:val="28"/>
    </w:rPr>
  </w:style>
  <w:style w:type="character" w:customStyle="1" w:styleId="987">
    <w:name w:val="批注主题 字符2"/>
    <w:basedOn w:val="986"/>
    <w:autoRedefine/>
    <w:qFormat/>
    <w:uiPriority w:val="99"/>
    <w:rPr>
      <w:rFonts w:hint="default" w:ascii="Tahoma" w:hAnsi="Tahoma" w:eastAsia="仿宋_GB2312" w:cs="Tahoma"/>
      <w:b/>
      <w:bCs/>
      <w:sz w:val="28"/>
      <w:szCs w:val="28"/>
    </w:rPr>
  </w:style>
  <w:style w:type="character" w:customStyle="1" w:styleId="988">
    <w:name w:val="页脚 字符2"/>
    <w:basedOn w:val="79"/>
    <w:autoRedefine/>
    <w:qFormat/>
    <w:uiPriority w:val="99"/>
    <w:rPr>
      <w:rFonts w:hint="default" w:ascii="Tahoma" w:hAnsi="Tahoma" w:eastAsia="仿宋_GB2312" w:cs="Tahoma"/>
      <w:sz w:val="18"/>
      <w:szCs w:val="18"/>
    </w:rPr>
  </w:style>
  <w:style w:type="character" w:customStyle="1" w:styleId="989">
    <w:name w:val="正文文本 字符2"/>
    <w:basedOn w:val="79"/>
    <w:autoRedefine/>
    <w:qFormat/>
    <w:uiPriority w:val="99"/>
    <w:rPr>
      <w:rFonts w:hint="default" w:ascii="Tahoma" w:hAnsi="Tahoma" w:eastAsia="仿宋_GB2312" w:cs="Tahoma"/>
      <w:sz w:val="28"/>
      <w:szCs w:val="28"/>
    </w:rPr>
  </w:style>
  <w:style w:type="character" w:customStyle="1" w:styleId="990">
    <w:name w:val="日期 字符2"/>
    <w:basedOn w:val="79"/>
    <w:autoRedefine/>
    <w:qFormat/>
    <w:uiPriority w:val="99"/>
    <w:rPr>
      <w:rFonts w:hint="default" w:ascii="Tahoma" w:hAnsi="Tahoma" w:eastAsia="仿宋_GB2312" w:cs="Tahoma"/>
      <w:sz w:val="28"/>
      <w:szCs w:val="28"/>
    </w:rPr>
  </w:style>
  <w:style w:type="character" w:customStyle="1" w:styleId="991">
    <w:name w:val="标题2 Char Char"/>
    <w:basedOn w:val="79"/>
    <w:link w:val="992"/>
    <w:autoRedefine/>
    <w:qFormat/>
    <w:uiPriority w:val="99"/>
    <w:rPr>
      <w:rFonts w:ascii="仿宋_GB2312" w:hAnsi="Arial" w:eastAsia="仿宋_GB2312" w:cs="仿宋_GB2312"/>
      <w:b/>
      <w:color w:val="000000"/>
      <w:sz w:val="28"/>
    </w:rPr>
  </w:style>
  <w:style w:type="paragraph" w:customStyle="1" w:styleId="992">
    <w:name w:val="标题2"/>
    <w:basedOn w:val="4"/>
    <w:link w:val="991"/>
    <w:qFormat/>
    <w:uiPriority w:val="99"/>
    <w:pPr>
      <w:tabs>
        <w:tab w:val="left" w:pos="0"/>
      </w:tabs>
      <w:adjustRightInd/>
      <w:snapToGrid/>
      <w:spacing w:before="0" w:beforeLines="50" w:afterLines="50" w:line="240" w:lineRule="auto"/>
    </w:pPr>
    <w:rPr>
      <w:rFonts w:ascii="仿宋_GB2312" w:eastAsia="仿宋_GB2312" w:cs="仿宋_GB2312"/>
      <w:color w:val="000000"/>
      <w:kern w:val="0"/>
      <w:sz w:val="28"/>
    </w:rPr>
  </w:style>
  <w:style w:type="character" w:customStyle="1" w:styleId="993">
    <w:name w:val="一级条标题 Char"/>
    <w:basedOn w:val="79"/>
    <w:link w:val="994"/>
    <w:autoRedefine/>
    <w:qFormat/>
    <w:uiPriority w:val="0"/>
    <w:rPr>
      <w:rFonts w:ascii="黑体" w:hAnsi="宋体" w:eastAsia="黑体" w:cs="黑体"/>
      <w:szCs w:val="21"/>
    </w:rPr>
  </w:style>
  <w:style w:type="paragraph" w:customStyle="1" w:styleId="994">
    <w:name w:val="一级条标题"/>
    <w:next w:val="171"/>
    <w:link w:val="993"/>
    <w:qFormat/>
    <w:uiPriority w:val="0"/>
    <w:pPr>
      <w:spacing w:beforeLines="50" w:afterLines="50"/>
      <w:outlineLvl w:val="2"/>
    </w:pPr>
    <w:rPr>
      <w:rFonts w:ascii="黑体" w:hAnsi="宋体" w:eastAsia="黑体" w:cs="黑体"/>
      <w:szCs w:val="21"/>
      <w:lang w:val="en-US" w:eastAsia="zh-CN" w:bidi="ar-SA"/>
    </w:rPr>
  </w:style>
  <w:style w:type="character" w:customStyle="1" w:styleId="995">
    <w:name w:val="正文 New Char"/>
    <w:basedOn w:val="79"/>
    <w:link w:val="996"/>
    <w:autoRedefine/>
    <w:qFormat/>
    <w:uiPriority w:val="0"/>
    <w:rPr>
      <w:szCs w:val="24"/>
    </w:rPr>
  </w:style>
  <w:style w:type="paragraph" w:customStyle="1" w:styleId="996">
    <w:name w:val="正文 New"/>
    <w:link w:val="995"/>
    <w:qFormat/>
    <w:uiPriority w:val="0"/>
    <w:pPr>
      <w:widowControl w:val="0"/>
      <w:jc w:val="both"/>
    </w:pPr>
    <w:rPr>
      <w:rFonts w:ascii="Times New Roman" w:hAnsi="Times New Roman" w:eastAsia="宋体" w:cs="Times New Roman"/>
      <w:szCs w:val="24"/>
      <w:lang w:val="en-US" w:eastAsia="zh-CN" w:bidi="ar-SA"/>
    </w:rPr>
  </w:style>
  <w:style w:type="character" w:customStyle="1" w:styleId="997">
    <w:name w:val="页眉 Char Char"/>
    <w:basedOn w:val="79"/>
    <w:autoRedefine/>
    <w:qFormat/>
    <w:uiPriority w:val="0"/>
    <w:rPr>
      <w:kern w:val="2"/>
      <w:sz w:val="18"/>
    </w:rPr>
  </w:style>
  <w:style w:type="character" w:customStyle="1" w:styleId="998">
    <w:name w:val="正文缩进 Char Char Char"/>
    <w:basedOn w:val="79"/>
    <w:autoRedefine/>
    <w:qFormat/>
    <w:uiPriority w:val="99"/>
    <w:rPr>
      <w:rFonts w:hint="eastAsia" w:ascii="宋体" w:hAnsi="宋体" w:eastAsia="宋体" w:cs="宋体"/>
      <w:kern w:val="2"/>
      <w:sz w:val="21"/>
      <w:lang w:val="en-US" w:eastAsia="zh-CN"/>
    </w:rPr>
  </w:style>
  <w:style w:type="character" w:customStyle="1" w:styleId="999">
    <w:name w:val="纯文本 Char Char Char Char"/>
    <w:basedOn w:val="79"/>
    <w:autoRedefine/>
    <w:qFormat/>
    <w:uiPriority w:val="0"/>
    <w:rPr>
      <w:rFonts w:hint="eastAsia" w:ascii="宋体" w:hAnsi="Courier New" w:eastAsia="宋体" w:cs="宋体"/>
      <w:kern w:val="2"/>
      <w:sz w:val="21"/>
    </w:rPr>
  </w:style>
  <w:style w:type="character" w:customStyle="1" w:styleId="1000">
    <w:name w:val="纯文本 Char Char Char Char Char Char"/>
    <w:basedOn w:val="79"/>
    <w:autoRedefine/>
    <w:qFormat/>
    <w:uiPriority w:val="0"/>
    <w:rPr>
      <w:rFonts w:hint="eastAsia" w:ascii="宋体" w:hAnsi="Courier New" w:eastAsia="宋体" w:cs="Times New Roman"/>
      <w:sz w:val="28"/>
      <w:szCs w:val="28"/>
    </w:rPr>
  </w:style>
  <w:style w:type="character" w:customStyle="1" w:styleId="1001">
    <w:name w:val="报正段落 Char Char"/>
    <w:basedOn w:val="79"/>
    <w:autoRedefine/>
    <w:qFormat/>
    <w:uiPriority w:val="99"/>
    <w:rPr>
      <w:rFonts w:hint="eastAsia" w:ascii="仿宋_GB2312" w:eastAsia="仿宋_GB2312" w:cs="仿宋_GB2312"/>
      <w:sz w:val="28"/>
      <w:lang w:bidi="ar"/>
    </w:rPr>
  </w:style>
  <w:style w:type="character" w:customStyle="1" w:styleId="1002">
    <w:name w:val="样式 (西文) 仿宋_GB2312 (中文) 仿宋_GB2312 小四"/>
    <w:basedOn w:val="79"/>
    <w:autoRedefine/>
    <w:qFormat/>
    <w:uiPriority w:val="99"/>
    <w:rPr>
      <w:rFonts w:hint="eastAsia" w:ascii="仿宋_GB2312" w:hAnsi="仿宋_GB2312" w:eastAsia="仿宋_GB2312" w:cs="仿宋_GB2312"/>
      <w:sz w:val="24"/>
    </w:rPr>
  </w:style>
  <w:style w:type="character" w:customStyle="1" w:styleId="1003">
    <w:name w:val="正文缩进 Char Char Char Char"/>
    <w:basedOn w:val="79"/>
    <w:autoRedefine/>
    <w:qFormat/>
    <w:uiPriority w:val="0"/>
    <w:rPr>
      <w:rFonts w:hint="eastAsia" w:ascii="宋体" w:hAnsi="宋体" w:eastAsia="宋体" w:cs="宋体"/>
      <w:kern w:val="2"/>
      <w:sz w:val="21"/>
      <w:lang w:val="en-US" w:eastAsia="zh-CN"/>
    </w:rPr>
  </w:style>
  <w:style w:type="character" w:customStyle="1" w:styleId="1004">
    <w:name w:val="无间隔 Char"/>
    <w:basedOn w:val="79"/>
    <w:autoRedefine/>
    <w:qFormat/>
    <w:uiPriority w:val="0"/>
    <w:rPr>
      <w:rFonts w:hint="default" w:ascii="Times New Roman" w:hAnsi="Times New Roman" w:eastAsia="Times New Roman" w:cs="Times New Roman"/>
      <w:kern w:val="2"/>
      <w:sz w:val="22"/>
      <w:szCs w:val="22"/>
      <w:lang w:val="en-US" w:eastAsia="zh-CN" w:bidi="ar"/>
    </w:rPr>
  </w:style>
  <w:style w:type="character" w:customStyle="1" w:styleId="1005">
    <w:name w:val="未处理的提及1"/>
    <w:basedOn w:val="79"/>
    <w:autoRedefine/>
    <w:qFormat/>
    <w:uiPriority w:val="99"/>
    <w:rPr>
      <w:color w:val="605E5C"/>
      <w:shd w:val="clear" w:color="auto" w:fill="E1DFDD"/>
    </w:rPr>
  </w:style>
  <w:style w:type="character" w:customStyle="1" w:styleId="1006">
    <w:name w:val="未处理的提及2"/>
    <w:basedOn w:val="79"/>
    <w:autoRedefine/>
    <w:qFormat/>
    <w:uiPriority w:val="0"/>
    <w:rPr>
      <w:color w:val="605E5C"/>
      <w:shd w:val="clear" w:color="auto" w:fill="E1DFDD"/>
    </w:rPr>
  </w:style>
  <w:style w:type="character" w:customStyle="1" w:styleId="1007">
    <w:name w:val="称呼 Char"/>
    <w:basedOn w:val="79"/>
    <w:autoRedefine/>
    <w:qFormat/>
    <w:uiPriority w:val="0"/>
    <w:rPr>
      <w:rFonts w:hint="eastAsia" w:ascii="宋体" w:hAnsi="宋体" w:eastAsia="宋体" w:cs="宋体"/>
      <w:sz w:val="30"/>
      <w:szCs w:val="30"/>
    </w:rPr>
  </w:style>
  <w:style w:type="character" w:customStyle="1" w:styleId="1008">
    <w:name w:val="副标题 Char"/>
    <w:basedOn w:val="79"/>
    <w:autoRedefine/>
    <w:qFormat/>
    <w:uiPriority w:val="11"/>
    <w:rPr>
      <w:rFonts w:hint="default" w:ascii="Cambria Math" w:hAnsi="Cambria Math" w:eastAsia="Cambria Math" w:cs="Cambria Math"/>
      <w:b/>
      <w:bCs/>
      <w:kern w:val="28"/>
      <w:sz w:val="32"/>
      <w:szCs w:val="32"/>
    </w:rPr>
  </w:style>
  <w:style w:type="character" w:customStyle="1" w:styleId="1009">
    <w:name w:val="信息标题 Char"/>
    <w:basedOn w:val="79"/>
    <w:autoRedefine/>
    <w:qFormat/>
    <w:uiPriority w:val="0"/>
    <w:rPr>
      <w:rFonts w:hint="default" w:ascii="Arial" w:hAnsi="Arial" w:eastAsia="宋体" w:cs="Arial"/>
      <w:sz w:val="24"/>
      <w:szCs w:val="24"/>
      <w:shd w:val="pct20" w:color="auto" w:fill="auto"/>
    </w:rPr>
  </w:style>
  <w:style w:type="character" w:customStyle="1" w:styleId="1010">
    <w:name w:val="highlight1"/>
    <w:basedOn w:val="79"/>
    <w:autoRedefine/>
    <w:qFormat/>
    <w:uiPriority w:val="0"/>
    <w:rPr>
      <w:sz w:val="21"/>
      <w:szCs w:val="21"/>
    </w:rPr>
  </w:style>
  <w:style w:type="character" w:customStyle="1" w:styleId="1011">
    <w:name w:val="样式3 Char Char"/>
    <w:basedOn w:val="79"/>
    <w:autoRedefine/>
    <w:qFormat/>
    <w:uiPriority w:val="99"/>
    <w:rPr>
      <w:rFonts w:hint="default" w:ascii="Times New Roman" w:hAnsi="Times New Roman" w:eastAsia="宋体" w:cs="Times New Roman"/>
      <w:sz w:val="28"/>
      <w:szCs w:val="24"/>
    </w:rPr>
  </w:style>
  <w:style w:type="character" w:customStyle="1" w:styleId="1012">
    <w:name w:val="无间隔 Char Char"/>
    <w:basedOn w:val="79"/>
    <w:autoRedefine/>
    <w:qFormat/>
    <w:uiPriority w:val="99"/>
    <w:rPr>
      <w:rFonts w:hint="default" w:ascii="Calibri" w:hAnsi="Calibri" w:eastAsia="Times New Roman" w:cs="Calibri"/>
      <w:sz w:val="22"/>
      <w:lang w:val="en-US" w:eastAsia="zh-CN" w:bidi="ar"/>
    </w:rPr>
  </w:style>
  <w:style w:type="character" w:customStyle="1" w:styleId="1013">
    <w:name w:val="zw1 Char Char"/>
    <w:basedOn w:val="79"/>
    <w:link w:val="1014"/>
    <w:autoRedefine/>
    <w:qFormat/>
    <w:uiPriority w:val="99"/>
    <w:rPr>
      <w:rFonts w:ascii="仿宋_GB2312" w:eastAsia="仿宋_GB2312" w:cs="仿宋_GB2312"/>
      <w:sz w:val="28"/>
    </w:rPr>
  </w:style>
  <w:style w:type="paragraph" w:customStyle="1" w:styleId="1014">
    <w:name w:val="zw1"/>
    <w:basedOn w:val="19"/>
    <w:link w:val="1013"/>
    <w:qFormat/>
    <w:uiPriority w:val="99"/>
    <w:pPr>
      <w:adjustRightInd/>
      <w:spacing w:line="480" w:lineRule="exact"/>
      <w:ind w:firstLine="567"/>
      <w:jc w:val="both"/>
      <w:textAlignment w:val="center"/>
    </w:pPr>
    <w:rPr>
      <w:rFonts w:ascii="仿宋_GB2312" w:eastAsia="仿宋_GB2312" w:cs="仿宋_GB2312"/>
      <w:sz w:val="28"/>
    </w:rPr>
  </w:style>
  <w:style w:type="character" w:customStyle="1" w:styleId="1015">
    <w:name w:val="标题 3 Char Char"/>
    <w:basedOn w:val="79"/>
    <w:autoRedefine/>
    <w:qFormat/>
    <w:uiPriority w:val="99"/>
    <w:rPr>
      <w:rFonts w:hint="eastAsia" w:ascii="黑体" w:hAnsi="宋体" w:eastAsia="黑体" w:cs="黑体"/>
      <w:kern w:val="2"/>
      <w:sz w:val="28"/>
      <w:szCs w:val="28"/>
      <w:lang w:val="en-US" w:eastAsia="zh-CN" w:bidi="ar"/>
    </w:rPr>
  </w:style>
  <w:style w:type="character" w:customStyle="1" w:styleId="1016">
    <w:name w:val="样式 四号 行距: 固定值 24 磅 Char Char"/>
    <w:basedOn w:val="79"/>
    <w:link w:val="1017"/>
    <w:autoRedefine/>
    <w:qFormat/>
    <w:uiPriority w:val="99"/>
    <w:rPr>
      <w:rFonts w:ascii="仿宋_GB2312" w:eastAsia="仿宋_GB2312" w:cs="宋体"/>
      <w:sz w:val="28"/>
    </w:rPr>
  </w:style>
  <w:style w:type="paragraph" w:customStyle="1" w:styleId="1017">
    <w:name w:val="样式 四号 行距: 固定值 24 磅"/>
    <w:basedOn w:val="1"/>
    <w:link w:val="1016"/>
    <w:qFormat/>
    <w:uiPriority w:val="99"/>
    <w:pPr>
      <w:spacing w:line="480" w:lineRule="exact"/>
      <w:ind w:firstLine="560" w:firstLineChars="200"/>
    </w:pPr>
    <w:rPr>
      <w:rFonts w:ascii="仿宋_GB2312" w:eastAsia="仿宋_GB2312" w:cs="宋体"/>
      <w:kern w:val="0"/>
      <w:sz w:val="28"/>
    </w:rPr>
  </w:style>
  <w:style w:type="character" w:customStyle="1" w:styleId="1018">
    <w:name w:val="纯文本 Char Char Char1"/>
    <w:basedOn w:val="79"/>
    <w:autoRedefine/>
    <w:qFormat/>
    <w:uiPriority w:val="99"/>
    <w:rPr>
      <w:rFonts w:hint="eastAsia" w:ascii="宋体" w:hAnsi="Courier New" w:eastAsia="宋体" w:cs="Courier New"/>
      <w:kern w:val="2"/>
      <w:sz w:val="21"/>
      <w:szCs w:val="21"/>
      <w:lang w:val="en-US" w:eastAsia="zh-CN" w:bidi="ar"/>
    </w:rPr>
  </w:style>
  <w:style w:type="character" w:customStyle="1" w:styleId="1019">
    <w:name w:val="-19表 Char Char"/>
    <w:basedOn w:val="79"/>
    <w:autoRedefine/>
    <w:qFormat/>
    <w:uiPriority w:val="99"/>
    <w:rPr>
      <w:rFonts w:hint="eastAsia" w:ascii="仿宋_GB2312" w:eastAsia="仿宋_GB2312" w:cs="仿宋_GB2312"/>
      <w:kern w:val="2"/>
      <w:sz w:val="28"/>
      <w:szCs w:val="28"/>
      <w:lang w:val="en-US" w:eastAsia="zh-CN" w:bidi="ar"/>
    </w:rPr>
  </w:style>
  <w:style w:type="character" w:customStyle="1" w:styleId="1020">
    <w:name w:val="正文文本 + MS Mincho"/>
    <w:basedOn w:val="79"/>
    <w:autoRedefine/>
    <w:qFormat/>
    <w:uiPriority w:val="0"/>
    <w:rPr>
      <w:rFonts w:hint="eastAsia" w:ascii="MS Mincho" w:hAnsi="MS Mincho" w:eastAsia="MS Mincho" w:cs="MS Mincho"/>
      <w:color w:val="000000"/>
      <w:spacing w:val="20"/>
      <w:w w:val="100"/>
      <w:position w:val="0"/>
      <w:sz w:val="31"/>
      <w:szCs w:val="31"/>
      <w:shd w:val="clear" w:color="auto" w:fill="FFFFFF"/>
      <w:lang w:val="en-US"/>
    </w:rPr>
  </w:style>
  <w:style w:type="character" w:customStyle="1" w:styleId="1021">
    <w:name w:val="正文文本 (6)_"/>
    <w:basedOn w:val="79"/>
    <w:link w:val="1022"/>
    <w:autoRedefine/>
    <w:qFormat/>
    <w:uiPriority w:val="0"/>
    <w:rPr>
      <w:rFonts w:ascii="MS Mincho" w:hAnsi="MS Mincho" w:eastAsia="MS Mincho" w:cs="MS Mincho"/>
      <w:spacing w:val="20"/>
      <w:sz w:val="31"/>
      <w:szCs w:val="31"/>
      <w:shd w:val="clear" w:color="auto" w:fill="FFFFFF"/>
    </w:rPr>
  </w:style>
  <w:style w:type="paragraph" w:customStyle="1" w:styleId="1022">
    <w:name w:val="正文文本 (6)"/>
    <w:basedOn w:val="1"/>
    <w:link w:val="1021"/>
    <w:qFormat/>
    <w:uiPriority w:val="0"/>
    <w:pPr>
      <w:shd w:val="clear" w:color="auto" w:fill="FFFFFF"/>
      <w:spacing w:after="240" w:line="0" w:lineRule="atLeast"/>
      <w:jc w:val="distribute"/>
    </w:pPr>
    <w:rPr>
      <w:rFonts w:ascii="MS Mincho" w:hAnsi="MS Mincho" w:eastAsia="MS Mincho" w:cs="MS Mincho"/>
      <w:spacing w:val="20"/>
      <w:kern w:val="0"/>
      <w:sz w:val="31"/>
      <w:szCs w:val="31"/>
    </w:rPr>
  </w:style>
  <w:style w:type="character" w:customStyle="1" w:styleId="1023">
    <w:name w:val="标题 #5 (2)_"/>
    <w:basedOn w:val="79"/>
    <w:link w:val="1024"/>
    <w:autoRedefine/>
    <w:qFormat/>
    <w:uiPriority w:val="0"/>
    <w:rPr>
      <w:rFonts w:ascii="MS Mincho" w:hAnsi="MS Mincho" w:eastAsia="MS Mincho" w:cs="MS Mincho"/>
      <w:spacing w:val="20"/>
      <w:sz w:val="31"/>
      <w:szCs w:val="31"/>
      <w:shd w:val="clear" w:color="auto" w:fill="FFFFFF"/>
    </w:rPr>
  </w:style>
  <w:style w:type="paragraph" w:customStyle="1" w:styleId="1024">
    <w:name w:val="标题 #5 (2)"/>
    <w:basedOn w:val="1"/>
    <w:link w:val="1023"/>
    <w:qFormat/>
    <w:uiPriority w:val="0"/>
    <w:pPr>
      <w:shd w:val="clear" w:color="auto" w:fill="FFFFFF"/>
      <w:spacing w:before="240" w:after="240" w:line="0" w:lineRule="atLeast"/>
      <w:jc w:val="left"/>
      <w:outlineLvl w:val="4"/>
    </w:pPr>
    <w:rPr>
      <w:rFonts w:ascii="MS Mincho" w:hAnsi="MS Mincho" w:eastAsia="MS Mincho" w:cs="MS Mincho"/>
      <w:spacing w:val="20"/>
      <w:kern w:val="0"/>
      <w:sz w:val="31"/>
      <w:szCs w:val="31"/>
    </w:rPr>
  </w:style>
  <w:style w:type="character" w:customStyle="1" w:styleId="1025">
    <w:name w:val="文档结构图 Char12"/>
    <w:basedOn w:val="79"/>
    <w:autoRedefine/>
    <w:qFormat/>
    <w:uiPriority w:val="99"/>
    <w:rPr>
      <w:rFonts w:hint="eastAsia" w:ascii="宋体" w:hAnsi="宋体" w:eastAsia="宋体" w:cs="Calibri"/>
      <w:sz w:val="18"/>
      <w:szCs w:val="18"/>
    </w:rPr>
  </w:style>
  <w:style w:type="character" w:customStyle="1" w:styleId="1026">
    <w:name w:val="文档结构图 Char11"/>
    <w:basedOn w:val="79"/>
    <w:autoRedefine/>
    <w:qFormat/>
    <w:uiPriority w:val="99"/>
    <w:rPr>
      <w:rFonts w:hint="eastAsia" w:ascii="Microsoft YaHei UI" w:hAnsi="Microsoft YaHei UI" w:eastAsia="Microsoft YaHei UI" w:cs="Microsoft YaHei UI"/>
      <w:kern w:val="2"/>
      <w:sz w:val="18"/>
    </w:rPr>
  </w:style>
  <w:style w:type="character" w:customStyle="1" w:styleId="1027">
    <w:name w:val="u正文 Char"/>
    <w:basedOn w:val="79"/>
    <w:autoRedefine/>
    <w:qFormat/>
    <w:uiPriority w:val="0"/>
    <w:rPr>
      <w:rFonts w:hint="default" w:ascii="Times New Roman" w:hAnsi="Times New Roman" w:eastAsia="宋体" w:cs="Times New Roman"/>
      <w:sz w:val="24"/>
      <w:szCs w:val="20"/>
    </w:rPr>
  </w:style>
  <w:style w:type="character" w:customStyle="1" w:styleId="1028">
    <w:name w:val="newsbody1"/>
    <w:basedOn w:val="79"/>
    <w:autoRedefine/>
    <w:qFormat/>
    <w:uiPriority w:val="0"/>
    <w:rPr>
      <w:sz w:val="21"/>
    </w:rPr>
  </w:style>
  <w:style w:type="character" w:customStyle="1" w:styleId="1029">
    <w:name w:val="NormalCharacter"/>
    <w:basedOn w:val="79"/>
    <w:autoRedefine/>
    <w:qFormat/>
    <w:uiPriority w:val="0"/>
    <w:rPr>
      <w:rFonts w:hint="default" w:ascii="Calibri" w:hAnsi="Calibri" w:eastAsia="宋体" w:cs="Times New Roman"/>
      <w:kern w:val="2"/>
      <w:sz w:val="21"/>
      <w:szCs w:val="24"/>
      <w:lang w:val="en-US" w:eastAsia="zh-CN" w:bidi="ar"/>
    </w:rPr>
  </w:style>
  <w:style w:type="table" w:customStyle="1" w:styleId="1030">
    <w:name w:val="网格型41"/>
    <w:basedOn w:val="7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1">
    <w:name w:val="网格型51"/>
    <w:basedOn w:val="7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2">
    <w:name w:val="网格型61"/>
    <w:basedOn w:val="7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3">
    <w:name w:val="网格型71"/>
    <w:basedOn w:val="76"/>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34">
    <w:name w:val="Char Char Char Char1 Char Char Char Char Char Char Char Char Char"/>
    <w:basedOn w:val="1"/>
    <w:autoRedefine/>
    <w:qFormat/>
    <w:uiPriority w:val="0"/>
  </w:style>
  <w:style w:type="table" w:customStyle="1" w:styleId="1035">
    <w:name w:val="网格型8"/>
    <w:basedOn w:val="76"/>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6">
    <w:name w:val="网格型9"/>
    <w:basedOn w:val="76"/>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7">
    <w:name w:val="Table Normal81"/>
    <w:semiHidden/>
    <w:unhideWhenUsed/>
    <w:qFormat/>
    <w:uiPriority w:val="0"/>
    <w:rPr>
      <w:rFonts w:ascii="Arial" w:hAnsi="Arial" w:eastAsia="等线" w:cs="Arial"/>
      <w:snapToGrid w:val="0"/>
      <w:color w:val="000000"/>
      <w:szCs w:val="21"/>
      <w:lang w:eastAsia="en-US"/>
    </w:rPr>
    <w:tblPr>
      <w:tblCellMar>
        <w:top w:w="0" w:type="dxa"/>
        <w:left w:w="0" w:type="dxa"/>
        <w:bottom w:w="0" w:type="dxa"/>
        <w:right w:w="0" w:type="dxa"/>
      </w:tblCellMar>
    </w:tblPr>
  </w:style>
  <w:style w:type="character" w:customStyle="1" w:styleId="1038">
    <w:name w:val="未处理的提及3"/>
    <w:basedOn w:val="79"/>
    <w:semiHidden/>
    <w:unhideWhenUsed/>
    <w:qFormat/>
    <w:uiPriority w:val="99"/>
    <w:rPr>
      <w:color w:val="605E5C"/>
      <w:shd w:val="clear" w:color="auto" w:fill="E1DFDD"/>
    </w:rPr>
  </w:style>
  <w:style w:type="paragraph" w:customStyle="1" w:styleId="1039">
    <w:name w:val="_Style 83"/>
    <w:basedOn w:val="1"/>
    <w:next w:val="69"/>
    <w:qFormat/>
    <w:uiPriority w:val="0"/>
    <w:rPr>
      <w:rFonts w:ascii="Tahoma" w:hAnsi="Tahoma" w:eastAsia="仿宋_GB2312" w:cs="Tahoma"/>
      <w:sz w:val="24"/>
      <w:szCs w:val="24"/>
    </w:rPr>
  </w:style>
  <w:style w:type="paragraph" w:customStyle="1" w:styleId="1040">
    <w:name w:val="样式17"/>
    <w:basedOn w:val="5"/>
    <w:qFormat/>
    <w:uiPriority w:val="0"/>
    <w:pPr>
      <w:keepNext/>
      <w:keepLines/>
      <w:tabs>
        <w:tab w:val="left" w:pos="0"/>
      </w:tabs>
      <w:spacing w:before="340" w:after="330" w:line="576" w:lineRule="auto"/>
      <w:jc w:val="center"/>
    </w:pPr>
    <w:rPr>
      <w:rFonts w:ascii="宋体" w:hAnsi="宋体" w:eastAsia="黑体" w:cs="宋体"/>
      <w:kern w:val="0"/>
      <w:sz w:val="32"/>
      <w:szCs w:val="32"/>
    </w:rPr>
  </w:style>
  <w:style w:type="paragraph" w:customStyle="1" w:styleId="1041">
    <w:name w:val="xl11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仿宋_GB2312" w:hAnsi="宋体" w:eastAsia="仿宋_GB2312" w:cs="仿宋_GB2312"/>
      <w:color w:val="000000"/>
      <w:kern w:val="0"/>
      <w:sz w:val="28"/>
      <w:szCs w:val="28"/>
    </w:rPr>
  </w:style>
  <w:style w:type="paragraph" w:customStyle="1" w:styleId="1042">
    <w:name w:val="Char22"/>
    <w:basedOn w:val="23"/>
    <w:qFormat/>
    <w:uiPriority w:val="0"/>
    <w:pPr>
      <w:adjustRightInd w:val="0"/>
      <w:spacing w:line="436" w:lineRule="exact"/>
      <w:ind w:left="357"/>
      <w:jc w:val="left"/>
      <w:outlineLvl w:val="3"/>
    </w:pPr>
    <w:rPr>
      <w:rFonts w:ascii="Calibri" w:hAnsi="Calibri" w:cs="Calibri"/>
      <w:b/>
      <w:bCs/>
      <w:sz w:val="24"/>
      <w:szCs w:val="24"/>
    </w:rPr>
  </w:style>
  <w:style w:type="paragraph" w:customStyle="1" w:styleId="1043">
    <w:name w:val="参考文献"/>
    <w:basedOn w:val="1"/>
    <w:qFormat/>
    <w:uiPriority w:val="0"/>
    <w:pPr>
      <w:adjustRightInd w:val="0"/>
      <w:snapToGrid w:val="0"/>
      <w:spacing w:line="300" w:lineRule="auto"/>
      <w:ind w:left="479" w:leftChars="228" w:firstLine="60" w:firstLineChars="25"/>
      <w:jc w:val="left"/>
    </w:pPr>
    <w:rPr>
      <w:kern w:val="0"/>
      <w:sz w:val="18"/>
      <w:szCs w:val="18"/>
    </w:rPr>
  </w:style>
  <w:style w:type="paragraph" w:customStyle="1" w:styleId="1044">
    <w:name w:val="Char Char Char Char Char Char Char Char Char2"/>
    <w:basedOn w:val="1"/>
    <w:qFormat/>
    <w:uiPriority w:val="0"/>
    <w:pPr>
      <w:widowControl/>
      <w:spacing w:after="160" w:line="240" w:lineRule="exact"/>
      <w:ind w:firstLine="480" w:firstLineChars="200"/>
      <w:jc w:val="left"/>
    </w:pPr>
    <w:rPr>
      <w:rFonts w:ascii="Tahoma" w:hAnsi="Tahoma" w:eastAsia="仿宋_GB2312" w:cs="Tahoma"/>
      <w:sz w:val="28"/>
      <w:szCs w:val="28"/>
    </w:rPr>
  </w:style>
  <w:style w:type="paragraph" w:customStyle="1" w:styleId="1045">
    <w:name w:val="引用2"/>
    <w:basedOn w:val="1"/>
    <w:next w:val="1"/>
    <w:qFormat/>
    <w:uiPriority w:val="0"/>
    <w:rPr>
      <w:rFonts w:ascii="Tahoma" w:hAnsi="Tahoma" w:eastAsia="仿宋_GB2312" w:cs="Tahoma"/>
      <w:color w:val="000000"/>
      <w:kern w:val="0"/>
      <w:sz w:val="24"/>
      <w:szCs w:val="24"/>
    </w:rPr>
  </w:style>
  <w:style w:type="paragraph" w:customStyle="1" w:styleId="1046">
    <w:name w:val="报告正文小四"/>
    <w:basedOn w:val="1"/>
    <w:qFormat/>
    <w:uiPriority w:val="99"/>
    <w:pPr>
      <w:adjustRightInd w:val="0"/>
      <w:snapToGrid w:val="0"/>
      <w:spacing w:before="120" w:line="420" w:lineRule="atLeast"/>
      <w:ind w:firstLine="510"/>
    </w:pPr>
    <w:rPr>
      <w:rFonts w:ascii="Tahoma" w:hAnsi="Tahoma" w:eastAsia="仿宋_GB2312" w:cs="Tahoma"/>
      <w:sz w:val="24"/>
      <w:szCs w:val="24"/>
    </w:rPr>
  </w:style>
  <w:style w:type="paragraph" w:customStyle="1" w:styleId="1047">
    <w:name w:val="xl155"/>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048">
    <w:name w:val="图标题"/>
    <w:basedOn w:val="1"/>
    <w:next w:val="19"/>
    <w:qFormat/>
    <w:uiPriority w:val="0"/>
    <w:pPr>
      <w:adjustRightInd w:val="0"/>
      <w:snapToGrid w:val="0"/>
      <w:jc w:val="center"/>
    </w:pPr>
    <w:rPr>
      <w:rFonts w:ascii="仿宋_GB2312" w:eastAsia="仿宋_GB2312" w:cs="仿宋_GB2312"/>
      <w:kern w:val="0"/>
      <w:sz w:val="28"/>
      <w:szCs w:val="28"/>
    </w:rPr>
  </w:style>
  <w:style w:type="paragraph" w:customStyle="1" w:styleId="1049">
    <w:name w:val="xl96"/>
    <w:basedOn w:val="1"/>
    <w:qFormat/>
    <w:uiPriority w:val="0"/>
    <w:pPr>
      <w:widowControl/>
      <w:pBdr>
        <w:bottom w:val="single" w:color="auto" w:sz="4" w:space="0"/>
      </w:pBdr>
      <w:spacing w:before="100" w:beforeAutospacing="1" w:after="100" w:afterAutospacing="1"/>
      <w:jc w:val="left"/>
    </w:pPr>
    <w:rPr>
      <w:rFonts w:ascii="华文细黑" w:hAnsi="..ì." w:eastAsia="华文细黑" w:cs="华文细黑"/>
      <w:color w:val="000000"/>
      <w:kern w:val="0"/>
      <w:sz w:val="24"/>
      <w:szCs w:val="24"/>
    </w:rPr>
  </w:style>
  <w:style w:type="paragraph" w:customStyle="1" w:styleId="1050">
    <w:name w:val="引用11"/>
    <w:basedOn w:val="1"/>
    <w:next w:val="1"/>
    <w:qFormat/>
    <w:uiPriority w:val="0"/>
    <w:pPr>
      <w:tabs>
        <w:tab w:val="left" w:pos="360"/>
        <w:tab w:val="left" w:pos="540"/>
      </w:tabs>
      <w:spacing w:line="312" w:lineRule="auto"/>
      <w:ind w:firstLine="480" w:firstLineChars="200"/>
    </w:pPr>
    <w:rPr>
      <w:rFonts w:ascii="Arial" w:hAnsi="Arial" w:eastAsia="仿宋_GB2312" w:cs="Arial"/>
      <w:color w:val="000000"/>
      <w:sz w:val="24"/>
      <w:szCs w:val="24"/>
    </w:rPr>
  </w:style>
  <w:style w:type="paragraph" w:customStyle="1" w:styleId="1051">
    <w:name w:val="标题 31"/>
    <w:basedOn w:val="1"/>
    <w:next w:val="1"/>
    <w:qFormat/>
    <w:uiPriority w:val="0"/>
    <w:pPr>
      <w:spacing w:line="360" w:lineRule="auto"/>
      <w:ind w:firstLine="200" w:firstLineChars="200"/>
      <w:jc w:val="left"/>
      <w:outlineLvl w:val="2"/>
    </w:pPr>
    <w:rPr>
      <w:sz w:val="32"/>
      <w:szCs w:val="32"/>
    </w:rPr>
  </w:style>
  <w:style w:type="paragraph" w:customStyle="1" w:styleId="1052">
    <w:name w:val="正文 7"/>
    <w:basedOn w:val="1"/>
    <w:qFormat/>
    <w:uiPriority w:val="0"/>
    <w:pPr>
      <w:ind w:left="-57" w:right="-113"/>
      <w:jc w:val="center"/>
    </w:pPr>
    <w:rPr>
      <w:kern w:val="0"/>
      <w:sz w:val="18"/>
      <w:szCs w:val="18"/>
    </w:rPr>
  </w:style>
  <w:style w:type="paragraph" w:customStyle="1" w:styleId="1053">
    <w:name w:val="样式 小四1"/>
    <w:basedOn w:val="1"/>
    <w:qFormat/>
    <w:uiPriority w:val="0"/>
    <w:pPr>
      <w:keepNext/>
      <w:keepLines/>
      <w:ind w:firstLine="200" w:firstLineChars="200"/>
      <w:jc w:val="left"/>
    </w:pPr>
    <w:rPr>
      <w:kern w:val="0"/>
      <w:sz w:val="24"/>
      <w:szCs w:val="24"/>
    </w:rPr>
  </w:style>
  <w:style w:type="paragraph" w:customStyle="1" w:styleId="1054">
    <w:name w:val="样式 标题 4 + 仿宋_GB2312 首行缩进:  2 字符"/>
    <w:basedOn w:val="6"/>
    <w:qFormat/>
    <w:uiPriority w:val="0"/>
    <w:pPr>
      <w:adjustRightInd/>
      <w:snapToGrid/>
      <w:spacing w:before="100" w:after="100"/>
      <w:jc w:val="both"/>
    </w:pPr>
    <w:rPr>
      <w:rFonts w:ascii="华文细黑" w:hAnsi="Microsoft YaHei UI" w:eastAsia="华文细黑" w:cs="华文细黑"/>
      <w:b w:val="0"/>
      <w:sz w:val="28"/>
      <w:szCs w:val="28"/>
    </w:rPr>
  </w:style>
  <w:style w:type="paragraph" w:customStyle="1" w:styleId="1055">
    <w:name w:val="图表名"/>
    <w:next w:val="1"/>
    <w:qFormat/>
    <w:uiPriority w:val="0"/>
    <w:pPr>
      <w:spacing w:before="100" w:after="100" w:line="360" w:lineRule="auto"/>
      <w:jc w:val="center"/>
    </w:pPr>
    <w:rPr>
      <w:rFonts w:ascii="仿宋_GB2312" w:hAnsi="Times New Roman" w:eastAsia="黑体" w:cs="仿宋_GB2312"/>
      <w:kern w:val="2"/>
      <w:sz w:val="21"/>
      <w:szCs w:val="21"/>
      <w:lang w:val="en-US" w:eastAsia="zh-CN" w:bidi="ar-SA"/>
    </w:rPr>
  </w:style>
  <w:style w:type="paragraph" w:customStyle="1" w:styleId="1056">
    <w:name w:val="p16"/>
    <w:basedOn w:val="1"/>
    <w:qFormat/>
    <w:uiPriority w:val="0"/>
    <w:pPr>
      <w:widowControl/>
      <w:spacing w:line="700" w:lineRule="atLeast"/>
      <w:ind w:firstLine="368"/>
    </w:pPr>
    <w:rPr>
      <w:rFonts w:ascii="Tahoma" w:hAnsi="Tahoma" w:eastAsia="仿宋_GB2312" w:cs="Tahoma"/>
      <w:kern w:val="0"/>
      <w:sz w:val="32"/>
      <w:szCs w:val="32"/>
    </w:rPr>
  </w:style>
  <w:style w:type="paragraph" w:customStyle="1" w:styleId="1057">
    <w:name w:val="标题7"/>
    <w:basedOn w:val="1"/>
    <w:next w:val="1"/>
    <w:qFormat/>
    <w:uiPriority w:val="0"/>
    <w:pPr>
      <w:spacing w:before="60"/>
      <w:jc w:val="center"/>
    </w:pPr>
    <w:rPr>
      <w:rFonts w:eastAsia="黑体"/>
      <w:kern w:val="0"/>
      <w:sz w:val="24"/>
      <w:szCs w:val="24"/>
    </w:rPr>
  </w:style>
  <w:style w:type="paragraph" w:customStyle="1" w:styleId="1058">
    <w:name w:val="Char Char Char Char11"/>
    <w:basedOn w:val="1"/>
    <w:qFormat/>
    <w:uiPriority w:val="99"/>
    <w:rPr>
      <w:rFonts w:ascii="Tahoma" w:hAnsi="Tahoma" w:eastAsia="仿宋_GB2312" w:cs="Tahoma"/>
      <w:sz w:val="28"/>
      <w:szCs w:val="28"/>
    </w:rPr>
  </w:style>
  <w:style w:type="paragraph" w:customStyle="1" w:styleId="1059">
    <w:name w:val="题注1"/>
    <w:basedOn w:val="1"/>
    <w:next w:val="1"/>
    <w:qFormat/>
    <w:uiPriority w:val="0"/>
    <w:pPr>
      <w:jc w:val="center"/>
    </w:pPr>
    <w:rPr>
      <w:rFonts w:ascii="Cambria Math" w:hAnsi="Cambria Math" w:eastAsia="@微软雅黑" w:cs="Cambria Math"/>
      <w:color w:val="000000"/>
      <w:sz w:val="24"/>
      <w:szCs w:val="24"/>
    </w:rPr>
  </w:style>
  <w:style w:type="paragraph" w:customStyle="1" w:styleId="1060">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kern w:val="0"/>
      <w:sz w:val="24"/>
      <w:szCs w:val="24"/>
    </w:rPr>
  </w:style>
  <w:style w:type="paragraph" w:customStyle="1" w:styleId="1061">
    <w:name w:val="Char Char Char Char Char Char Char Char Char11"/>
    <w:basedOn w:val="1"/>
    <w:qFormat/>
    <w:uiPriority w:val="0"/>
    <w:pPr>
      <w:widowControl/>
      <w:spacing w:after="160" w:line="240" w:lineRule="exact"/>
      <w:ind w:firstLine="480" w:firstLineChars="200"/>
      <w:jc w:val="left"/>
    </w:pPr>
    <w:rPr>
      <w:rFonts w:ascii="Tahoma" w:hAnsi="Tahoma" w:eastAsia="仿宋_GB2312" w:cs="Tahoma"/>
      <w:sz w:val="28"/>
      <w:szCs w:val="28"/>
    </w:rPr>
  </w:style>
  <w:style w:type="paragraph" w:customStyle="1" w:styleId="1062">
    <w:name w:val="修订1"/>
    <w:qFormat/>
    <w:uiPriority w:val="0"/>
    <w:rPr>
      <w:rFonts w:ascii="Tahoma" w:hAnsi="Tahoma" w:eastAsia="..ì." w:cs="Tahoma"/>
      <w:kern w:val="2"/>
      <w:sz w:val="21"/>
      <w:szCs w:val="21"/>
      <w:lang w:val="en-US" w:eastAsia="zh-CN" w:bidi="ar-SA"/>
    </w:rPr>
  </w:style>
  <w:style w:type="paragraph" w:customStyle="1" w:styleId="1063">
    <w:name w:val="样式 参考文献 + 左侧:  0 厘米 悬挂缩进: 2 字符"/>
    <w:basedOn w:val="1043"/>
    <w:qFormat/>
    <w:uiPriority w:val="0"/>
    <w:rPr>
      <w:color w:val="000000"/>
    </w:rPr>
  </w:style>
  <w:style w:type="paragraph" w:customStyle="1" w:styleId="1064">
    <w:name w:val="Char211"/>
    <w:basedOn w:val="23"/>
    <w:qFormat/>
    <w:uiPriority w:val="99"/>
    <w:pPr>
      <w:adjustRightInd w:val="0"/>
      <w:spacing w:line="436" w:lineRule="exact"/>
      <w:ind w:left="357"/>
      <w:jc w:val="left"/>
      <w:outlineLvl w:val="3"/>
    </w:pPr>
    <w:rPr>
      <w:rFonts w:ascii="Calibri" w:hAnsi="Calibri" w:cs="Calibri"/>
      <w:b/>
      <w:bCs/>
      <w:sz w:val="24"/>
      <w:szCs w:val="24"/>
    </w:rPr>
  </w:style>
  <w:style w:type="paragraph" w:customStyle="1" w:styleId="1065">
    <w:name w:val="Char Char Char1"/>
    <w:basedOn w:val="1"/>
    <w:qFormat/>
    <w:uiPriority w:val="0"/>
    <w:pPr>
      <w:spacing w:line="360" w:lineRule="auto"/>
      <w:ind w:firstLine="200" w:firstLineChars="200"/>
    </w:pPr>
    <w:rPr>
      <w:rFonts w:ascii="..ì." w:hAnsi="..ì." w:eastAsia="仿宋_GB2312" w:cs="..ì."/>
      <w:sz w:val="24"/>
      <w:szCs w:val="24"/>
    </w:rPr>
  </w:style>
  <w:style w:type="paragraph" w:customStyle="1" w:styleId="1066">
    <w:name w:val="样式 2011迪延正文 + 加粗"/>
    <w:basedOn w:val="1"/>
    <w:qFormat/>
    <w:uiPriority w:val="0"/>
    <w:pPr>
      <w:spacing w:line="360" w:lineRule="auto"/>
      <w:jc w:val="left"/>
    </w:pPr>
    <w:rPr>
      <w:b/>
      <w:bCs/>
      <w:sz w:val="24"/>
      <w:szCs w:val="24"/>
    </w:rPr>
  </w:style>
  <w:style w:type="paragraph" w:customStyle="1" w:styleId="1067">
    <w:name w:val="font2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68">
    <w:name w:val="批注文字1"/>
    <w:basedOn w:val="1"/>
    <w:next w:val="25"/>
    <w:qFormat/>
    <w:uiPriority w:val="0"/>
    <w:pPr>
      <w:jc w:val="left"/>
    </w:pPr>
    <w:rPr>
      <w:rFonts w:ascii="Arial" w:hAnsi="Arial" w:eastAsia="仿宋_GB2312" w:cs="Arial"/>
      <w:sz w:val="28"/>
      <w:szCs w:val="28"/>
    </w:rPr>
  </w:style>
  <w:style w:type="paragraph" w:customStyle="1" w:styleId="1069">
    <w:name w:val="xl108"/>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8"/>
      <w:szCs w:val="28"/>
    </w:rPr>
  </w:style>
  <w:style w:type="paragraph" w:customStyle="1" w:styleId="1070">
    <w:name w:val="表格名称"/>
    <w:basedOn w:val="1"/>
    <w:qFormat/>
    <w:uiPriority w:val="0"/>
    <w:pPr>
      <w:tabs>
        <w:tab w:val="left" w:pos="900"/>
        <w:tab w:val="left" w:pos="1800"/>
        <w:tab w:val="left" w:pos="7920"/>
      </w:tabs>
      <w:spacing w:line="500" w:lineRule="atLeast"/>
      <w:jc w:val="center"/>
    </w:pPr>
    <w:rPr>
      <w:rFonts w:ascii="黑体" w:hAnsi="宋体" w:eastAsia="黑体" w:cs="黑体"/>
      <w:kern w:val="0"/>
      <w:sz w:val="24"/>
      <w:szCs w:val="24"/>
    </w:rPr>
  </w:style>
  <w:style w:type="paragraph" w:customStyle="1" w:styleId="1071">
    <w:name w:val="_Style 208"/>
    <w:next w:val="1"/>
    <w:qFormat/>
    <w:uiPriority w:val="99"/>
    <w:pPr>
      <w:widowControl w:val="0"/>
      <w:jc w:val="both"/>
    </w:pPr>
    <w:rPr>
      <w:rFonts w:ascii="Tahoma" w:hAnsi="Tahoma" w:eastAsia="..ì." w:cs="Tahoma"/>
      <w:kern w:val="2"/>
      <w:sz w:val="21"/>
      <w:szCs w:val="21"/>
      <w:lang w:val="en-US" w:eastAsia="zh-CN" w:bidi="ar-SA"/>
    </w:rPr>
  </w:style>
  <w:style w:type="paragraph" w:customStyle="1" w:styleId="1072">
    <w:name w:val="xl139"/>
    <w:basedOn w:val="1"/>
    <w:qFormat/>
    <w:uiPriority w:val="0"/>
    <w:pPr>
      <w:widowControl/>
      <w:spacing w:before="100" w:beforeAutospacing="1" w:after="100" w:afterAutospacing="1"/>
      <w:jc w:val="left"/>
      <w:textAlignment w:val="center"/>
    </w:pPr>
    <w:rPr>
      <w:rFonts w:ascii="仿宋_GB2312" w:hAnsi="宋体" w:eastAsia="仿宋_GB2312" w:cs="仿宋_GB2312"/>
      <w:color w:val="000000"/>
      <w:kern w:val="0"/>
      <w:sz w:val="24"/>
      <w:szCs w:val="24"/>
    </w:rPr>
  </w:style>
  <w:style w:type="paragraph" w:customStyle="1" w:styleId="1073">
    <w:name w:val="样式 lcb二级标题 + 行距: 单倍行距"/>
    <w:basedOn w:val="1"/>
    <w:qFormat/>
    <w:uiPriority w:val="0"/>
    <w:pPr>
      <w:adjustRightInd w:val="0"/>
      <w:snapToGrid w:val="0"/>
      <w:spacing w:beforeLines="30" w:afterLines="30"/>
      <w:jc w:val="left"/>
    </w:pPr>
    <w:rPr>
      <w:rFonts w:ascii="宋体" w:hAnsi="宋体" w:cs="宋体"/>
      <w:color w:val="000000"/>
      <w:kern w:val="0"/>
      <w:sz w:val="18"/>
      <w:szCs w:val="18"/>
    </w:rPr>
  </w:style>
  <w:style w:type="paragraph" w:customStyle="1" w:styleId="1074">
    <w:name w:val="gw发文机关"/>
    <w:basedOn w:val="1"/>
    <w:qFormat/>
    <w:uiPriority w:val="0"/>
    <w:pPr>
      <w:jc w:val="center"/>
    </w:pPr>
    <w:rPr>
      <w:rFonts w:eastAsia="仿宋_GB2312"/>
      <w:kern w:val="0"/>
      <w:sz w:val="72"/>
      <w:szCs w:val="72"/>
    </w:rPr>
  </w:style>
  <w:style w:type="paragraph" w:customStyle="1" w:styleId="1075">
    <w:name w:val="font22"/>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1076">
    <w:name w:val="xl141"/>
    <w:basedOn w:val="1"/>
    <w:qFormat/>
    <w:uiPriority w:val="0"/>
    <w:pPr>
      <w:widowControl/>
      <w:spacing w:before="100" w:beforeAutospacing="1" w:after="100" w:afterAutospacing="1"/>
      <w:jc w:val="left"/>
      <w:textAlignment w:val="center"/>
    </w:pPr>
    <w:rPr>
      <w:rFonts w:ascii="仿宋_GB2312" w:hAnsi="宋体" w:eastAsia="仿宋_GB2312" w:cs="仿宋_GB2312"/>
      <w:color w:val="000000"/>
      <w:kern w:val="0"/>
      <w:sz w:val="24"/>
      <w:szCs w:val="24"/>
    </w:rPr>
  </w:style>
  <w:style w:type="paragraph" w:customStyle="1" w:styleId="1077">
    <w:name w:val="02节标题格式"/>
    <w:basedOn w:val="4"/>
    <w:qFormat/>
    <w:uiPriority w:val="0"/>
    <w:pPr>
      <w:tabs>
        <w:tab w:val="left" w:pos="0"/>
      </w:tabs>
      <w:adjustRightInd/>
      <w:snapToGrid/>
      <w:spacing w:before="280" w:beforeLines="0" w:after="290" w:line="377" w:lineRule="auto"/>
    </w:pPr>
    <w:rPr>
      <w:rFonts w:hAnsi="黑体" w:eastAsia="黑体" w:cs="黑体"/>
      <w:bCs/>
      <w:sz w:val="28"/>
      <w:szCs w:val="28"/>
    </w:rPr>
  </w:style>
  <w:style w:type="paragraph" w:customStyle="1" w:styleId="1078">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1079">
    <w:name w:val="xl16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080">
    <w:name w:val="样式15"/>
    <w:basedOn w:val="3"/>
    <w:qFormat/>
    <w:uiPriority w:val="0"/>
    <w:pPr>
      <w:keepNext/>
      <w:keepLines/>
      <w:pageBreakBefore w:val="0"/>
      <w:spacing w:before="340" w:after="330" w:line="576" w:lineRule="auto"/>
      <w:jc w:val="center"/>
    </w:pPr>
    <w:rPr>
      <w:rFonts w:hAnsi="宋体"/>
      <w:color w:val="000000"/>
      <w:kern w:val="44"/>
      <w:sz w:val="36"/>
      <w:szCs w:val="36"/>
    </w:rPr>
  </w:style>
  <w:style w:type="paragraph" w:customStyle="1" w:styleId="1081">
    <w:name w:val="报告标题4"/>
    <w:basedOn w:val="1"/>
    <w:next w:val="1"/>
    <w:qFormat/>
    <w:uiPriority w:val="0"/>
    <w:pPr>
      <w:adjustRightInd w:val="0"/>
      <w:snapToGrid w:val="0"/>
      <w:spacing w:before="120" w:after="120" w:line="420" w:lineRule="atLeast"/>
      <w:outlineLvl w:val="3"/>
    </w:pPr>
    <w:rPr>
      <w:rFonts w:ascii="Tahoma" w:hAnsi="Tahoma" w:eastAsia="@微软雅黑" w:cs="Tahoma"/>
      <w:sz w:val="24"/>
      <w:szCs w:val="24"/>
    </w:rPr>
  </w:style>
  <w:style w:type="paragraph" w:customStyle="1" w:styleId="1082">
    <w:name w:val="xl112"/>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2"/>
      <w:szCs w:val="22"/>
    </w:rPr>
  </w:style>
  <w:style w:type="paragraph" w:customStyle="1" w:styleId="1083">
    <w:name w:val="博士论文-章"/>
    <w:basedOn w:val="3"/>
    <w:qFormat/>
    <w:uiPriority w:val="0"/>
    <w:pPr>
      <w:keepNext/>
      <w:keepLines/>
      <w:pageBreakBefore w:val="0"/>
      <w:adjustRightInd w:val="0"/>
      <w:snapToGrid w:val="0"/>
      <w:spacing w:afterLines="100"/>
      <w:jc w:val="center"/>
    </w:pPr>
    <w:rPr>
      <w:rFonts w:eastAsia="黑体"/>
      <w:b/>
      <w:bCs/>
      <w:color w:val="000000"/>
      <w:kern w:val="44"/>
      <w:sz w:val="44"/>
      <w:szCs w:val="44"/>
    </w:rPr>
  </w:style>
  <w:style w:type="paragraph" w:customStyle="1" w:styleId="1084">
    <w:name w:val="样式21"/>
    <w:basedOn w:val="5"/>
    <w:qFormat/>
    <w:uiPriority w:val="0"/>
    <w:pPr>
      <w:keepNext/>
      <w:keepLines/>
      <w:tabs>
        <w:tab w:val="left" w:pos="0"/>
      </w:tabs>
      <w:spacing w:before="260" w:after="260" w:line="413" w:lineRule="auto"/>
    </w:pPr>
    <w:rPr>
      <w:rFonts w:ascii="Times New Roman"/>
      <w:b/>
      <w:bCs/>
      <w:sz w:val="24"/>
      <w:szCs w:val="24"/>
    </w:rPr>
  </w:style>
  <w:style w:type="paragraph" w:customStyle="1" w:styleId="1085">
    <w:name w:val="样式 正文文本缩进 2 + 三号"/>
    <w:basedOn w:val="75"/>
    <w:qFormat/>
    <w:uiPriority w:val="0"/>
    <w:pPr>
      <w:tabs>
        <w:tab w:val="left" w:pos="1110"/>
      </w:tabs>
      <w:spacing w:after="0"/>
      <w:ind w:left="0" w:leftChars="0" w:firstLine="200" w:firstLineChars="200"/>
    </w:pPr>
    <w:rPr>
      <w:sz w:val="32"/>
      <w:szCs w:val="32"/>
    </w:rPr>
  </w:style>
  <w:style w:type="paragraph" w:customStyle="1" w:styleId="1086">
    <w:name w:val="Char Char Char Char Char Char Char Char Char Char Char Char Char Char Char Char Char Char Char Char Char"/>
    <w:basedOn w:val="1"/>
    <w:qFormat/>
    <w:uiPriority w:val="0"/>
    <w:rPr>
      <w:rFonts w:ascii="Tahoma" w:hAnsi="Tahoma" w:eastAsia="仿宋_GB2312" w:cs="Tahoma"/>
      <w:sz w:val="28"/>
      <w:szCs w:val="28"/>
    </w:rPr>
  </w:style>
  <w:style w:type="paragraph" w:customStyle="1" w:styleId="1087">
    <w:name w:val="样式 lcb二级标题 + 黑色"/>
    <w:basedOn w:val="908"/>
    <w:qFormat/>
    <w:uiPriority w:val="0"/>
    <w:pPr>
      <w:adjustRightInd w:val="0"/>
    </w:pPr>
    <w:rPr>
      <w:color w:val="000000"/>
    </w:rPr>
  </w:style>
  <w:style w:type="paragraph" w:customStyle="1" w:styleId="1088">
    <w:name w:val="_Style 79"/>
    <w:basedOn w:val="1"/>
    <w:next w:val="1"/>
    <w:qFormat/>
    <w:uiPriority w:val="0"/>
    <w:pPr>
      <w:spacing w:after="120" w:line="480" w:lineRule="auto"/>
    </w:pPr>
    <w:rPr>
      <w:rFonts w:ascii="Tahoma" w:hAnsi="Tahoma" w:eastAsia="仿宋_GB2312" w:cs="Tahoma"/>
      <w:sz w:val="28"/>
      <w:szCs w:val="28"/>
    </w:rPr>
  </w:style>
  <w:style w:type="paragraph" w:customStyle="1" w:styleId="1089">
    <w:name w:val="xl15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090">
    <w:name w:val="正文[858D7CFB-ED40-4347-BF05-701D383B685F][858D7CFB-ED40-4347-BF05-701D383B685F]"/>
    <w:basedOn w:val="1"/>
    <w:qFormat/>
    <w:uiPriority w:val="0"/>
    <w:pPr>
      <w:spacing w:line="360" w:lineRule="auto"/>
      <w:ind w:firstLine="480" w:firstLineChars="200"/>
      <w:jc w:val="left"/>
    </w:pPr>
    <w:rPr>
      <w:sz w:val="24"/>
      <w:szCs w:val="24"/>
    </w:rPr>
  </w:style>
  <w:style w:type="paragraph" w:customStyle="1" w:styleId="1091">
    <w:name w:val="Char Char110"/>
    <w:basedOn w:val="1"/>
    <w:qFormat/>
    <w:uiPriority w:val="99"/>
    <w:rPr>
      <w:sz w:val="24"/>
      <w:szCs w:val="24"/>
    </w:rPr>
  </w:style>
  <w:style w:type="paragraph" w:customStyle="1" w:styleId="1092">
    <w:name w:val="样式12"/>
    <w:basedOn w:val="1093"/>
    <w:qFormat/>
    <w:uiPriority w:val="0"/>
    <w:pPr>
      <w:keepNext w:val="0"/>
      <w:keepLines w:val="0"/>
      <w:tabs>
        <w:tab w:val="left" w:pos="1331"/>
      </w:tabs>
      <w:spacing w:line="240" w:lineRule="auto"/>
      <w:jc w:val="both"/>
    </w:pPr>
    <w:rPr>
      <w:rFonts w:ascii="Times New Roman" w:hAnsi="Times New Roman" w:cs="Times New Roman"/>
      <w:b w:val="0"/>
      <w:bCs w:val="0"/>
      <w:sz w:val="32"/>
      <w:szCs w:val="32"/>
    </w:rPr>
  </w:style>
  <w:style w:type="paragraph" w:customStyle="1" w:styleId="1093">
    <w:name w:val="bgbt2节标题"/>
    <w:basedOn w:val="6"/>
    <w:next w:val="1"/>
    <w:qFormat/>
    <w:uiPriority w:val="0"/>
    <w:pPr>
      <w:tabs>
        <w:tab w:val="left" w:pos="1331"/>
      </w:tabs>
      <w:adjustRightInd/>
      <w:snapToGrid/>
      <w:spacing w:before="300" w:after="60" w:line="377" w:lineRule="auto"/>
      <w:ind w:firstLine="0" w:firstLineChars="0"/>
      <w:jc w:val="center"/>
      <w:outlineLvl w:val="1"/>
    </w:pPr>
    <w:rPr>
      <w:rFonts w:eastAsia="黑体" w:cs="Arial"/>
      <w:bCs/>
      <w:sz w:val="30"/>
      <w:szCs w:val="30"/>
    </w:rPr>
  </w:style>
  <w:style w:type="paragraph" w:customStyle="1" w:styleId="1094">
    <w:name w:val="bgbt题名"/>
    <w:basedOn w:val="1"/>
    <w:next w:val="1"/>
    <w:qFormat/>
    <w:uiPriority w:val="0"/>
    <w:pPr>
      <w:jc w:val="center"/>
    </w:pPr>
    <w:rPr>
      <w:rFonts w:eastAsia="楷体_GB2312"/>
      <w:kern w:val="0"/>
      <w:sz w:val="48"/>
      <w:szCs w:val="48"/>
    </w:rPr>
  </w:style>
  <w:style w:type="paragraph" w:customStyle="1" w:styleId="109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华文细黑" w:hAnsi="..ì." w:eastAsia="华文细黑" w:cs="华文细黑"/>
      <w:color w:val="000000"/>
      <w:kern w:val="0"/>
      <w:sz w:val="20"/>
    </w:rPr>
  </w:style>
  <w:style w:type="paragraph" w:customStyle="1" w:styleId="1096">
    <w:name w:val="副标题1"/>
    <w:basedOn w:val="1"/>
    <w:next w:val="1"/>
    <w:qFormat/>
    <w:uiPriority w:val="0"/>
    <w:pPr>
      <w:spacing w:before="240" w:after="60" w:line="312" w:lineRule="auto"/>
      <w:jc w:val="center"/>
      <w:outlineLvl w:val="1"/>
    </w:pPr>
    <w:rPr>
      <w:rFonts w:ascii="Cambria Math" w:hAnsi="Cambria Math" w:eastAsia="仿宋_GB2312" w:cs="Cambria Math"/>
      <w:b/>
      <w:bCs/>
      <w:kern w:val="28"/>
      <w:sz w:val="32"/>
      <w:szCs w:val="32"/>
    </w:rPr>
  </w:style>
  <w:style w:type="paragraph" w:customStyle="1" w:styleId="1097">
    <w:name w:val="标题 33"/>
    <w:basedOn w:val="1"/>
    <w:next w:val="1"/>
    <w:qFormat/>
    <w:uiPriority w:val="0"/>
    <w:pPr>
      <w:spacing w:line="360" w:lineRule="auto"/>
      <w:ind w:firstLine="200" w:firstLineChars="200"/>
      <w:jc w:val="left"/>
      <w:outlineLvl w:val="2"/>
    </w:pPr>
    <w:rPr>
      <w:kern w:val="0"/>
      <w:sz w:val="32"/>
      <w:szCs w:val="32"/>
    </w:rPr>
  </w:style>
  <w:style w:type="paragraph" w:customStyle="1" w:styleId="1098">
    <w:name w:val="_Style 2081"/>
    <w:next w:val="1"/>
    <w:qFormat/>
    <w:uiPriority w:val="99"/>
    <w:pPr>
      <w:widowControl w:val="0"/>
      <w:jc w:val="both"/>
    </w:pPr>
    <w:rPr>
      <w:rFonts w:ascii="Tahoma" w:hAnsi="Tahoma" w:eastAsia="..ì." w:cs="Tahoma"/>
      <w:kern w:val="2"/>
      <w:sz w:val="21"/>
      <w:szCs w:val="21"/>
      <w:lang w:val="en-US" w:eastAsia="zh-CN" w:bidi="ar-SA"/>
    </w:rPr>
  </w:style>
  <w:style w:type="paragraph" w:customStyle="1" w:styleId="1099">
    <w:name w:val="Char1 Char Char Char Char Char2 Char"/>
    <w:basedOn w:val="1"/>
    <w:qFormat/>
    <w:uiPriority w:val="99"/>
    <w:pPr>
      <w:ind w:firstLine="590" w:firstLineChars="196"/>
    </w:pPr>
    <w:rPr>
      <w:rFonts w:ascii="Tahoma" w:hAnsi="Tahoma" w:eastAsia="仿宋_GB2312" w:cs="Tahoma"/>
      <w:sz w:val="28"/>
      <w:szCs w:val="28"/>
    </w:rPr>
  </w:style>
  <w:style w:type="paragraph" w:customStyle="1" w:styleId="1100">
    <w:name w:val="1.表"/>
    <w:basedOn w:val="1"/>
    <w:qFormat/>
    <w:uiPriority w:val="0"/>
    <w:pPr>
      <w:jc w:val="center"/>
    </w:pPr>
    <w:rPr>
      <w:rFonts w:ascii="宋体" w:hAnsi="宋体" w:cs="宋体"/>
      <w:b/>
      <w:bCs/>
      <w:sz w:val="28"/>
      <w:szCs w:val="28"/>
    </w:rPr>
  </w:style>
  <w:style w:type="paragraph" w:customStyle="1" w:styleId="1101">
    <w:name w:val="Body Text 1.5 lines"/>
    <w:basedOn w:val="31"/>
    <w:qFormat/>
    <w:uiPriority w:val="0"/>
    <w:pPr>
      <w:widowControl/>
      <w:spacing w:after="120" w:line="360" w:lineRule="auto"/>
      <w:ind w:left="720"/>
    </w:pPr>
    <w:rPr>
      <w:rFonts w:ascii="Arial" w:hAnsi="Arial" w:eastAsia="宋体" w:cs="Arial"/>
      <w:b/>
      <w:bCs/>
      <w:sz w:val="20"/>
      <w:lang w:val="en-AU"/>
    </w:rPr>
  </w:style>
  <w:style w:type="paragraph" w:customStyle="1" w:styleId="1102">
    <w:name w:val="批注框文本 Char Char"/>
    <w:basedOn w:val="1"/>
    <w:qFormat/>
    <w:uiPriority w:val="0"/>
    <w:pPr>
      <w:spacing w:line="480" w:lineRule="exact"/>
      <w:ind w:firstLine="200" w:firstLineChars="200"/>
      <w:jc w:val="left"/>
    </w:pPr>
    <w:rPr>
      <w:kern w:val="0"/>
      <w:sz w:val="18"/>
      <w:szCs w:val="18"/>
    </w:rPr>
  </w:style>
  <w:style w:type="paragraph" w:customStyle="1" w:styleId="1103">
    <w:name w:val="样式 表内容 + 右 右  1.63 字符"/>
    <w:basedOn w:val="507"/>
    <w:qFormat/>
    <w:uiPriority w:val="0"/>
    <w:pPr>
      <w:wordWrap/>
      <w:adjustRightInd/>
      <w:spacing w:before="60" w:after="60" w:line="240" w:lineRule="auto"/>
      <w:ind w:right="150" w:rightChars="150" w:firstLine="0" w:firstLineChars="0"/>
      <w:jc w:val="right"/>
    </w:pPr>
    <w:rPr>
      <w:kern w:val="2"/>
      <w:sz w:val="21"/>
      <w:szCs w:val="21"/>
    </w:rPr>
  </w:style>
  <w:style w:type="paragraph" w:customStyle="1" w:styleId="1104">
    <w:name w:val="_Style 77"/>
    <w:basedOn w:val="1"/>
    <w:next w:val="1"/>
    <w:qFormat/>
    <w:uiPriority w:val="0"/>
    <w:pPr>
      <w:spacing w:after="120" w:line="480" w:lineRule="auto"/>
    </w:pPr>
    <w:rPr>
      <w:rFonts w:ascii="Tahoma" w:hAnsi="Tahoma" w:eastAsia="仿宋_GB2312" w:cs="Tahoma"/>
      <w:sz w:val="28"/>
      <w:szCs w:val="28"/>
    </w:rPr>
  </w:style>
  <w:style w:type="paragraph" w:customStyle="1" w:styleId="1105">
    <w:name w:val="xl103"/>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kern w:val="0"/>
      <w:sz w:val="24"/>
      <w:szCs w:val="24"/>
    </w:rPr>
  </w:style>
  <w:style w:type="paragraph" w:customStyle="1" w:styleId="1106">
    <w:name w:val="xl1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1107">
    <w:name w:val="Char Char Char"/>
    <w:basedOn w:val="1"/>
    <w:qFormat/>
    <w:uiPriority w:val="99"/>
    <w:pPr>
      <w:spacing w:line="360" w:lineRule="auto"/>
      <w:ind w:firstLine="200" w:firstLineChars="200"/>
    </w:pPr>
    <w:rPr>
      <w:rFonts w:ascii="..ì." w:hAnsi="..ì." w:eastAsia="仿宋_GB2312" w:cs="..ì."/>
      <w:sz w:val="24"/>
      <w:szCs w:val="24"/>
    </w:rPr>
  </w:style>
  <w:style w:type="paragraph" w:customStyle="1" w:styleId="1108">
    <w:name w:val="样式 标题 2迪延节2级标题样式 2标题 2 Char1标题 2 Char Char标题21.1H2h2第一..."/>
    <w:basedOn w:val="6"/>
    <w:qFormat/>
    <w:uiPriority w:val="0"/>
    <w:pPr>
      <w:adjustRightInd/>
      <w:snapToGrid/>
      <w:spacing w:before="280" w:after="290" w:line="377" w:lineRule="auto"/>
      <w:ind w:firstLine="0" w:firstLineChars="0"/>
      <w:jc w:val="center"/>
    </w:pPr>
    <w:rPr>
      <w:rFonts w:ascii="黑体" w:hAnsi="黑体" w:eastAsia="黑体" w:cs="黑体"/>
      <w:bCs/>
      <w:sz w:val="28"/>
      <w:szCs w:val="28"/>
    </w:rPr>
  </w:style>
  <w:style w:type="paragraph" w:customStyle="1" w:styleId="1109">
    <w:name w:val="Char Char Char2"/>
    <w:basedOn w:val="1"/>
    <w:qFormat/>
    <w:uiPriority w:val="0"/>
    <w:pPr>
      <w:spacing w:line="360" w:lineRule="auto"/>
      <w:ind w:firstLine="200" w:firstLineChars="200"/>
    </w:pPr>
    <w:rPr>
      <w:rFonts w:ascii="..ì." w:hAnsi="..ì." w:eastAsia="仿宋_GB2312" w:cs="..ì."/>
      <w:sz w:val="24"/>
      <w:szCs w:val="24"/>
    </w:rPr>
  </w:style>
  <w:style w:type="paragraph" w:customStyle="1" w:styleId="1110">
    <w:name w:val="预算说明正文"/>
    <w:basedOn w:val="1"/>
    <w:qFormat/>
    <w:uiPriority w:val="0"/>
    <w:rPr>
      <w:rFonts w:ascii="Tahoma" w:hAnsi="Tahoma" w:eastAsia="仿宋_GB2312" w:cs="Tahoma"/>
      <w:sz w:val="28"/>
      <w:szCs w:val="28"/>
    </w:rPr>
  </w:style>
  <w:style w:type="paragraph" w:customStyle="1" w:styleId="1111">
    <w:name w:val="脚注文本1"/>
    <w:basedOn w:val="1"/>
    <w:next w:val="59"/>
    <w:qFormat/>
    <w:uiPriority w:val="0"/>
    <w:pPr>
      <w:snapToGrid w:val="0"/>
      <w:jc w:val="left"/>
    </w:pPr>
    <w:rPr>
      <w:rFonts w:ascii="..ì." w:hAnsi="..ì." w:eastAsia="仿宋_GB2312" w:cs="..ì."/>
      <w:sz w:val="18"/>
      <w:szCs w:val="18"/>
    </w:rPr>
  </w:style>
  <w:style w:type="paragraph" w:customStyle="1" w:styleId="1112">
    <w:name w:val="3号宋体正文"/>
    <w:basedOn w:val="1"/>
    <w:qFormat/>
    <w:uiPriority w:val="99"/>
    <w:pPr>
      <w:spacing w:line="360" w:lineRule="auto"/>
      <w:ind w:firstLine="624"/>
    </w:pPr>
    <w:rPr>
      <w:rFonts w:ascii="..ì." w:hAnsi="Wingdings" w:eastAsia="仿宋_GB2312" w:cs="..ì."/>
      <w:sz w:val="30"/>
      <w:szCs w:val="30"/>
    </w:rPr>
  </w:style>
  <w:style w:type="paragraph" w:customStyle="1" w:styleId="1113">
    <w:name w:val="6级标题"/>
    <w:basedOn w:val="1"/>
    <w:next w:val="1"/>
    <w:qFormat/>
    <w:uiPriority w:val="0"/>
    <w:pPr>
      <w:spacing w:before="120" w:after="60"/>
      <w:ind w:firstLine="510"/>
      <w:jc w:val="left"/>
    </w:pPr>
    <w:rPr>
      <w:rFonts w:eastAsia="黑体"/>
      <w:kern w:val="0"/>
      <w:sz w:val="24"/>
      <w:szCs w:val="24"/>
    </w:rPr>
  </w:style>
  <w:style w:type="paragraph" w:customStyle="1" w:styleId="1114">
    <w:name w:val="xl160"/>
    <w:basedOn w:val="1"/>
    <w:qFormat/>
    <w:uiPriority w:val="0"/>
    <w:pPr>
      <w:widowControl/>
      <w:pBdr>
        <w:top w:val="single" w:color="auto" w:sz="4" w:space="0"/>
        <w:bottom w:val="single" w:color="auto" w:sz="4" w:space="0"/>
        <w:right w:val="single" w:color="000000"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115">
    <w:name w:val="纯文本2"/>
    <w:basedOn w:val="1"/>
    <w:qFormat/>
    <w:uiPriority w:val="0"/>
    <w:pPr>
      <w:adjustRightInd w:val="0"/>
      <w:jc w:val="left"/>
      <w:textAlignment w:val="baseline"/>
    </w:pPr>
    <w:rPr>
      <w:kern w:val="0"/>
      <w:sz w:val="24"/>
      <w:szCs w:val="24"/>
    </w:rPr>
  </w:style>
  <w:style w:type="paragraph" w:customStyle="1" w:styleId="1116">
    <w:name w:val="06表格内容格式"/>
    <w:basedOn w:val="1"/>
    <w:qFormat/>
    <w:uiPriority w:val="0"/>
    <w:pPr>
      <w:widowControl/>
      <w:jc w:val="center"/>
    </w:pPr>
    <w:rPr>
      <w:rFonts w:ascii="宋体" w:hAnsi="宋体" w:cs="宋体"/>
      <w:sz w:val="18"/>
      <w:szCs w:val="18"/>
    </w:rPr>
  </w:style>
  <w:style w:type="paragraph" w:customStyle="1" w:styleId="1117">
    <w:name w:val="xl101"/>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kern w:val="0"/>
      <w:sz w:val="24"/>
      <w:szCs w:val="24"/>
    </w:rPr>
  </w:style>
  <w:style w:type="paragraph" w:customStyle="1" w:styleId="1118">
    <w:name w:val="_Style 353"/>
    <w:qFormat/>
    <w:uiPriority w:val="99"/>
    <w:pPr>
      <w:widowControl w:val="0"/>
      <w:jc w:val="both"/>
    </w:pPr>
    <w:rPr>
      <w:rFonts w:ascii="Tahoma" w:hAnsi="Tahoma" w:eastAsia="..ì." w:cs="Tahoma"/>
      <w:kern w:val="2"/>
      <w:sz w:val="21"/>
      <w:szCs w:val="21"/>
      <w:lang w:val="en-US" w:eastAsia="zh-CN" w:bidi="ar-SA"/>
    </w:rPr>
  </w:style>
  <w:style w:type="paragraph" w:customStyle="1" w:styleId="1119">
    <w:name w:val="样式 11111 + 首行缩进:  2 字符1"/>
    <w:basedOn w:val="1"/>
    <w:qFormat/>
    <w:uiPriority w:val="0"/>
    <w:pPr>
      <w:spacing w:line="460" w:lineRule="exact"/>
      <w:ind w:firstLine="200" w:firstLineChars="200"/>
      <w:jc w:val="left"/>
    </w:pPr>
    <w:rPr>
      <w:rFonts w:ascii="宋体" w:hAnsi="宋体" w:cs="宋体"/>
      <w:kern w:val="0"/>
      <w:sz w:val="24"/>
      <w:szCs w:val="24"/>
    </w:rPr>
  </w:style>
  <w:style w:type="paragraph" w:customStyle="1" w:styleId="1120">
    <w:name w:val="无间隔11"/>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1121">
    <w:name w:val="样式 xl55 + 段前: 自动 段后: 自动 底端: (无框线) 行距: 固定值 20 磅"/>
    <w:basedOn w:val="1"/>
    <w:qFormat/>
    <w:uiPriority w:val="0"/>
    <w:pPr>
      <w:widowControl/>
      <w:spacing w:line="400" w:lineRule="exact"/>
      <w:ind w:firstLine="200" w:firstLineChars="200"/>
      <w:jc w:val="center"/>
      <w:textAlignment w:val="center"/>
    </w:pPr>
    <w:rPr>
      <w:rFonts w:ascii="宋体" w:hAnsi="宋体" w:cs="宋体"/>
      <w:kern w:val="0"/>
      <w:sz w:val="24"/>
      <w:szCs w:val="24"/>
    </w:rPr>
  </w:style>
  <w:style w:type="paragraph" w:customStyle="1" w:styleId="1122">
    <w:name w:val="产品世界"/>
    <w:basedOn w:val="1"/>
    <w:qFormat/>
    <w:uiPriority w:val="0"/>
    <w:pPr>
      <w:tabs>
        <w:tab w:val="left" w:pos="1208"/>
      </w:tabs>
      <w:adjustRightInd w:val="0"/>
      <w:spacing w:line="360" w:lineRule="atLeast"/>
      <w:textAlignment w:val="baseline"/>
    </w:pPr>
    <w:rPr>
      <w:sz w:val="28"/>
      <w:szCs w:val="28"/>
    </w:rPr>
  </w:style>
  <w:style w:type="paragraph" w:customStyle="1" w:styleId="1123">
    <w:name w:val="样式7"/>
    <w:basedOn w:val="3"/>
    <w:qFormat/>
    <w:uiPriority w:val="99"/>
    <w:pPr>
      <w:keepNext/>
      <w:keepLines/>
      <w:pageBreakBefore w:val="0"/>
      <w:spacing w:before="340" w:after="330" w:line="240" w:lineRule="atLeast"/>
      <w:ind w:firstLine="299" w:firstLineChars="299"/>
    </w:pPr>
    <w:rPr>
      <w:b/>
      <w:bCs/>
      <w:kern w:val="44"/>
      <w:sz w:val="44"/>
      <w:szCs w:val="44"/>
    </w:rPr>
  </w:style>
  <w:style w:type="paragraph" w:customStyle="1" w:styleId="1124">
    <w:name w:val="xl102"/>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kern w:val="0"/>
      <w:sz w:val="24"/>
      <w:szCs w:val="24"/>
    </w:rPr>
  </w:style>
  <w:style w:type="paragraph" w:customStyle="1" w:styleId="1125">
    <w:name w:val="-19表头1"/>
    <w:basedOn w:val="1"/>
    <w:qFormat/>
    <w:uiPriority w:val="0"/>
    <w:pPr>
      <w:wordWrap w:val="0"/>
      <w:topLinePunct/>
      <w:ind w:firstLine="420" w:firstLineChars="200"/>
      <w:jc w:val="left"/>
      <w:textAlignment w:val="center"/>
    </w:pPr>
    <w:rPr>
      <w:rFonts w:ascii="..ì." w:hAnsi="Tahoma" w:eastAsia="@微软雅黑" w:cs="..ì."/>
      <w:color w:val="000000"/>
      <w:sz w:val="24"/>
      <w:szCs w:val="24"/>
    </w:rPr>
  </w:style>
  <w:style w:type="paragraph" w:customStyle="1" w:styleId="1126">
    <w:name w:val="标题6 Char"/>
    <w:basedOn w:val="1"/>
    <w:next w:val="1"/>
    <w:qFormat/>
    <w:uiPriority w:val="0"/>
    <w:pPr>
      <w:spacing w:before="120" w:after="60"/>
      <w:ind w:firstLine="510"/>
      <w:jc w:val="left"/>
    </w:pPr>
    <w:rPr>
      <w:rFonts w:eastAsia="黑体"/>
      <w:kern w:val="0"/>
      <w:sz w:val="24"/>
      <w:szCs w:val="24"/>
    </w:rPr>
  </w:style>
  <w:style w:type="paragraph" w:customStyle="1" w:styleId="1127">
    <w:name w:val="xl1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128">
    <w:name w:val="8级标题 Char"/>
    <w:basedOn w:val="1"/>
    <w:next w:val="1"/>
    <w:qFormat/>
    <w:uiPriority w:val="0"/>
    <w:pPr>
      <w:spacing w:after="60"/>
      <w:jc w:val="center"/>
    </w:pPr>
    <w:rPr>
      <w:rFonts w:eastAsia="黑体"/>
      <w:kern w:val="0"/>
      <w:sz w:val="24"/>
      <w:szCs w:val="24"/>
    </w:rPr>
  </w:style>
  <w:style w:type="paragraph" w:customStyle="1" w:styleId="1129">
    <w:name w:val="6级标题 Char"/>
    <w:basedOn w:val="1"/>
    <w:next w:val="1"/>
    <w:qFormat/>
    <w:uiPriority w:val="0"/>
    <w:pPr>
      <w:spacing w:before="120" w:after="60"/>
      <w:ind w:firstLine="510"/>
      <w:jc w:val="left"/>
    </w:pPr>
    <w:rPr>
      <w:rFonts w:eastAsia="黑体"/>
      <w:kern w:val="0"/>
      <w:sz w:val="24"/>
      <w:szCs w:val="24"/>
    </w:rPr>
  </w:style>
  <w:style w:type="paragraph" w:customStyle="1" w:styleId="1130">
    <w:name w:val="4"/>
    <w:basedOn w:val="1"/>
    <w:next w:val="45"/>
    <w:qFormat/>
    <w:uiPriority w:val="0"/>
    <w:pPr>
      <w:spacing w:line="360" w:lineRule="auto"/>
      <w:ind w:firstLine="538" w:firstLineChars="192"/>
    </w:pPr>
    <w:rPr>
      <w:rFonts w:ascii="华文细黑" w:hAnsi="Tahoma" w:eastAsia="华文细黑" w:cs="华文细黑"/>
      <w:sz w:val="28"/>
      <w:szCs w:val="28"/>
    </w:rPr>
  </w:style>
  <w:style w:type="paragraph" w:customStyle="1" w:styleId="1131">
    <w:name w:val="xl97"/>
    <w:basedOn w:val="1"/>
    <w:qFormat/>
    <w:uiPriority w:val="0"/>
    <w:pPr>
      <w:widowControl/>
      <w:pBdr>
        <w:bottom w:val="single" w:color="auto" w:sz="4" w:space="0"/>
      </w:pBdr>
      <w:spacing w:before="100" w:beforeAutospacing="1" w:after="100" w:afterAutospacing="1"/>
      <w:jc w:val="left"/>
    </w:pPr>
    <w:rPr>
      <w:rFonts w:ascii="华文细黑" w:hAnsi="..ì." w:eastAsia="华文细黑" w:cs="华文细黑"/>
      <w:b/>
      <w:bCs/>
      <w:kern w:val="0"/>
      <w:sz w:val="36"/>
      <w:szCs w:val="36"/>
    </w:rPr>
  </w:style>
  <w:style w:type="paragraph" w:customStyle="1" w:styleId="1132">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133">
    <w:name w:val="1."/>
    <w:basedOn w:val="3"/>
    <w:qFormat/>
    <w:uiPriority w:val="0"/>
    <w:pPr>
      <w:keepNext/>
      <w:keepLines/>
      <w:spacing w:before="240" w:after="240" w:line="360" w:lineRule="auto"/>
      <w:jc w:val="center"/>
    </w:pPr>
    <w:rPr>
      <w:b/>
      <w:bCs/>
      <w:kern w:val="44"/>
      <w:sz w:val="44"/>
      <w:szCs w:val="44"/>
    </w:rPr>
  </w:style>
  <w:style w:type="paragraph" w:customStyle="1" w:styleId="1134">
    <w:name w:val="博士论文-图名表名"/>
    <w:basedOn w:val="1"/>
    <w:qFormat/>
    <w:uiPriority w:val="0"/>
    <w:pPr>
      <w:adjustRightInd w:val="0"/>
      <w:snapToGrid w:val="0"/>
      <w:spacing w:afterLines="50"/>
      <w:jc w:val="center"/>
    </w:pPr>
    <w:rPr>
      <w:kern w:val="0"/>
      <w:sz w:val="24"/>
      <w:szCs w:val="24"/>
    </w:rPr>
  </w:style>
  <w:style w:type="paragraph" w:customStyle="1" w:styleId="1135">
    <w:name w:val="修订11"/>
    <w:qFormat/>
    <w:uiPriority w:val="99"/>
    <w:rPr>
      <w:rFonts w:ascii="Tahoma" w:hAnsi="Tahoma" w:eastAsia="..ì." w:cs="Tahoma"/>
      <w:kern w:val="2"/>
      <w:sz w:val="21"/>
      <w:szCs w:val="21"/>
      <w:lang w:val="en-US" w:eastAsia="zh-CN" w:bidi="ar-SA"/>
    </w:rPr>
  </w:style>
  <w:style w:type="paragraph" w:customStyle="1" w:styleId="1136">
    <w:name w:val="Char Char Char Char Char Char Char Char Char"/>
    <w:basedOn w:val="1"/>
    <w:qFormat/>
    <w:uiPriority w:val="0"/>
    <w:pPr>
      <w:widowControl/>
      <w:spacing w:after="160" w:line="240" w:lineRule="exact"/>
      <w:ind w:firstLine="480" w:firstLineChars="200"/>
      <w:jc w:val="left"/>
    </w:pPr>
    <w:rPr>
      <w:rFonts w:ascii="Tahoma" w:hAnsi="Tahoma" w:eastAsia="仿宋_GB2312" w:cs="Tahoma"/>
      <w:sz w:val="28"/>
      <w:szCs w:val="28"/>
    </w:rPr>
  </w:style>
  <w:style w:type="paragraph" w:customStyle="1" w:styleId="1137">
    <w:name w:val="正文小四缩"/>
    <w:basedOn w:val="1138"/>
    <w:qFormat/>
    <w:uiPriority w:val="0"/>
    <w:pPr>
      <w:snapToGrid w:val="0"/>
      <w:spacing w:before="0" w:line="520" w:lineRule="exact"/>
      <w:ind w:firstLine="538" w:firstLineChars="192"/>
    </w:pPr>
    <w:rPr>
      <w:rFonts w:ascii="华文细黑" w:hAnsi="..ì." w:eastAsia="华文细黑" w:cs="华文细黑"/>
    </w:rPr>
  </w:style>
  <w:style w:type="paragraph" w:customStyle="1" w:styleId="1138">
    <w:name w:val="正文小四"/>
    <w:basedOn w:val="1"/>
    <w:qFormat/>
    <w:uiPriority w:val="0"/>
    <w:pPr>
      <w:adjustRightInd w:val="0"/>
      <w:spacing w:before="120" w:line="420" w:lineRule="atLeast"/>
      <w:ind w:firstLine="595"/>
      <w:textAlignment w:val="baseline"/>
    </w:pPr>
    <w:rPr>
      <w:rFonts w:ascii="Tahoma" w:hAnsi="Tahoma" w:eastAsia="仿宋_GB2312" w:cs="Tahoma"/>
      <w:kern w:val="0"/>
      <w:sz w:val="28"/>
      <w:szCs w:val="28"/>
    </w:rPr>
  </w:style>
  <w:style w:type="paragraph" w:customStyle="1" w:styleId="1139">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1140">
    <w:name w:val="普通 (Web)"/>
    <w:basedOn w:val="1"/>
    <w:qFormat/>
    <w:uiPriority w:val="0"/>
    <w:pPr>
      <w:widowControl/>
      <w:spacing w:before="100" w:beforeAutospacing="1" w:after="100" w:afterAutospacing="1" w:line="260" w:lineRule="atLeast"/>
      <w:ind w:firstLine="200" w:firstLineChars="200"/>
      <w:jc w:val="left"/>
    </w:pPr>
    <w:rPr>
      <w:rFonts w:ascii="Verdana" w:hAnsi="Verdana" w:cs="Verdana"/>
      <w:kern w:val="0"/>
      <w:sz w:val="18"/>
      <w:szCs w:val="18"/>
    </w:rPr>
  </w:style>
  <w:style w:type="paragraph" w:customStyle="1" w:styleId="1141">
    <w:name w:val="xl109"/>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kern w:val="0"/>
      <w:sz w:val="24"/>
      <w:szCs w:val="24"/>
    </w:rPr>
  </w:style>
  <w:style w:type="paragraph" w:customStyle="1" w:styleId="1142">
    <w:name w:val="font18"/>
    <w:basedOn w:val="1"/>
    <w:qFormat/>
    <w:uiPriority w:val="0"/>
    <w:pPr>
      <w:widowControl/>
      <w:spacing w:before="100" w:beforeAutospacing="1" w:after="100" w:afterAutospacing="1"/>
      <w:jc w:val="left"/>
    </w:pPr>
    <w:rPr>
      <w:rFonts w:ascii="仿宋_GB2312" w:hAnsi="宋体" w:eastAsia="仿宋_GB2312" w:cs="仿宋_GB2312"/>
      <w:color w:val="000000"/>
      <w:kern w:val="0"/>
      <w:sz w:val="28"/>
      <w:szCs w:val="28"/>
    </w:rPr>
  </w:style>
  <w:style w:type="paragraph" w:customStyle="1" w:styleId="1143">
    <w:name w:val="样式 lcb二级标题 + 段前: 1 行 段后: 1 行"/>
    <w:basedOn w:val="908"/>
    <w:qFormat/>
    <w:uiPriority w:val="0"/>
    <w:pPr>
      <w:adjustRightInd w:val="0"/>
      <w:spacing w:beforeLines="50" w:afterLines="50"/>
    </w:pPr>
    <w:rPr>
      <w:szCs w:val="28"/>
    </w:rPr>
  </w:style>
  <w:style w:type="paragraph" w:customStyle="1" w:styleId="1144">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145">
    <w:name w:val="样式 标题 3 + 行距: 固定值 22 磅"/>
    <w:basedOn w:val="5"/>
    <w:next w:val="5"/>
    <w:qFormat/>
    <w:uiPriority w:val="0"/>
    <w:pPr>
      <w:keepNext/>
      <w:keepLines/>
      <w:widowControl/>
      <w:tabs>
        <w:tab w:val="left" w:pos="720"/>
        <w:tab w:val="left" w:pos="1271"/>
      </w:tabs>
      <w:adjustRightInd w:val="0"/>
      <w:spacing w:before="120" w:after="120" w:line="440" w:lineRule="exact"/>
      <w:jc w:val="left"/>
    </w:pPr>
    <w:rPr>
      <w:rFonts w:ascii="Times New Roman" w:eastAsia="黑体"/>
      <w:b/>
      <w:bCs/>
      <w:kern w:val="0"/>
      <w:sz w:val="28"/>
      <w:szCs w:val="28"/>
    </w:rPr>
  </w:style>
  <w:style w:type="paragraph" w:customStyle="1" w:styleId="1146">
    <w:name w:val="样式5"/>
    <w:basedOn w:val="1"/>
    <w:qFormat/>
    <w:uiPriority w:val="99"/>
    <w:pPr>
      <w:spacing w:line="480" w:lineRule="exact"/>
      <w:ind w:firstLine="510"/>
      <w:jc w:val="left"/>
    </w:pPr>
    <w:rPr>
      <w:rFonts w:ascii="华文细黑" w:hAnsi="Tahoma" w:eastAsia="华文细黑" w:cs="华文细黑"/>
      <w:sz w:val="28"/>
      <w:szCs w:val="28"/>
    </w:rPr>
  </w:style>
  <w:style w:type="paragraph" w:customStyle="1" w:styleId="1147">
    <w:name w:val="样式 bg正文首行缩进 + 宋体 小四"/>
    <w:basedOn w:val="45"/>
    <w:next w:val="75"/>
    <w:qFormat/>
    <w:uiPriority w:val="0"/>
    <w:pPr>
      <w:spacing w:after="120" w:line="480" w:lineRule="auto"/>
      <w:ind w:left="420" w:leftChars="200" w:firstLine="240" w:firstLineChars="100"/>
      <w:jc w:val="left"/>
    </w:pPr>
    <w:rPr>
      <w:rFonts w:cs="宋体"/>
      <w:sz w:val="24"/>
      <w:szCs w:val="24"/>
    </w:rPr>
  </w:style>
  <w:style w:type="paragraph" w:customStyle="1" w:styleId="1148">
    <w:name w:val="font23"/>
    <w:basedOn w:val="1"/>
    <w:qFormat/>
    <w:uiPriority w:val="0"/>
    <w:pPr>
      <w:widowControl/>
      <w:spacing w:before="100" w:beforeAutospacing="1" w:after="100" w:afterAutospacing="1"/>
      <w:jc w:val="left"/>
    </w:pPr>
    <w:rPr>
      <w:rFonts w:ascii="宋体" w:hAnsi="宋体" w:cs="宋体"/>
      <w:b/>
      <w:bCs/>
      <w:color w:val="000000"/>
      <w:kern w:val="0"/>
      <w:sz w:val="18"/>
      <w:szCs w:val="18"/>
    </w:rPr>
  </w:style>
  <w:style w:type="paragraph" w:customStyle="1" w:styleId="1149">
    <w:name w:val="xl148"/>
    <w:basedOn w:val="1"/>
    <w:qFormat/>
    <w:uiPriority w:val="0"/>
    <w:pPr>
      <w:widowControl/>
      <w:pBdr>
        <w:bottom w:val="single" w:color="auto" w:sz="4" w:space="0"/>
      </w:pBdr>
      <w:spacing w:before="100" w:beforeAutospacing="1" w:after="100" w:afterAutospacing="1"/>
      <w:jc w:val="left"/>
      <w:textAlignment w:val="center"/>
    </w:pPr>
    <w:rPr>
      <w:rFonts w:ascii="仿宋_GB2312" w:hAnsi="宋体" w:eastAsia="仿宋_GB2312" w:cs="仿宋_GB2312"/>
      <w:color w:val="000000"/>
      <w:kern w:val="0"/>
      <w:sz w:val="24"/>
      <w:szCs w:val="24"/>
    </w:rPr>
  </w:style>
  <w:style w:type="paragraph" w:customStyle="1" w:styleId="1150">
    <w:name w:val="图表标题"/>
    <w:basedOn w:val="1"/>
    <w:next w:val="1"/>
    <w:qFormat/>
    <w:uiPriority w:val="0"/>
    <w:pPr>
      <w:widowControl/>
      <w:spacing w:line="480" w:lineRule="exact"/>
      <w:ind w:firstLine="200" w:firstLineChars="200"/>
      <w:jc w:val="center"/>
    </w:pPr>
    <w:rPr>
      <w:rFonts w:eastAsia="黑体"/>
      <w:kern w:val="0"/>
      <w:sz w:val="28"/>
      <w:szCs w:val="28"/>
    </w:rPr>
  </w:style>
  <w:style w:type="paragraph" w:customStyle="1" w:styleId="1151">
    <w:name w:val="正文文字缩进 3"/>
    <w:basedOn w:val="1"/>
    <w:next w:val="1"/>
    <w:qFormat/>
    <w:uiPriority w:val="99"/>
    <w:pPr>
      <w:spacing w:line="500" w:lineRule="exact"/>
      <w:ind w:firstLine="560"/>
    </w:pPr>
    <w:rPr>
      <w:rFonts w:ascii="..ì." w:hAnsi="Tahoma" w:eastAsia="仿宋_GB2312" w:cs="..ì."/>
      <w:color w:val="000000"/>
      <w:sz w:val="28"/>
      <w:szCs w:val="28"/>
    </w:rPr>
  </w:style>
  <w:style w:type="paragraph" w:customStyle="1" w:styleId="1152">
    <w:name w:val="bg内容提要标题"/>
    <w:basedOn w:val="1"/>
    <w:qFormat/>
    <w:uiPriority w:val="0"/>
    <w:pPr>
      <w:spacing w:line="480" w:lineRule="exact"/>
      <w:ind w:firstLine="200" w:firstLineChars="200"/>
      <w:jc w:val="center"/>
    </w:pPr>
    <w:rPr>
      <w:rFonts w:ascii="Arial" w:hAnsi="Arial" w:eastAsia="黑体" w:cs="Arial"/>
      <w:kern w:val="0"/>
      <w:sz w:val="30"/>
      <w:szCs w:val="30"/>
    </w:rPr>
  </w:style>
  <w:style w:type="paragraph" w:customStyle="1" w:styleId="1153">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华文细黑" w:hAnsi="..ì." w:eastAsia="华文细黑" w:cs="华文细黑"/>
      <w:color w:val="000000"/>
      <w:kern w:val="0"/>
      <w:sz w:val="20"/>
    </w:rPr>
  </w:style>
  <w:style w:type="paragraph" w:customStyle="1" w:styleId="1154">
    <w:name w:val="xl11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kern w:val="0"/>
      <w:sz w:val="24"/>
      <w:szCs w:val="24"/>
    </w:rPr>
  </w:style>
  <w:style w:type="paragraph" w:customStyle="1" w:styleId="1155">
    <w:name w:val="xl113"/>
    <w:basedOn w:val="1"/>
    <w:qFormat/>
    <w:uiPriority w:val="0"/>
    <w:pPr>
      <w:widowControl/>
      <w:pBdr>
        <w:left w:val="single" w:color="auto" w:sz="8" w:space="0"/>
        <w:bottom w:val="single" w:color="auto" w:sz="4" w:space="0"/>
      </w:pBdr>
      <w:spacing w:before="100" w:beforeAutospacing="1" w:after="100" w:afterAutospacing="1"/>
      <w:jc w:val="center"/>
      <w:textAlignment w:val="center"/>
    </w:pPr>
    <w:rPr>
      <w:rFonts w:ascii="Tahoma" w:hAnsi="Tahoma" w:eastAsia="仿宋_GB2312" w:cs="Tahoma"/>
      <w:kern w:val="0"/>
      <w:sz w:val="28"/>
      <w:szCs w:val="28"/>
    </w:rPr>
  </w:style>
  <w:style w:type="paragraph" w:customStyle="1" w:styleId="1156">
    <w:name w:val="xl9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华文细黑" w:hAnsi="..ì." w:eastAsia="华文细黑" w:cs="华文细黑"/>
      <w:color w:val="000000"/>
      <w:kern w:val="0"/>
      <w:sz w:val="24"/>
      <w:szCs w:val="24"/>
    </w:rPr>
  </w:style>
  <w:style w:type="paragraph" w:customStyle="1" w:styleId="1157">
    <w:name w:val="xl22"/>
    <w:basedOn w:val="1"/>
    <w:qFormat/>
    <w:uiPriority w:val="0"/>
    <w:pPr>
      <w:widowControl/>
      <w:pBdr>
        <w:bottom w:val="single" w:color="auto" w:sz="4" w:space="0"/>
        <w:right w:val="single" w:color="auto" w:sz="4" w:space="0"/>
      </w:pBdr>
      <w:spacing w:before="100" w:beforeAutospacing="1" w:after="100" w:afterAutospacing="1"/>
      <w:jc w:val="center"/>
    </w:pPr>
    <w:rPr>
      <w:rFonts w:ascii="..ì." w:hAnsi="..ì." w:eastAsia="仿宋_GB2312" w:cs="..ì."/>
      <w:kern w:val="0"/>
      <w:sz w:val="24"/>
      <w:szCs w:val="24"/>
    </w:rPr>
  </w:style>
  <w:style w:type="paragraph" w:customStyle="1" w:styleId="1158">
    <w:name w:val="xl107"/>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FF0000"/>
      <w:kern w:val="0"/>
      <w:sz w:val="24"/>
      <w:szCs w:val="24"/>
    </w:rPr>
  </w:style>
  <w:style w:type="paragraph" w:customStyle="1" w:styleId="1159">
    <w:name w:val="_Style 45"/>
    <w:basedOn w:val="1"/>
    <w:next w:val="1"/>
    <w:qFormat/>
    <w:uiPriority w:val="0"/>
    <w:pPr>
      <w:spacing w:after="120" w:line="480" w:lineRule="auto"/>
    </w:pPr>
    <w:rPr>
      <w:rFonts w:ascii="Tahoma" w:hAnsi="Tahoma" w:eastAsia="仿宋_GB2312" w:cs="Tahoma"/>
      <w:sz w:val="28"/>
      <w:szCs w:val="28"/>
    </w:rPr>
  </w:style>
  <w:style w:type="paragraph" w:customStyle="1" w:styleId="1160">
    <w:name w:val="Char Char Char Char Char Char Char Char Char Char Char Char Char Char Char Char Char Char Char Char Char11"/>
    <w:basedOn w:val="1"/>
    <w:qFormat/>
    <w:uiPriority w:val="0"/>
    <w:rPr>
      <w:rFonts w:ascii="Tahoma" w:hAnsi="Tahoma" w:eastAsia="仿宋_GB2312" w:cs="Tahoma"/>
      <w:sz w:val="28"/>
      <w:szCs w:val="28"/>
    </w:rPr>
  </w:style>
  <w:style w:type="paragraph" w:customStyle="1" w:styleId="1161">
    <w:name w:val="0"/>
    <w:basedOn w:val="1"/>
    <w:qFormat/>
    <w:uiPriority w:val="0"/>
    <w:pPr>
      <w:widowControl/>
      <w:snapToGrid w:val="0"/>
      <w:spacing w:line="480" w:lineRule="atLeast"/>
      <w:ind w:firstLine="200" w:firstLineChars="200"/>
    </w:pPr>
    <w:rPr>
      <w:kern w:val="0"/>
      <w:sz w:val="28"/>
      <w:szCs w:val="28"/>
    </w:rPr>
  </w:style>
  <w:style w:type="paragraph" w:customStyle="1" w:styleId="1162">
    <w:name w:val="xl11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仿宋_GB2312" w:hAnsi="宋体" w:eastAsia="仿宋_GB2312" w:cs="仿宋_GB2312"/>
      <w:color w:val="000000"/>
      <w:kern w:val="0"/>
      <w:sz w:val="28"/>
      <w:szCs w:val="28"/>
    </w:rPr>
  </w:style>
  <w:style w:type="paragraph" w:customStyle="1" w:styleId="1163">
    <w:name w:val="xl138"/>
    <w:basedOn w:val="1"/>
    <w:qFormat/>
    <w:uiPriority w:val="0"/>
    <w:pPr>
      <w:widowControl/>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164">
    <w:name w:val="xl111"/>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165">
    <w:name w:val="xl2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ì." w:hAnsi="..ì." w:eastAsia="仿宋_GB2312" w:cs="..ì."/>
      <w:kern w:val="0"/>
      <w:sz w:val="24"/>
      <w:szCs w:val="24"/>
    </w:rPr>
  </w:style>
  <w:style w:type="paragraph" w:customStyle="1" w:styleId="1166">
    <w:name w:val="样式 宋体 小四 左侧:  0.99 厘米"/>
    <w:basedOn w:val="1"/>
    <w:qFormat/>
    <w:uiPriority w:val="0"/>
    <w:pPr>
      <w:spacing w:line="360" w:lineRule="exact"/>
      <w:ind w:firstLine="200" w:firstLineChars="200"/>
      <w:jc w:val="left"/>
    </w:pPr>
    <w:rPr>
      <w:rFonts w:ascii="宋体" w:hAnsi="宋体" w:cs="宋体"/>
      <w:kern w:val="0"/>
      <w:sz w:val="24"/>
      <w:szCs w:val="24"/>
    </w:rPr>
  </w:style>
  <w:style w:type="paragraph" w:customStyle="1" w:styleId="1167">
    <w:name w:val="s4"/>
    <w:basedOn w:val="1"/>
    <w:next w:val="64"/>
    <w:qFormat/>
    <w:uiPriority w:val="0"/>
    <w:pPr>
      <w:spacing w:line="240" w:lineRule="atLeast"/>
      <w:jc w:val="center"/>
    </w:pPr>
    <w:rPr>
      <w:rFonts w:ascii="Tahoma" w:hAnsi="Tahoma" w:eastAsia="仿宋_GB2312" w:cs="Tahoma"/>
      <w:position w:val="-30"/>
      <w:sz w:val="24"/>
      <w:szCs w:val="24"/>
    </w:rPr>
  </w:style>
  <w:style w:type="paragraph" w:customStyle="1" w:styleId="1168">
    <w:name w:val="bg关键词"/>
    <w:basedOn w:val="1152"/>
    <w:qFormat/>
    <w:uiPriority w:val="0"/>
  </w:style>
  <w:style w:type="paragraph" w:customStyle="1" w:styleId="1169">
    <w:name w:val="正文（缩进2）"/>
    <w:basedOn w:val="1"/>
    <w:qFormat/>
    <w:uiPriority w:val="0"/>
    <w:pPr>
      <w:spacing w:line="312" w:lineRule="atLeast"/>
      <w:ind w:firstLine="200" w:firstLineChars="200"/>
    </w:pPr>
    <w:rPr>
      <w:rFonts w:ascii="Tahoma" w:hAnsi="Tahoma" w:eastAsia="仿宋_GB2312" w:cs="Tahoma"/>
      <w:sz w:val="28"/>
      <w:szCs w:val="28"/>
    </w:rPr>
  </w:style>
  <w:style w:type="paragraph" w:customStyle="1" w:styleId="1170">
    <w:name w:val="样式20"/>
    <w:basedOn w:val="1"/>
    <w:qFormat/>
    <w:uiPriority w:val="0"/>
    <w:pPr>
      <w:spacing w:line="500" w:lineRule="exact"/>
      <w:ind w:firstLine="480" w:firstLineChars="200"/>
      <w:outlineLvl w:val="0"/>
    </w:pPr>
    <w:rPr>
      <w:rFonts w:ascii="宋体" w:hAnsi="宋体" w:cs="宋体"/>
      <w:sz w:val="24"/>
      <w:szCs w:val="24"/>
    </w:rPr>
  </w:style>
  <w:style w:type="paragraph" w:customStyle="1" w:styleId="1171">
    <w:name w:val="正文文本缩进1"/>
    <w:basedOn w:val="1"/>
    <w:qFormat/>
    <w:uiPriority w:val="0"/>
    <w:pPr>
      <w:spacing w:line="480" w:lineRule="exact"/>
      <w:ind w:firstLine="560" w:firstLineChars="200"/>
      <w:jc w:val="left"/>
    </w:pPr>
    <w:rPr>
      <w:kern w:val="0"/>
      <w:sz w:val="28"/>
      <w:szCs w:val="28"/>
    </w:rPr>
  </w:style>
  <w:style w:type="paragraph" w:customStyle="1" w:styleId="1172">
    <w:name w:val="p15"/>
    <w:basedOn w:val="1"/>
    <w:qFormat/>
    <w:uiPriority w:val="0"/>
    <w:pPr>
      <w:widowControl/>
    </w:pPr>
    <w:rPr>
      <w:rFonts w:ascii="..ì." w:hAnsi="..ì." w:eastAsia="仿宋_GB2312" w:cs="..ì."/>
      <w:kern w:val="0"/>
      <w:sz w:val="28"/>
      <w:szCs w:val="28"/>
    </w:rPr>
  </w:style>
  <w:style w:type="paragraph" w:customStyle="1" w:styleId="1173">
    <w:name w:val="_Style 78"/>
    <w:basedOn w:val="1"/>
    <w:next w:val="1"/>
    <w:qFormat/>
    <w:uiPriority w:val="0"/>
    <w:pPr>
      <w:spacing w:after="120" w:line="480" w:lineRule="auto"/>
    </w:pPr>
    <w:rPr>
      <w:rFonts w:ascii="Tahoma" w:hAnsi="Tahoma" w:eastAsia="仿宋_GB2312" w:cs="Tahoma"/>
      <w:sz w:val="28"/>
      <w:szCs w:val="28"/>
    </w:rPr>
  </w:style>
  <w:style w:type="paragraph" w:customStyle="1" w:styleId="1174">
    <w:name w:val="正文文字缩进 2"/>
    <w:basedOn w:val="1"/>
    <w:next w:val="1"/>
    <w:qFormat/>
    <w:uiPriority w:val="0"/>
    <w:pPr>
      <w:widowControl/>
      <w:spacing w:line="480" w:lineRule="auto"/>
      <w:ind w:left="-587" w:firstLine="585"/>
    </w:pPr>
    <w:rPr>
      <w:rFonts w:ascii="Tahoma" w:hAnsi="Tahoma" w:eastAsia="仿宋_GB2312" w:cs="Tahoma"/>
      <w:color w:val="000000"/>
      <w:sz w:val="28"/>
      <w:szCs w:val="28"/>
    </w:rPr>
  </w:style>
  <w:style w:type="paragraph" w:customStyle="1" w:styleId="1175">
    <w:name w:val="font17"/>
    <w:basedOn w:val="1"/>
    <w:qFormat/>
    <w:uiPriority w:val="0"/>
    <w:pPr>
      <w:widowControl/>
      <w:spacing w:before="100" w:beforeAutospacing="1" w:after="100" w:afterAutospacing="1"/>
      <w:jc w:val="left"/>
    </w:pPr>
    <w:rPr>
      <w:rFonts w:ascii="仿宋_GB2312" w:hAnsi="宋体" w:eastAsia="仿宋_GB2312" w:cs="仿宋_GB2312"/>
      <w:color w:val="000000"/>
      <w:kern w:val="0"/>
      <w:sz w:val="22"/>
      <w:szCs w:val="22"/>
    </w:rPr>
  </w:style>
  <w:style w:type="paragraph" w:customStyle="1" w:styleId="1176">
    <w:name w:val="样式 标题 4 + Times New Roman 黑色 段前: 6 磅 段后: 6 磅 行距: 单倍行距"/>
    <w:basedOn w:val="6"/>
    <w:qFormat/>
    <w:uiPriority w:val="0"/>
    <w:pPr>
      <w:tabs>
        <w:tab w:val="left" w:pos="1331"/>
      </w:tabs>
      <w:adjustRightInd/>
      <w:snapToGrid/>
      <w:spacing w:before="120" w:after="120" w:line="240" w:lineRule="auto"/>
      <w:ind w:right="-334" w:rightChars="-139" w:firstLine="0" w:firstLineChars="0"/>
      <w:jc w:val="center"/>
    </w:pPr>
    <w:rPr>
      <w:rFonts w:ascii="Times New Roman" w:hAnsi="Times New Roman" w:eastAsia="黑体"/>
      <w:bCs/>
      <w:color w:val="000000"/>
      <w:sz w:val="28"/>
      <w:szCs w:val="28"/>
    </w:rPr>
  </w:style>
  <w:style w:type="paragraph" w:customStyle="1" w:styleId="1177">
    <w:name w:val="样式18"/>
    <w:basedOn w:val="5"/>
    <w:qFormat/>
    <w:uiPriority w:val="0"/>
    <w:pPr>
      <w:keepNext/>
      <w:keepLines/>
      <w:tabs>
        <w:tab w:val="left" w:pos="0"/>
      </w:tabs>
      <w:spacing w:before="340" w:after="330" w:line="576" w:lineRule="auto"/>
      <w:jc w:val="center"/>
    </w:pPr>
    <w:rPr>
      <w:rFonts w:ascii="宋体" w:hAnsi="宋体" w:eastAsia="黑体" w:cs="宋体"/>
      <w:kern w:val="0"/>
      <w:sz w:val="32"/>
      <w:szCs w:val="32"/>
    </w:rPr>
  </w:style>
  <w:style w:type="paragraph" w:customStyle="1" w:styleId="1178">
    <w:name w:val="Char Char Char Char Char Char Char Char Char1"/>
    <w:basedOn w:val="1"/>
    <w:qFormat/>
    <w:uiPriority w:val="0"/>
    <w:pPr>
      <w:widowControl/>
      <w:spacing w:after="160" w:line="240" w:lineRule="exact"/>
      <w:ind w:firstLine="480" w:firstLineChars="200"/>
      <w:jc w:val="left"/>
    </w:pPr>
    <w:rPr>
      <w:rFonts w:ascii="Tahoma" w:hAnsi="Tahoma" w:eastAsia="仿宋_GB2312" w:cs="Tahoma"/>
      <w:sz w:val="28"/>
      <w:szCs w:val="28"/>
    </w:rPr>
  </w:style>
  <w:style w:type="paragraph" w:customStyle="1" w:styleId="1179">
    <w:name w:val="正文文字 2"/>
    <w:basedOn w:val="1"/>
    <w:qFormat/>
    <w:uiPriority w:val="0"/>
    <w:pPr>
      <w:spacing w:line="280" w:lineRule="exact"/>
      <w:ind w:firstLine="200" w:firstLineChars="200"/>
      <w:jc w:val="left"/>
    </w:pPr>
    <w:rPr>
      <w:rFonts w:ascii="宋体" w:hAnsi="宋体" w:cs="宋体"/>
      <w:kern w:val="0"/>
      <w:sz w:val="28"/>
      <w:szCs w:val="28"/>
    </w:rPr>
  </w:style>
  <w:style w:type="paragraph" w:customStyle="1" w:styleId="1180">
    <w:name w:val="xl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Arial Unicode MS"/>
      <w:kern w:val="0"/>
      <w:sz w:val="20"/>
    </w:rPr>
  </w:style>
  <w:style w:type="paragraph" w:customStyle="1" w:styleId="1181">
    <w:name w:val="样式 bg表头 + 行距: 固定值 20 磅"/>
    <w:basedOn w:val="1182"/>
    <w:qFormat/>
    <w:uiPriority w:val="0"/>
    <w:pPr>
      <w:spacing w:line="240" w:lineRule="auto"/>
    </w:pPr>
  </w:style>
  <w:style w:type="paragraph" w:customStyle="1" w:styleId="1182">
    <w:name w:val="bg表头"/>
    <w:basedOn w:val="1183"/>
    <w:next w:val="538"/>
    <w:qFormat/>
    <w:uiPriority w:val="0"/>
    <w:rPr>
      <w:rFonts w:eastAsia="黑体"/>
    </w:rPr>
  </w:style>
  <w:style w:type="paragraph" w:customStyle="1" w:styleId="1183">
    <w:name w:val="bg表内容"/>
    <w:basedOn w:val="1"/>
    <w:next w:val="538"/>
    <w:qFormat/>
    <w:uiPriority w:val="0"/>
    <w:pPr>
      <w:spacing w:line="480" w:lineRule="exact"/>
      <w:ind w:left="-113" w:right="-113" w:firstLine="200" w:firstLineChars="200"/>
      <w:jc w:val="center"/>
    </w:pPr>
    <w:rPr>
      <w:kern w:val="0"/>
      <w:sz w:val="18"/>
      <w:szCs w:val="18"/>
    </w:rPr>
  </w:style>
  <w:style w:type="paragraph" w:customStyle="1" w:styleId="1184">
    <w:name w:val="xl105"/>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185">
    <w:name w:val="正文文本 2 Char Char"/>
    <w:basedOn w:val="1"/>
    <w:qFormat/>
    <w:uiPriority w:val="0"/>
    <w:rPr>
      <w:rFonts w:ascii="????" w:eastAsia="Times New Roman" w:cs="????"/>
      <w:sz w:val="28"/>
      <w:szCs w:val="28"/>
    </w:rPr>
  </w:style>
  <w:style w:type="paragraph" w:customStyle="1" w:styleId="1186">
    <w:name w:val="Char Char28"/>
    <w:basedOn w:val="1"/>
    <w:qFormat/>
    <w:uiPriority w:val="0"/>
    <w:rPr>
      <w:rFonts w:ascii="Tahoma" w:hAnsi="Tahoma" w:eastAsia="仿宋_GB2312" w:cs="Tahoma"/>
      <w:sz w:val="24"/>
      <w:szCs w:val="24"/>
    </w:rPr>
  </w:style>
  <w:style w:type="paragraph" w:customStyle="1" w:styleId="1187">
    <w:name w:val="Char Char Char Char Char Char Char Char Char Char Char Char Char Char Char Char Char Char Char Char Char1"/>
    <w:basedOn w:val="1"/>
    <w:qFormat/>
    <w:uiPriority w:val="0"/>
    <w:rPr>
      <w:rFonts w:ascii="Tahoma" w:hAnsi="Tahoma" w:eastAsia="仿宋_GB2312" w:cs="Tahoma"/>
      <w:sz w:val="28"/>
      <w:szCs w:val="28"/>
    </w:rPr>
  </w:style>
  <w:style w:type="paragraph" w:customStyle="1" w:styleId="1188">
    <w:name w:val="xl11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仿宋_GB2312" w:hAnsi="宋体" w:eastAsia="仿宋_GB2312" w:cs="仿宋_GB2312"/>
      <w:kern w:val="0"/>
      <w:sz w:val="24"/>
      <w:szCs w:val="24"/>
    </w:rPr>
  </w:style>
  <w:style w:type="paragraph" w:customStyle="1" w:styleId="1189">
    <w:name w:val="Char Char Char Char Char Char Char Char Char Char Char Char Char Char Char Char Char Char Char Char Char2"/>
    <w:basedOn w:val="1"/>
    <w:qFormat/>
    <w:uiPriority w:val="0"/>
    <w:rPr>
      <w:rFonts w:ascii="Tahoma" w:hAnsi="Tahoma" w:eastAsia="仿宋_GB2312" w:cs="Tahoma"/>
      <w:sz w:val="28"/>
      <w:szCs w:val="28"/>
    </w:rPr>
  </w:style>
  <w:style w:type="paragraph" w:customStyle="1" w:styleId="1190">
    <w:name w:val="5、正文"/>
    <w:basedOn w:val="41"/>
    <w:qFormat/>
    <w:uiPriority w:val="0"/>
    <w:pPr>
      <w:spacing w:line="360" w:lineRule="auto"/>
      <w:ind w:firstLine="510"/>
      <w:jc w:val="left"/>
    </w:pPr>
    <w:rPr>
      <w:rFonts w:ascii="Tahoma" w:hAnsi="Tahoma" w:cs="Tahoma"/>
      <w:sz w:val="24"/>
      <w:szCs w:val="24"/>
    </w:rPr>
  </w:style>
  <w:style w:type="paragraph" w:customStyle="1" w:styleId="1191">
    <w:name w:val="Char Char Char3"/>
    <w:basedOn w:val="1"/>
    <w:qFormat/>
    <w:uiPriority w:val="0"/>
    <w:pPr>
      <w:spacing w:line="360" w:lineRule="auto"/>
      <w:ind w:firstLine="200" w:firstLineChars="200"/>
    </w:pPr>
    <w:rPr>
      <w:rFonts w:ascii="..ì." w:hAnsi="..ì." w:eastAsia="仿宋_GB2312" w:cs="..ì."/>
      <w:sz w:val="24"/>
      <w:szCs w:val="24"/>
    </w:rPr>
  </w:style>
  <w:style w:type="paragraph" w:customStyle="1" w:styleId="1192">
    <w:name w:val="图注"/>
    <w:basedOn w:val="1"/>
    <w:qFormat/>
    <w:uiPriority w:val="0"/>
    <w:pPr>
      <w:autoSpaceDE w:val="0"/>
      <w:autoSpaceDN w:val="0"/>
      <w:adjustRightInd w:val="0"/>
      <w:spacing w:line="360" w:lineRule="auto"/>
      <w:jc w:val="left"/>
      <w:textAlignment w:val="center"/>
    </w:pPr>
    <w:rPr>
      <w:rFonts w:ascii="方正黑体_GBK" w:eastAsia="方正黑体_GBK" w:cs="方正黑体_GBK"/>
      <w:color w:val="000000"/>
      <w:kern w:val="0"/>
      <w:sz w:val="16"/>
      <w:szCs w:val="16"/>
      <w:lang w:val="zh-CN"/>
    </w:rPr>
  </w:style>
  <w:style w:type="paragraph" w:customStyle="1" w:styleId="1193">
    <w:name w:val="font1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94">
    <w:name w:val="样式 博士论文正文 + 首行缩进:  0 字符"/>
    <w:basedOn w:val="831"/>
    <w:qFormat/>
    <w:uiPriority w:val="0"/>
  </w:style>
  <w:style w:type="paragraph" w:customStyle="1" w:styleId="1195">
    <w:name w:val="xl11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kern w:val="0"/>
      <w:sz w:val="24"/>
      <w:szCs w:val="24"/>
    </w:rPr>
  </w:style>
  <w:style w:type="paragraph" w:customStyle="1" w:styleId="1196">
    <w:name w:val="Char1 Char Char Char Char Char Char"/>
    <w:basedOn w:val="1"/>
    <w:qFormat/>
    <w:uiPriority w:val="0"/>
    <w:pPr>
      <w:jc w:val="left"/>
    </w:pPr>
    <w:rPr>
      <w:kern w:val="0"/>
      <w:sz w:val="24"/>
      <w:szCs w:val="24"/>
    </w:rPr>
  </w:style>
  <w:style w:type="paragraph" w:customStyle="1" w:styleId="1197">
    <w:name w:val="xl10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kern w:val="0"/>
      <w:sz w:val="24"/>
      <w:szCs w:val="24"/>
    </w:rPr>
  </w:style>
  <w:style w:type="paragraph" w:customStyle="1" w:styleId="1198">
    <w:name w:val="xl106"/>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199">
    <w:name w:val="样式 bgbt3条标题 + 小四 首行缩进:  0 厘米"/>
    <w:basedOn w:val="1200"/>
    <w:qFormat/>
    <w:uiPriority w:val="0"/>
    <w:pPr>
      <w:ind w:firstLine="0"/>
    </w:pPr>
    <w:rPr>
      <w:sz w:val="30"/>
      <w:szCs w:val="30"/>
    </w:rPr>
  </w:style>
  <w:style w:type="paragraph" w:customStyle="1" w:styleId="1200">
    <w:name w:val="bgbt3条标题"/>
    <w:basedOn w:val="1"/>
    <w:next w:val="538"/>
    <w:qFormat/>
    <w:uiPriority w:val="0"/>
    <w:pPr>
      <w:spacing w:before="120" w:after="60"/>
      <w:ind w:firstLine="510"/>
      <w:jc w:val="left"/>
      <w:outlineLvl w:val="2"/>
    </w:pPr>
    <w:rPr>
      <w:rFonts w:eastAsia="黑体"/>
      <w:kern w:val="0"/>
      <w:sz w:val="28"/>
      <w:szCs w:val="28"/>
    </w:rPr>
  </w:style>
  <w:style w:type="paragraph" w:customStyle="1" w:styleId="1201">
    <w:name w:val="表格样式2"/>
    <w:basedOn w:val="1"/>
    <w:qFormat/>
    <w:uiPriority w:val="0"/>
    <w:pPr>
      <w:spacing w:line="400" w:lineRule="exact"/>
      <w:jc w:val="left"/>
    </w:pPr>
    <w:rPr>
      <w:rFonts w:ascii="宋体" w:hAnsi="宋体" w:cs="宋体"/>
      <w:kern w:val="0"/>
      <w:sz w:val="28"/>
      <w:szCs w:val="28"/>
    </w:rPr>
  </w:style>
  <w:style w:type="paragraph" w:customStyle="1" w:styleId="1202">
    <w:name w:val="标题 11"/>
    <w:basedOn w:val="1"/>
    <w:qFormat/>
    <w:uiPriority w:val="0"/>
    <w:pPr>
      <w:keepNext/>
      <w:keepLines/>
      <w:spacing w:before="340" w:after="330" w:line="576" w:lineRule="auto"/>
      <w:jc w:val="left"/>
    </w:pPr>
    <w:rPr>
      <w:b/>
      <w:bCs/>
      <w:kern w:val="44"/>
      <w:sz w:val="44"/>
      <w:szCs w:val="44"/>
    </w:rPr>
  </w:style>
  <w:style w:type="paragraph" w:customStyle="1" w:styleId="1203">
    <w:name w:val="bgbt1章标题"/>
    <w:basedOn w:val="1093"/>
    <w:next w:val="1093"/>
    <w:qFormat/>
    <w:uiPriority w:val="0"/>
    <w:pPr>
      <w:keepNext w:val="0"/>
      <w:keepLines w:val="0"/>
      <w:spacing w:before="120" w:after="120" w:line="240" w:lineRule="auto"/>
      <w:outlineLvl w:val="0"/>
    </w:pPr>
    <w:rPr>
      <w:rFonts w:ascii="Times New Roman" w:hAnsi="Times New Roman" w:cs="Times New Roman"/>
      <w:b w:val="0"/>
      <w:bCs w:val="0"/>
      <w:sz w:val="32"/>
      <w:szCs w:val="32"/>
    </w:rPr>
  </w:style>
  <w:style w:type="paragraph" w:customStyle="1" w:styleId="1204">
    <w:name w:val="xl152"/>
    <w:basedOn w:val="1"/>
    <w:qFormat/>
    <w:uiPriority w:val="0"/>
    <w:pPr>
      <w:widowControl/>
      <w:pBdr>
        <w:bottom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205">
    <w:name w:val="标6 Char Char Char Char Char Char Char Char Char Char Char"/>
    <w:basedOn w:val="8"/>
    <w:qFormat/>
    <w:uiPriority w:val="0"/>
    <w:pPr>
      <w:spacing w:before="0" w:after="0" w:line="320" w:lineRule="exact"/>
    </w:pPr>
    <w:rPr>
      <w:rFonts w:ascii="Times New Roman" w:hAnsi="Times New Roman" w:eastAsia="宋体"/>
      <w:b w:val="0"/>
      <w:bCs w:val="0"/>
      <w:kern w:val="0"/>
      <w:sz w:val="21"/>
      <w:szCs w:val="21"/>
    </w:rPr>
  </w:style>
  <w:style w:type="paragraph" w:customStyle="1" w:styleId="1206">
    <w:name w:val="5号字行距1.0首行缩2"/>
    <w:basedOn w:val="1"/>
    <w:qFormat/>
    <w:uiPriority w:val="0"/>
    <w:pPr>
      <w:ind w:firstLine="200" w:firstLineChars="200"/>
      <w:jc w:val="left"/>
    </w:pPr>
    <w:rPr>
      <w:kern w:val="0"/>
      <w:sz w:val="24"/>
      <w:szCs w:val="24"/>
    </w:rPr>
  </w:style>
  <w:style w:type="paragraph" w:customStyle="1" w:styleId="1207">
    <w:name w:val="li-4"/>
    <w:basedOn w:val="6"/>
    <w:qFormat/>
    <w:uiPriority w:val="0"/>
    <w:pPr>
      <w:adjustRightInd/>
      <w:snapToGrid/>
      <w:spacing w:before="120" w:line="540" w:lineRule="exact"/>
      <w:ind w:firstLine="0" w:firstLineChars="0"/>
    </w:pPr>
    <w:rPr>
      <w:rFonts w:eastAsia="黑体" w:cs="Arial"/>
      <w:b w:val="0"/>
      <w:sz w:val="28"/>
      <w:szCs w:val="28"/>
    </w:rPr>
  </w:style>
  <w:style w:type="paragraph" w:customStyle="1" w:styleId="1208">
    <w:name w:val="样式14"/>
    <w:basedOn w:val="3"/>
    <w:qFormat/>
    <w:uiPriority w:val="0"/>
    <w:pPr>
      <w:keepNext/>
      <w:keepLines/>
      <w:pageBreakBefore w:val="0"/>
      <w:spacing w:before="340" w:after="330" w:line="576" w:lineRule="auto"/>
      <w:jc w:val="center"/>
    </w:pPr>
    <w:rPr>
      <w:rFonts w:hAnsi="宋体"/>
      <w:color w:val="000000"/>
      <w:kern w:val="44"/>
      <w:sz w:val="36"/>
      <w:szCs w:val="36"/>
    </w:rPr>
  </w:style>
  <w:style w:type="paragraph" w:customStyle="1" w:styleId="1209">
    <w:name w:val="简单回函地址"/>
    <w:basedOn w:val="1"/>
    <w:qFormat/>
    <w:uiPriority w:val="0"/>
    <w:pPr>
      <w:jc w:val="left"/>
    </w:pPr>
    <w:rPr>
      <w:kern w:val="0"/>
      <w:sz w:val="24"/>
      <w:szCs w:val="24"/>
    </w:rPr>
  </w:style>
  <w:style w:type="paragraph" w:customStyle="1" w:styleId="1210">
    <w:name w:val="标题 41"/>
    <w:basedOn w:val="1"/>
    <w:qFormat/>
    <w:uiPriority w:val="0"/>
    <w:pPr>
      <w:keepNext/>
      <w:keepLines/>
      <w:spacing w:before="280" w:after="290" w:line="372" w:lineRule="auto"/>
      <w:ind w:firstLine="420" w:firstLineChars="200"/>
      <w:jc w:val="left"/>
    </w:pPr>
    <w:rPr>
      <w:rFonts w:ascii="Arial" w:hAnsi="Arial" w:eastAsia="黑体" w:cs="Arial"/>
      <w:b/>
      <w:bCs/>
      <w:kern w:val="0"/>
      <w:sz w:val="28"/>
      <w:szCs w:val="28"/>
    </w:rPr>
  </w:style>
  <w:style w:type="paragraph" w:customStyle="1" w:styleId="1211">
    <w:name w:val="li-正文(chushe)"/>
    <w:basedOn w:val="1"/>
    <w:qFormat/>
    <w:uiPriority w:val="0"/>
    <w:pPr>
      <w:spacing w:line="540" w:lineRule="exact"/>
    </w:pPr>
    <w:rPr>
      <w:sz w:val="28"/>
      <w:szCs w:val="28"/>
    </w:rPr>
  </w:style>
  <w:style w:type="paragraph" w:customStyle="1" w:styleId="1212">
    <w:name w:val="123"/>
    <w:qFormat/>
    <w:uiPriority w:val="0"/>
    <w:pPr>
      <w:spacing w:line="440" w:lineRule="atLeast"/>
    </w:pPr>
    <w:rPr>
      <w:rFonts w:ascii="宋体" w:hAnsi="宋体" w:eastAsia="宋体" w:cs="宋体"/>
      <w:sz w:val="32"/>
      <w:szCs w:val="32"/>
      <w:lang w:val="en-US" w:eastAsia="zh-CN" w:bidi="ar-SA"/>
    </w:rPr>
  </w:style>
  <w:style w:type="paragraph" w:customStyle="1" w:styleId="1213">
    <w:name w:val="xl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Arial Unicode MS"/>
      <w:kern w:val="0"/>
      <w:sz w:val="20"/>
    </w:rPr>
  </w:style>
  <w:style w:type="paragraph" w:customStyle="1" w:styleId="1214">
    <w:name w:val="-15章"/>
    <w:qFormat/>
    <w:uiPriority w:val="0"/>
    <w:pPr>
      <w:spacing w:line="960" w:lineRule="auto"/>
      <w:jc w:val="center"/>
    </w:pPr>
    <w:rPr>
      <w:rFonts w:ascii="宋体" w:hAnsi="Times New Roman" w:eastAsia="黑体" w:cs="宋体"/>
      <w:color w:val="000000"/>
      <w:kern w:val="2"/>
      <w:sz w:val="32"/>
      <w:szCs w:val="32"/>
      <w:lang w:val="en-US" w:eastAsia="zh-CN" w:bidi="ar-SA"/>
    </w:rPr>
  </w:style>
  <w:style w:type="paragraph" w:customStyle="1" w:styleId="1215">
    <w:name w:val="正文 1 Char"/>
    <w:basedOn w:val="1"/>
    <w:qFormat/>
    <w:uiPriority w:val="0"/>
    <w:pPr>
      <w:ind w:firstLine="200" w:firstLineChars="200"/>
      <w:jc w:val="left"/>
    </w:pPr>
    <w:rPr>
      <w:kern w:val="0"/>
      <w:sz w:val="24"/>
      <w:szCs w:val="24"/>
    </w:rPr>
  </w:style>
  <w:style w:type="paragraph" w:customStyle="1" w:styleId="1216">
    <w:name w:val="dash6b63-6587"/>
    <w:basedOn w:val="1"/>
    <w:qFormat/>
    <w:uiPriority w:val="99"/>
    <w:pPr>
      <w:widowControl/>
    </w:pPr>
    <w:rPr>
      <w:kern w:val="0"/>
      <w:sz w:val="20"/>
    </w:rPr>
  </w:style>
  <w:style w:type="paragraph" w:customStyle="1" w:styleId="1217">
    <w:name w:val="正文（首行缩进两字）"/>
    <w:basedOn w:val="1"/>
    <w:qFormat/>
    <w:uiPriority w:val="0"/>
    <w:pPr>
      <w:spacing w:line="480" w:lineRule="exact"/>
      <w:ind w:firstLine="420" w:firstLineChars="200"/>
      <w:jc w:val="left"/>
    </w:pPr>
    <w:rPr>
      <w:kern w:val="0"/>
      <w:sz w:val="28"/>
      <w:szCs w:val="28"/>
    </w:rPr>
  </w:style>
  <w:style w:type="paragraph" w:customStyle="1" w:styleId="1218">
    <w:name w:val="样式 说明 + 首行缩进:  2 字符"/>
    <w:basedOn w:val="1"/>
    <w:next w:val="1"/>
    <w:qFormat/>
    <w:uiPriority w:val="0"/>
    <w:pPr>
      <w:spacing w:line="480" w:lineRule="exact"/>
      <w:ind w:firstLine="200" w:firstLineChars="200"/>
    </w:pPr>
    <w:rPr>
      <w:rFonts w:ascii="仿宋_GB2312" w:eastAsia="仿宋_GB2312" w:cs="仿宋_GB2312"/>
      <w:sz w:val="28"/>
      <w:szCs w:val="28"/>
    </w:rPr>
  </w:style>
  <w:style w:type="paragraph" w:customStyle="1" w:styleId="1219">
    <w:name w:val="表格标题居中"/>
    <w:basedOn w:val="1"/>
    <w:qFormat/>
    <w:uiPriority w:val="0"/>
    <w:pPr>
      <w:jc w:val="center"/>
    </w:pPr>
    <w:rPr>
      <w:rFonts w:ascii="仿宋_GB2312" w:eastAsia="仿宋_GB2312" w:cs="仿宋_GB2312"/>
      <w:kern w:val="28"/>
      <w:sz w:val="28"/>
      <w:szCs w:val="28"/>
    </w:rPr>
  </w:style>
  <w:style w:type="paragraph" w:customStyle="1" w:styleId="1220">
    <w:name w:val="bgbt4款标题"/>
    <w:basedOn w:val="1"/>
    <w:next w:val="1"/>
    <w:qFormat/>
    <w:uiPriority w:val="0"/>
    <w:pPr>
      <w:spacing w:before="120" w:after="60" w:line="480" w:lineRule="exact"/>
      <w:ind w:firstLine="510" w:firstLineChars="200"/>
      <w:jc w:val="left"/>
      <w:outlineLvl w:val="3"/>
    </w:pPr>
    <w:rPr>
      <w:rFonts w:eastAsia="黑体"/>
      <w:kern w:val="0"/>
      <w:sz w:val="24"/>
      <w:szCs w:val="24"/>
    </w:rPr>
  </w:style>
  <w:style w:type="paragraph" w:customStyle="1" w:styleId="1221">
    <w:name w:val="正文文字 3"/>
    <w:basedOn w:val="1"/>
    <w:qFormat/>
    <w:uiPriority w:val="0"/>
    <w:pPr>
      <w:ind w:left="-57" w:right="-113"/>
      <w:jc w:val="center"/>
    </w:pPr>
    <w:rPr>
      <w:rFonts w:eastAsia="黑体"/>
      <w:kern w:val="0"/>
      <w:sz w:val="18"/>
      <w:szCs w:val="18"/>
    </w:rPr>
  </w:style>
  <w:style w:type="paragraph" w:customStyle="1" w:styleId="1222">
    <w:name w:val="111111"/>
    <w:basedOn w:val="1"/>
    <w:next w:val="1"/>
    <w:qFormat/>
    <w:uiPriority w:val="0"/>
    <w:pPr>
      <w:spacing w:line="360" w:lineRule="auto"/>
      <w:ind w:firstLine="200" w:firstLineChars="200"/>
    </w:pPr>
    <w:rPr>
      <w:sz w:val="24"/>
      <w:szCs w:val="24"/>
    </w:rPr>
  </w:style>
  <w:style w:type="paragraph" w:customStyle="1" w:styleId="1223">
    <w:name w:val="X节"/>
    <w:qFormat/>
    <w:uiPriority w:val="0"/>
    <w:pPr>
      <w:spacing w:beforeLines="50" w:afterLines="50"/>
      <w:ind w:firstLine="425"/>
      <w:jc w:val="center"/>
    </w:pPr>
    <w:rPr>
      <w:rFonts w:ascii="宋体" w:hAnsi="宋体" w:eastAsia="宋体" w:cs="宋体"/>
      <w:kern w:val="2"/>
      <w:sz w:val="32"/>
      <w:szCs w:val="32"/>
      <w:lang w:val="en-US" w:eastAsia="zh-CN" w:bidi="ar-SA"/>
    </w:rPr>
  </w:style>
  <w:style w:type="paragraph" w:customStyle="1" w:styleId="1224">
    <w:name w:val="样式 标题 3 + 黑体 四号 非加粗"/>
    <w:basedOn w:val="5"/>
    <w:qFormat/>
    <w:uiPriority w:val="0"/>
    <w:pPr>
      <w:keepNext/>
      <w:keepLines/>
      <w:tabs>
        <w:tab w:val="left" w:pos="0"/>
      </w:tabs>
      <w:spacing w:before="260" w:after="260" w:line="413" w:lineRule="auto"/>
    </w:pPr>
    <w:rPr>
      <w:rFonts w:hAnsi="黑体" w:eastAsia="黑体" w:cs="黑体"/>
      <w:sz w:val="28"/>
      <w:szCs w:val="28"/>
    </w:rPr>
  </w:style>
  <w:style w:type="paragraph" w:customStyle="1" w:styleId="1225">
    <w:name w:val="-16节"/>
    <w:basedOn w:val="1"/>
    <w:qFormat/>
    <w:uiPriority w:val="0"/>
    <w:pPr>
      <w:adjustRightInd w:val="0"/>
      <w:spacing w:line="720" w:lineRule="auto"/>
      <w:jc w:val="left"/>
      <w:textAlignment w:val="center"/>
    </w:pPr>
    <w:rPr>
      <w:rFonts w:ascii="黑体" w:eastAsia="黑体" w:cs="黑体"/>
      <w:color w:val="000000"/>
      <w:sz w:val="28"/>
      <w:szCs w:val="28"/>
    </w:rPr>
  </w:style>
  <w:style w:type="paragraph" w:customStyle="1" w:styleId="1226">
    <w:name w:val="标题 81"/>
    <w:basedOn w:val="1"/>
    <w:qFormat/>
    <w:uiPriority w:val="0"/>
    <w:pPr>
      <w:keepNext/>
      <w:keepLines/>
      <w:spacing w:after="60"/>
      <w:jc w:val="center"/>
    </w:pPr>
    <w:rPr>
      <w:rFonts w:ascii="Arial" w:hAnsi="Arial" w:eastAsia="黑体" w:cs="Arial"/>
      <w:kern w:val="0"/>
      <w:sz w:val="24"/>
      <w:szCs w:val="24"/>
    </w:rPr>
  </w:style>
  <w:style w:type="paragraph" w:customStyle="1" w:styleId="1227">
    <w:name w:val="日期1"/>
    <w:basedOn w:val="1"/>
    <w:next w:val="1"/>
    <w:qFormat/>
    <w:uiPriority w:val="0"/>
    <w:pPr>
      <w:adjustRightInd w:val="0"/>
      <w:spacing w:line="480" w:lineRule="exact"/>
      <w:ind w:firstLine="200" w:firstLineChars="200"/>
      <w:jc w:val="left"/>
      <w:textAlignment w:val="baseline"/>
    </w:pPr>
    <w:rPr>
      <w:rFonts w:ascii="仿宋_GB2312" w:eastAsia="仿宋_GB2312" w:cs="仿宋_GB2312"/>
      <w:kern w:val="0"/>
      <w:sz w:val="28"/>
      <w:szCs w:val="28"/>
    </w:rPr>
  </w:style>
  <w:style w:type="paragraph" w:customStyle="1" w:styleId="1228">
    <w:name w:val="正文文本1"/>
    <w:basedOn w:val="1"/>
    <w:qFormat/>
    <w:uiPriority w:val="0"/>
    <w:pPr>
      <w:jc w:val="center"/>
    </w:pPr>
    <w:rPr>
      <w:rFonts w:ascii="????" w:eastAsia="Times New Roman" w:cs="????"/>
      <w:sz w:val="28"/>
      <w:szCs w:val="28"/>
    </w:rPr>
  </w:style>
  <w:style w:type="paragraph" w:customStyle="1" w:styleId="1229">
    <w:name w:val="reader-word-layer reader-word-s2-16"/>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30">
    <w:name w:val="bg参考文献正文"/>
    <w:basedOn w:val="538"/>
    <w:qFormat/>
    <w:uiPriority w:val="0"/>
    <w:pPr>
      <w:spacing w:line="360" w:lineRule="auto"/>
      <w:ind w:firstLine="0"/>
      <w:jc w:val="left"/>
    </w:pPr>
    <w:rPr>
      <w:kern w:val="0"/>
      <w:sz w:val="21"/>
      <w:szCs w:val="21"/>
    </w:rPr>
  </w:style>
  <w:style w:type="paragraph" w:customStyle="1" w:styleId="1231">
    <w:name w:val="样式 正文文本 + 首行缩进:  2 字符"/>
    <w:basedOn w:val="31"/>
    <w:qFormat/>
    <w:uiPriority w:val="0"/>
    <w:pPr>
      <w:spacing w:line="360" w:lineRule="auto"/>
      <w:ind w:firstLine="560" w:firstLineChars="200"/>
    </w:pPr>
    <w:rPr>
      <w:rFonts w:ascii="仿宋_GB2312" w:hAnsi="仿宋_GB2312" w:cs="仿宋_GB2312"/>
      <w:b/>
      <w:bCs/>
      <w:szCs w:val="28"/>
    </w:rPr>
  </w:style>
  <w:style w:type="paragraph" w:customStyle="1" w:styleId="1232">
    <w:name w:val="xl12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仿宋_GB2312" w:hAnsi="宋体" w:eastAsia="仿宋_GB2312" w:cs="仿宋_GB2312"/>
      <w:color w:val="000000"/>
      <w:kern w:val="0"/>
      <w:sz w:val="24"/>
      <w:szCs w:val="24"/>
    </w:rPr>
  </w:style>
  <w:style w:type="paragraph" w:customStyle="1" w:styleId="1233">
    <w:name w:val="样式10"/>
    <w:basedOn w:val="1093"/>
    <w:qFormat/>
    <w:uiPriority w:val="0"/>
    <w:pPr>
      <w:keepNext w:val="0"/>
      <w:keepLines w:val="0"/>
      <w:spacing w:line="240" w:lineRule="auto"/>
    </w:pPr>
    <w:rPr>
      <w:rFonts w:ascii="Times New Roman" w:hAnsi="Times New Roman" w:cs="Times New Roman"/>
      <w:b w:val="0"/>
      <w:bCs w:val="0"/>
      <w:sz w:val="32"/>
      <w:szCs w:val="32"/>
    </w:rPr>
  </w:style>
  <w:style w:type="paragraph" w:customStyle="1" w:styleId="1234">
    <w:name w:val="3 Char"/>
    <w:basedOn w:val="1"/>
    <w:next w:val="64"/>
    <w:qFormat/>
    <w:uiPriority w:val="0"/>
    <w:pPr>
      <w:jc w:val="left"/>
    </w:pPr>
    <w:rPr>
      <w:sz w:val="28"/>
      <w:szCs w:val="28"/>
    </w:rPr>
  </w:style>
  <w:style w:type="paragraph" w:customStyle="1" w:styleId="1235">
    <w:name w:val="样式13"/>
    <w:basedOn w:val="3"/>
    <w:qFormat/>
    <w:uiPriority w:val="0"/>
    <w:pPr>
      <w:keepNext/>
      <w:keepLines/>
      <w:pageBreakBefore w:val="0"/>
      <w:spacing w:before="340" w:after="330" w:line="576" w:lineRule="auto"/>
      <w:jc w:val="center"/>
    </w:pPr>
    <w:rPr>
      <w:rFonts w:hAnsi="宋体"/>
      <w:color w:val="000000"/>
      <w:kern w:val="44"/>
      <w:sz w:val="44"/>
      <w:szCs w:val="44"/>
    </w:rPr>
  </w:style>
  <w:style w:type="paragraph" w:customStyle="1" w:styleId="1236">
    <w:name w:val="_ 正文格式"/>
    <w:basedOn w:val="1"/>
    <w:qFormat/>
    <w:uiPriority w:val="0"/>
    <w:pPr>
      <w:spacing w:line="480" w:lineRule="exact"/>
      <w:ind w:firstLine="200" w:firstLineChars="200"/>
    </w:pPr>
    <w:rPr>
      <w:rFonts w:eastAsia="仿宋_GB2312"/>
      <w:sz w:val="28"/>
      <w:szCs w:val="28"/>
    </w:rPr>
  </w:style>
  <w:style w:type="paragraph" w:customStyle="1" w:styleId="1237">
    <w:name w:val="索引 11"/>
    <w:basedOn w:val="1"/>
    <w:next w:val="1"/>
    <w:qFormat/>
    <w:uiPriority w:val="0"/>
    <w:pPr>
      <w:widowControl/>
      <w:spacing w:line="300" w:lineRule="exact"/>
      <w:ind w:left="1" w:leftChars="-38" w:hanging="107" w:hangingChars="51"/>
      <w:jc w:val="center"/>
    </w:pPr>
    <w:rPr>
      <w:kern w:val="0"/>
      <w:sz w:val="24"/>
      <w:szCs w:val="24"/>
    </w:rPr>
  </w:style>
  <w:style w:type="paragraph" w:customStyle="1" w:styleId="1238">
    <w:name w:val="样式 文本块 + 加粗 左侧:  0 厘米 右侧:  0.05 厘米 首行缩进:  1.77 字符"/>
    <w:basedOn w:val="36"/>
    <w:qFormat/>
    <w:uiPriority w:val="99"/>
    <w:pPr>
      <w:adjustRightInd/>
      <w:snapToGrid/>
      <w:spacing w:line="360" w:lineRule="auto"/>
      <w:ind w:left="0" w:right="30" w:firstLine="496" w:firstLineChars="177"/>
    </w:pPr>
    <w:rPr>
      <w:b/>
      <w:bCs/>
      <w:szCs w:val="28"/>
    </w:rPr>
  </w:style>
  <w:style w:type="paragraph" w:customStyle="1" w:styleId="1239">
    <w:name w:val="小节标题"/>
    <w:basedOn w:val="1"/>
    <w:next w:val="1"/>
    <w:qFormat/>
    <w:uiPriority w:val="0"/>
    <w:pPr>
      <w:widowControl/>
      <w:spacing w:before="175" w:after="102" w:line="2505" w:lineRule="atLeast"/>
      <w:ind w:firstLine="200" w:firstLineChars="200"/>
      <w:textAlignment w:val="baseline"/>
    </w:pPr>
    <w:rPr>
      <w:rFonts w:eastAsia="黑体"/>
      <w:color w:val="000000"/>
      <w:kern w:val="0"/>
      <w:sz w:val="28"/>
      <w:szCs w:val="28"/>
    </w:rPr>
  </w:style>
  <w:style w:type="paragraph" w:customStyle="1" w:styleId="1240">
    <w:name w:val="样式8"/>
    <w:basedOn w:val="538"/>
    <w:qFormat/>
    <w:uiPriority w:val="99"/>
    <w:pPr>
      <w:spacing w:line="400" w:lineRule="atLeast"/>
      <w:ind w:right="210" w:rightChars="100" w:firstLine="480" w:firstLineChars="200"/>
      <w:jc w:val="left"/>
    </w:pPr>
    <w:rPr>
      <w:rFonts w:ascii="宋体" w:hAnsi="宋体" w:cs="宋体"/>
      <w:kern w:val="0"/>
      <w:sz w:val="24"/>
      <w:szCs w:val="24"/>
    </w:rPr>
  </w:style>
  <w:style w:type="paragraph" w:customStyle="1" w:styleId="1241">
    <w:name w:val="xl129"/>
    <w:basedOn w:val="1"/>
    <w:qFormat/>
    <w:uiPriority w:val="0"/>
    <w:pPr>
      <w:widowControl/>
      <w:spacing w:before="100" w:beforeAutospacing="1" w:after="100" w:afterAutospacing="1"/>
      <w:jc w:val="center"/>
      <w:textAlignment w:val="center"/>
    </w:pPr>
    <w:rPr>
      <w:rFonts w:ascii="宋体" w:hAnsi="宋体" w:cs="宋体"/>
      <w:color w:val="000000"/>
      <w:kern w:val="0"/>
      <w:sz w:val="24"/>
      <w:szCs w:val="24"/>
    </w:rPr>
  </w:style>
  <w:style w:type="paragraph" w:customStyle="1" w:styleId="1242">
    <w:name w:val="7级标题"/>
    <w:basedOn w:val="1"/>
    <w:next w:val="1"/>
    <w:qFormat/>
    <w:uiPriority w:val="0"/>
    <w:pPr>
      <w:spacing w:before="60"/>
      <w:jc w:val="center"/>
    </w:pPr>
    <w:rPr>
      <w:rFonts w:eastAsia="黑体"/>
      <w:kern w:val="0"/>
      <w:sz w:val="24"/>
      <w:szCs w:val="24"/>
    </w:rPr>
  </w:style>
  <w:style w:type="paragraph" w:customStyle="1" w:styleId="1243">
    <w:name w:val="xl120"/>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244">
    <w:name w:val="1.1.1.1"/>
    <w:basedOn w:val="6"/>
    <w:qFormat/>
    <w:uiPriority w:val="0"/>
    <w:pPr>
      <w:tabs>
        <w:tab w:val="left" w:pos="1331"/>
      </w:tabs>
      <w:adjustRightInd/>
      <w:snapToGrid/>
      <w:ind w:firstLine="0" w:firstLineChars="0"/>
      <w:jc w:val="both"/>
    </w:pPr>
    <w:rPr>
      <w:rFonts w:ascii="Times New Roman" w:hAnsi="Times New Roman"/>
      <w:bCs/>
      <w:sz w:val="28"/>
      <w:szCs w:val="28"/>
    </w:rPr>
  </w:style>
  <w:style w:type="paragraph" w:customStyle="1" w:styleId="1245">
    <w:name w:val="04段标题格式"/>
    <w:basedOn w:val="1"/>
    <w:qFormat/>
    <w:uiPriority w:val="0"/>
    <w:pPr>
      <w:spacing w:line="360" w:lineRule="auto"/>
      <w:ind w:firstLine="480" w:firstLineChars="200"/>
    </w:pPr>
    <w:rPr>
      <w:rFonts w:ascii="宋体" w:hAnsi="宋体" w:cs="宋体"/>
      <w:sz w:val="24"/>
      <w:szCs w:val="24"/>
    </w:rPr>
  </w:style>
  <w:style w:type="paragraph" w:customStyle="1" w:styleId="1246">
    <w:name w:val="bg内容提要正文"/>
    <w:basedOn w:val="538"/>
    <w:qFormat/>
    <w:uiPriority w:val="0"/>
    <w:pPr>
      <w:spacing w:before="120" w:after="120" w:line="240" w:lineRule="auto"/>
      <w:ind w:left="113" w:right="113" w:firstLine="200" w:firstLineChars="200"/>
      <w:jc w:val="left"/>
    </w:pPr>
    <w:rPr>
      <w:kern w:val="0"/>
      <w:sz w:val="24"/>
      <w:szCs w:val="24"/>
    </w:rPr>
  </w:style>
  <w:style w:type="paragraph" w:customStyle="1" w:styleId="1247">
    <w:name w:val="xl12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仿宋_GB2312" w:hAnsi="宋体" w:eastAsia="仿宋_GB2312" w:cs="仿宋_GB2312"/>
      <w:color w:val="000000"/>
      <w:kern w:val="0"/>
      <w:sz w:val="24"/>
      <w:szCs w:val="24"/>
    </w:rPr>
  </w:style>
  <w:style w:type="paragraph" w:customStyle="1" w:styleId="1248">
    <w:name w:val="列表 5，插表说明"/>
    <w:basedOn w:val="65"/>
    <w:qFormat/>
    <w:uiPriority w:val="0"/>
    <w:pPr>
      <w:spacing w:line="160" w:lineRule="exact"/>
      <w:ind w:left="0" w:leftChars="0" w:firstLine="200" w:firstLineChars="200"/>
      <w:textAlignment w:val="center"/>
    </w:pPr>
    <w:rPr>
      <w:kern w:val="0"/>
      <w:sz w:val="15"/>
      <w:szCs w:val="15"/>
    </w:rPr>
  </w:style>
  <w:style w:type="paragraph" w:customStyle="1" w:styleId="1249">
    <w:name w:val="Char Char1 Char Char Char Char Char Char"/>
    <w:basedOn w:val="1"/>
    <w:qFormat/>
    <w:uiPriority w:val="0"/>
    <w:pPr>
      <w:widowControl/>
      <w:spacing w:after="160" w:line="240" w:lineRule="exact"/>
      <w:jc w:val="left"/>
    </w:pPr>
    <w:rPr>
      <w:rFonts w:ascii="宋体" w:hAnsi="宋体" w:cs="宋体"/>
      <w:kern w:val="0"/>
      <w:sz w:val="24"/>
      <w:szCs w:val="24"/>
      <w:lang w:eastAsia="en-US"/>
    </w:rPr>
  </w:style>
  <w:style w:type="paragraph" w:customStyle="1" w:styleId="1250">
    <w:name w:val="小标题2"/>
    <w:basedOn w:val="1"/>
    <w:next w:val="19"/>
    <w:qFormat/>
    <w:uiPriority w:val="0"/>
    <w:pPr>
      <w:adjustRightInd w:val="0"/>
      <w:spacing w:before="120" w:after="120" w:line="300" w:lineRule="auto"/>
      <w:ind w:left="284" w:firstLine="200" w:firstLineChars="200"/>
      <w:jc w:val="left"/>
      <w:textAlignment w:val="baseline"/>
    </w:pPr>
    <w:rPr>
      <w:rFonts w:eastAsia="仿宋_GB2312"/>
      <w:kern w:val="0"/>
      <w:sz w:val="28"/>
      <w:szCs w:val="28"/>
    </w:rPr>
  </w:style>
  <w:style w:type="paragraph" w:customStyle="1" w:styleId="1251">
    <w:name w:val="X一、"/>
    <w:qFormat/>
    <w:uiPriority w:val="0"/>
    <w:pPr>
      <w:ind w:firstLine="425"/>
    </w:pPr>
    <w:rPr>
      <w:rFonts w:ascii="宋体" w:hAnsi="宋体" w:eastAsia="宋体" w:cs="宋体"/>
      <w:kern w:val="2"/>
      <w:sz w:val="28"/>
      <w:szCs w:val="28"/>
      <w:lang w:val="en-US" w:eastAsia="zh-CN" w:bidi="ar-SA"/>
    </w:rPr>
  </w:style>
  <w:style w:type="paragraph" w:customStyle="1" w:styleId="1252">
    <w:name w:val="日期2"/>
    <w:basedOn w:val="1"/>
    <w:next w:val="1"/>
    <w:qFormat/>
    <w:uiPriority w:val="0"/>
    <w:pPr>
      <w:adjustRightInd w:val="0"/>
      <w:jc w:val="left"/>
      <w:textAlignment w:val="baseline"/>
    </w:pPr>
    <w:rPr>
      <w:rFonts w:ascii="仿宋_GB2312" w:eastAsia="仿宋_GB2312" w:cs="仿宋_GB2312"/>
      <w:kern w:val="0"/>
      <w:sz w:val="28"/>
      <w:szCs w:val="28"/>
    </w:rPr>
  </w:style>
  <w:style w:type="paragraph" w:customStyle="1" w:styleId="1253">
    <w:name w:val="_Style 49"/>
    <w:basedOn w:val="1"/>
    <w:qFormat/>
    <w:uiPriority w:val="0"/>
    <w:pPr>
      <w:spacing w:line="360" w:lineRule="auto"/>
      <w:ind w:firstLine="200" w:firstLineChars="200"/>
    </w:pPr>
    <w:rPr>
      <w:sz w:val="28"/>
      <w:szCs w:val="28"/>
    </w:rPr>
  </w:style>
  <w:style w:type="paragraph" w:customStyle="1" w:styleId="1254">
    <w:name w:val="gw文件签发日期"/>
    <w:basedOn w:val="1"/>
    <w:qFormat/>
    <w:uiPriority w:val="0"/>
    <w:pPr>
      <w:spacing w:line="600" w:lineRule="exact"/>
      <w:ind w:left="2520" w:leftChars="1200"/>
      <w:jc w:val="center"/>
    </w:pPr>
    <w:rPr>
      <w:rFonts w:ascii="仿宋_GB2312" w:eastAsia="仿宋_GB2312" w:cs="仿宋_GB2312"/>
      <w:kern w:val="0"/>
      <w:sz w:val="32"/>
      <w:szCs w:val="32"/>
    </w:rPr>
  </w:style>
  <w:style w:type="paragraph" w:customStyle="1" w:styleId="1255">
    <w:name w:val="gw文件正文"/>
    <w:basedOn w:val="1"/>
    <w:qFormat/>
    <w:uiPriority w:val="0"/>
    <w:pPr>
      <w:spacing w:line="600" w:lineRule="exact"/>
      <w:ind w:firstLine="680"/>
      <w:jc w:val="left"/>
    </w:pPr>
    <w:rPr>
      <w:rFonts w:eastAsia="仿宋_GB2312"/>
      <w:kern w:val="0"/>
      <w:sz w:val="32"/>
      <w:szCs w:val="32"/>
    </w:rPr>
  </w:style>
  <w:style w:type="paragraph" w:customStyle="1" w:styleId="1256">
    <w:name w:val="_Style 20811"/>
    <w:next w:val="1"/>
    <w:qFormat/>
    <w:uiPriority w:val="99"/>
    <w:pPr>
      <w:widowControl w:val="0"/>
      <w:jc w:val="both"/>
    </w:pPr>
    <w:rPr>
      <w:rFonts w:ascii="Tahoma" w:hAnsi="Tahoma" w:eastAsia="..ì." w:cs="Tahoma"/>
      <w:kern w:val="2"/>
      <w:sz w:val="21"/>
      <w:szCs w:val="21"/>
      <w:lang w:val="en-US" w:eastAsia="zh-CN" w:bidi="ar-SA"/>
    </w:rPr>
  </w:style>
  <w:style w:type="paragraph" w:customStyle="1" w:styleId="1257">
    <w:name w:val="11111111"/>
    <w:basedOn w:val="72"/>
    <w:qFormat/>
    <w:uiPriority w:val="0"/>
    <w:pPr>
      <w:pageBreakBefore w:val="0"/>
      <w:tabs>
        <w:tab w:val="left" w:pos="720"/>
      </w:tabs>
      <w:spacing w:before="240" w:after="60" w:line="360" w:lineRule="auto"/>
      <w:ind w:left="1" w:right="25" w:rightChars="12"/>
      <w:jc w:val="center"/>
      <w:outlineLvl w:val="9"/>
    </w:pPr>
    <w:rPr>
      <w:rFonts w:ascii="Arial" w:hAnsi="Arial" w:cs="Arial"/>
      <w:b/>
      <w:bCs/>
      <w:kern w:val="2"/>
      <w:sz w:val="44"/>
      <w:szCs w:val="44"/>
    </w:rPr>
  </w:style>
  <w:style w:type="paragraph" w:customStyle="1" w:styleId="1258">
    <w:name w:val="段落1"/>
    <w:basedOn w:val="1"/>
    <w:qFormat/>
    <w:uiPriority w:val="0"/>
    <w:pPr>
      <w:adjustRightInd w:val="0"/>
      <w:spacing w:line="360" w:lineRule="auto"/>
      <w:ind w:firstLine="552" w:firstLineChars="200"/>
      <w:jc w:val="left"/>
      <w:textAlignment w:val="baseline"/>
    </w:pPr>
    <w:rPr>
      <w:rFonts w:ascii="仿宋_GB2312" w:hAnsi="宋体" w:eastAsia="仿宋_GB2312" w:cs="仿宋_GB2312"/>
      <w:color w:val="000000"/>
      <w:spacing w:val="-2"/>
      <w:kern w:val="0"/>
      <w:sz w:val="28"/>
      <w:szCs w:val="28"/>
    </w:rPr>
  </w:style>
  <w:style w:type="paragraph" w:customStyle="1" w:styleId="1259">
    <w:name w:val="标题 32"/>
    <w:basedOn w:val="1"/>
    <w:next w:val="1"/>
    <w:qFormat/>
    <w:uiPriority w:val="0"/>
    <w:pPr>
      <w:spacing w:line="360" w:lineRule="auto"/>
      <w:ind w:firstLine="200" w:firstLineChars="200"/>
      <w:jc w:val="left"/>
      <w:outlineLvl w:val="2"/>
    </w:pPr>
    <w:rPr>
      <w:kern w:val="0"/>
      <w:sz w:val="32"/>
      <w:szCs w:val="32"/>
    </w:rPr>
  </w:style>
  <w:style w:type="paragraph" w:customStyle="1" w:styleId="1260">
    <w:name w:val="bgbt副标题"/>
    <w:basedOn w:val="837"/>
    <w:qFormat/>
    <w:uiPriority w:val="0"/>
    <w:pPr>
      <w:spacing w:line="240" w:lineRule="auto"/>
      <w:ind w:firstLine="0" w:firstLineChars="0"/>
      <w:jc w:val="center"/>
    </w:pPr>
    <w:rPr>
      <w:rFonts w:eastAsia="黑体"/>
      <w:sz w:val="32"/>
      <w:szCs w:val="32"/>
    </w:rPr>
  </w:style>
  <w:style w:type="paragraph" w:customStyle="1" w:styleId="1261">
    <w:name w:val="gw主送机关"/>
    <w:basedOn w:val="1"/>
    <w:qFormat/>
    <w:uiPriority w:val="0"/>
    <w:pPr>
      <w:spacing w:line="600" w:lineRule="exact"/>
      <w:jc w:val="left"/>
    </w:pPr>
    <w:rPr>
      <w:rFonts w:eastAsia="仿宋_GB2312"/>
      <w:kern w:val="0"/>
      <w:sz w:val="32"/>
      <w:szCs w:val="32"/>
    </w:rPr>
  </w:style>
  <w:style w:type="paragraph" w:customStyle="1" w:styleId="1262">
    <w:name w:val="样式 样式 小四1 + 蓝色 首行缩进:  2 字符"/>
    <w:basedOn w:val="1053"/>
    <w:qFormat/>
    <w:uiPriority w:val="0"/>
    <w:pPr>
      <w:keepNext w:val="0"/>
      <w:keepLines w:val="0"/>
    </w:pPr>
    <w:rPr>
      <w:color w:val="0000FF"/>
    </w:rPr>
  </w:style>
  <w:style w:type="paragraph" w:customStyle="1" w:styleId="1263">
    <w:name w:val="纯文本21"/>
    <w:basedOn w:val="1"/>
    <w:qFormat/>
    <w:uiPriority w:val="0"/>
    <w:pPr>
      <w:adjustRightInd w:val="0"/>
      <w:jc w:val="left"/>
      <w:textAlignment w:val="baseline"/>
    </w:pPr>
    <w:rPr>
      <w:rFonts w:ascii="宋体" w:hAnsi="Courier New" w:eastAsia="仿宋_GB2312" w:cs="宋体"/>
      <w:kern w:val="0"/>
      <w:sz w:val="28"/>
      <w:szCs w:val="28"/>
    </w:rPr>
  </w:style>
  <w:style w:type="paragraph" w:customStyle="1" w:styleId="1264">
    <w:name w:val="Char Char Char Char3"/>
    <w:basedOn w:val="1"/>
    <w:qFormat/>
    <w:uiPriority w:val="0"/>
    <w:rPr>
      <w:sz w:val="28"/>
      <w:szCs w:val="28"/>
    </w:rPr>
  </w:style>
  <w:style w:type="paragraph" w:customStyle="1" w:styleId="1265">
    <w:name w:val="样式 样式 lcb二级标题 + 行距: 单倍行距 + 左侧:  0 厘米 悬挂缩进: 7.2 字符"/>
    <w:basedOn w:val="1"/>
    <w:qFormat/>
    <w:uiPriority w:val="0"/>
    <w:pPr>
      <w:adjustRightInd w:val="0"/>
      <w:snapToGrid w:val="0"/>
      <w:spacing w:beforeLines="30" w:afterLines="30"/>
      <w:ind w:left="720" w:hanging="720"/>
    </w:pPr>
    <w:rPr>
      <w:rFonts w:ascii="宋体" w:hAnsi="宋体" w:cs="宋体"/>
      <w:color w:val="000000"/>
      <w:sz w:val="24"/>
      <w:szCs w:val="24"/>
    </w:rPr>
  </w:style>
  <w:style w:type="paragraph" w:customStyle="1" w:styleId="1266">
    <w:name w:val="bg复制与分发"/>
    <w:basedOn w:val="538"/>
    <w:qFormat/>
    <w:uiPriority w:val="0"/>
    <w:pPr>
      <w:spacing w:line="240" w:lineRule="auto"/>
      <w:ind w:firstLine="0"/>
      <w:jc w:val="left"/>
    </w:pPr>
    <w:rPr>
      <w:rFonts w:eastAsia="黑体"/>
      <w:kern w:val="0"/>
      <w:szCs w:val="28"/>
    </w:rPr>
  </w:style>
  <w:style w:type="paragraph" w:customStyle="1" w:styleId="1267">
    <w:name w:val="xl122"/>
    <w:basedOn w:val="1"/>
    <w:qFormat/>
    <w:uiPriority w:val="99"/>
    <w:pPr>
      <w:widowControl/>
      <w:spacing w:before="100" w:beforeAutospacing="1" w:after="100" w:afterAutospacing="1"/>
      <w:jc w:val="left"/>
      <w:textAlignment w:val="center"/>
    </w:pPr>
    <w:rPr>
      <w:rFonts w:ascii="仿宋_GB2312" w:hAnsi="宋体" w:eastAsia="仿宋_GB2312" w:cs="仿宋_GB2312"/>
      <w:color w:val="000000"/>
      <w:kern w:val="0"/>
      <w:sz w:val="24"/>
      <w:szCs w:val="24"/>
    </w:rPr>
  </w:style>
  <w:style w:type="paragraph" w:customStyle="1" w:styleId="1268">
    <w:name w:val="X-a)"/>
    <w:qFormat/>
    <w:uiPriority w:val="0"/>
    <w:pPr>
      <w:ind w:firstLine="425"/>
    </w:pPr>
    <w:rPr>
      <w:rFonts w:ascii="宋体" w:hAnsi="宋体" w:eastAsia="宋体" w:cs="宋体"/>
      <w:kern w:val="2"/>
      <w:sz w:val="28"/>
      <w:szCs w:val="28"/>
      <w:lang w:val="en-US" w:eastAsia="zh-CN" w:bidi="ar-SA"/>
    </w:rPr>
  </w:style>
  <w:style w:type="paragraph" w:customStyle="1" w:styleId="1269">
    <w:name w:val="Xxyz"/>
    <w:qFormat/>
    <w:uiPriority w:val="0"/>
    <w:pPr>
      <w:spacing w:beforeLines="50" w:afterLines="25"/>
      <w:ind w:firstLine="425"/>
    </w:pPr>
    <w:rPr>
      <w:rFonts w:ascii="宋体" w:hAnsi="宋体" w:eastAsia="宋体" w:cs="宋体"/>
      <w:kern w:val="2"/>
      <w:sz w:val="30"/>
      <w:szCs w:val="30"/>
      <w:lang w:val="en-US" w:eastAsia="zh-CN" w:bidi="ar-SA"/>
    </w:rPr>
  </w:style>
  <w:style w:type="paragraph" w:customStyle="1" w:styleId="1270">
    <w:name w:val="表内文字"/>
    <w:basedOn w:val="1"/>
    <w:qFormat/>
    <w:uiPriority w:val="0"/>
    <w:pPr>
      <w:adjustRightInd w:val="0"/>
      <w:snapToGrid w:val="0"/>
      <w:spacing w:beforeLines="20" w:afterLines="20"/>
      <w:jc w:val="center"/>
      <w:textAlignment w:val="center"/>
    </w:pPr>
    <w:rPr>
      <w:rFonts w:ascii="仿宋_GB2312" w:eastAsia="仿宋_GB2312" w:cs="仿宋_GB2312"/>
      <w:kern w:val="0"/>
      <w:sz w:val="24"/>
      <w:szCs w:val="24"/>
    </w:rPr>
  </w:style>
  <w:style w:type="paragraph" w:customStyle="1" w:styleId="1271">
    <w:name w:val="样式22"/>
    <w:basedOn w:val="5"/>
    <w:qFormat/>
    <w:uiPriority w:val="0"/>
    <w:pPr>
      <w:keepNext/>
      <w:keepLines/>
      <w:tabs>
        <w:tab w:val="left" w:pos="0"/>
      </w:tabs>
      <w:spacing w:before="260" w:after="260" w:line="413" w:lineRule="auto"/>
    </w:pPr>
    <w:rPr>
      <w:rFonts w:ascii="Times New Roman"/>
      <w:b/>
      <w:bCs/>
      <w:sz w:val="28"/>
      <w:szCs w:val="28"/>
    </w:rPr>
  </w:style>
  <w:style w:type="paragraph" w:customStyle="1" w:styleId="1272">
    <w:name w:val="样式 bgbt2节标题 + 两端对齐"/>
    <w:basedOn w:val="1093"/>
    <w:qFormat/>
    <w:uiPriority w:val="0"/>
    <w:pPr>
      <w:keepNext w:val="0"/>
      <w:keepLines w:val="0"/>
      <w:spacing w:line="240" w:lineRule="auto"/>
      <w:jc w:val="both"/>
    </w:pPr>
    <w:rPr>
      <w:rFonts w:ascii="Times New Roman" w:hAnsi="Times New Roman" w:cs="Times New Roman"/>
      <w:b w:val="0"/>
      <w:bCs w:val="0"/>
      <w:sz w:val="32"/>
      <w:szCs w:val="32"/>
    </w:rPr>
  </w:style>
  <w:style w:type="paragraph" w:customStyle="1" w:styleId="1273">
    <w:name w:val="样式 样式 表内容 + 右 右  1.63 字符 + 右侧:  1.5 字符"/>
    <w:basedOn w:val="1103"/>
    <w:qFormat/>
    <w:uiPriority w:val="0"/>
    <w:pPr>
      <w:ind w:right="100" w:rightChars="100"/>
    </w:pPr>
  </w:style>
  <w:style w:type="paragraph" w:customStyle="1" w:styleId="1274">
    <w:name w:val="Char Char Char4 Char Char Char Char Char Char Char Char Char Char Char Char Char"/>
    <w:basedOn w:val="1"/>
    <w:qFormat/>
    <w:uiPriority w:val="0"/>
    <w:rPr>
      <w:sz w:val="28"/>
      <w:szCs w:val="28"/>
    </w:rPr>
  </w:style>
  <w:style w:type="paragraph" w:customStyle="1" w:styleId="1275">
    <w:name w:val="bg正文首行缩进 Char"/>
    <w:basedOn w:val="1"/>
    <w:qFormat/>
    <w:uiPriority w:val="0"/>
    <w:pPr>
      <w:spacing w:line="400" w:lineRule="exact"/>
      <w:ind w:firstLine="482"/>
      <w:jc w:val="left"/>
    </w:pPr>
    <w:rPr>
      <w:kern w:val="0"/>
      <w:sz w:val="24"/>
      <w:szCs w:val="24"/>
    </w:rPr>
  </w:style>
  <w:style w:type="paragraph" w:customStyle="1" w:styleId="1276">
    <w:name w:val="xl15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277">
    <w:name w:val="样式 博士论文-图名和表名 + 加粗"/>
    <w:basedOn w:val="800"/>
    <w:qFormat/>
    <w:uiPriority w:val="0"/>
    <w:pPr>
      <w:ind w:firstLine="422" w:firstLineChars="200"/>
    </w:pPr>
  </w:style>
  <w:style w:type="paragraph" w:customStyle="1" w:styleId="1278">
    <w:name w:val="样式5 Char Char Char Char Char Char Char Char Char Char Char Char"/>
    <w:basedOn w:val="1"/>
    <w:next w:val="1"/>
    <w:qFormat/>
    <w:uiPriority w:val="0"/>
    <w:pPr>
      <w:spacing w:line="360" w:lineRule="auto"/>
      <w:ind w:firstLine="200" w:firstLineChars="200"/>
      <w:jc w:val="left"/>
    </w:pPr>
    <w:rPr>
      <w:color w:val="000000"/>
      <w:kern w:val="0"/>
      <w:sz w:val="24"/>
      <w:szCs w:val="24"/>
    </w:rPr>
  </w:style>
  <w:style w:type="paragraph" w:customStyle="1" w:styleId="1279">
    <w:name w:val="gw文件抄送机关"/>
    <w:basedOn w:val="1"/>
    <w:qFormat/>
    <w:uiPriority w:val="0"/>
    <w:pPr>
      <w:spacing w:line="600" w:lineRule="exact"/>
      <w:ind w:left="340" w:right="340"/>
      <w:jc w:val="left"/>
    </w:pPr>
    <w:rPr>
      <w:rFonts w:ascii="仿宋_GB2312" w:eastAsia="仿宋_GB2312" w:cs="仿宋_GB2312"/>
      <w:kern w:val="0"/>
      <w:sz w:val="32"/>
      <w:szCs w:val="32"/>
    </w:rPr>
  </w:style>
  <w:style w:type="paragraph" w:customStyle="1" w:styleId="1280">
    <w:name w:val="X-1、"/>
    <w:qFormat/>
    <w:uiPriority w:val="0"/>
    <w:pPr>
      <w:ind w:firstLine="425"/>
    </w:pPr>
    <w:rPr>
      <w:rFonts w:ascii="宋体" w:hAnsi="宋体" w:eastAsia="宋体" w:cs="宋体"/>
      <w:kern w:val="2"/>
      <w:sz w:val="28"/>
      <w:szCs w:val="28"/>
      <w:lang w:val="en-US" w:eastAsia="zh-CN" w:bidi="ar-SA"/>
    </w:rPr>
  </w:style>
  <w:style w:type="paragraph" w:customStyle="1" w:styleId="1281">
    <w:name w:val="正文文本 22"/>
    <w:basedOn w:val="1"/>
    <w:qFormat/>
    <w:uiPriority w:val="0"/>
    <w:pPr>
      <w:adjustRightInd w:val="0"/>
      <w:jc w:val="center"/>
      <w:textAlignment w:val="baseline"/>
    </w:pPr>
    <w:rPr>
      <w:rFonts w:ascii="仿宋_GB2312" w:eastAsia="仿宋_GB2312" w:cs="仿宋_GB2312"/>
      <w:kern w:val="0"/>
      <w:sz w:val="24"/>
      <w:szCs w:val="24"/>
    </w:rPr>
  </w:style>
  <w:style w:type="paragraph" w:customStyle="1" w:styleId="1282">
    <w:name w:val="样式11"/>
    <w:basedOn w:val="1093"/>
    <w:qFormat/>
    <w:uiPriority w:val="0"/>
    <w:pPr>
      <w:keepNext w:val="0"/>
      <w:keepLines w:val="0"/>
      <w:spacing w:line="240" w:lineRule="auto"/>
      <w:jc w:val="left"/>
    </w:pPr>
    <w:rPr>
      <w:rFonts w:ascii="Times New Roman" w:hAnsi="Times New Roman" w:cs="Times New Roman"/>
      <w:b w:val="0"/>
      <w:bCs w:val="0"/>
      <w:sz w:val="32"/>
      <w:szCs w:val="32"/>
    </w:rPr>
  </w:style>
  <w:style w:type="paragraph" w:customStyle="1" w:styleId="1283">
    <w:name w:val="Char15"/>
    <w:basedOn w:val="1"/>
    <w:qFormat/>
    <w:uiPriority w:val="0"/>
    <w:pPr>
      <w:jc w:val="left"/>
    </w:pPr>
    <w:rPr>
      <w:rFonts w:ascii="Tahoma" w:hAnsi="Tahoma" w:cs="Tahoma"/>
      <w:kern w:val="0"/>
      <w:sz w:val="24"/>
      <w:szCs w:val="24"/>
    </w:rPr>
  </w:style>
  <w:style w:type="paragraph" w:customStyle="1" w:styleId="1284">
    <w:name w:val="样式 楷体 小三 行距: 固定值 20 磅"/>
    <w:basedOn w:val="1"/>
    <w:qFormat/>
    <w:uiPriority w:val="0"/>
    <w:pPr>
      <w:spacing w:line="400" w:lineRule="exact"/>
      <w:ind w:firstLine="200" w:firstLineChars="200"/>
      <w:jc w:val="left"/>
    </w:pPr>
    <w:rPr>
      <w:rFonts w:ascii="楷体" w:hAnsi="楷体" w:eastAsia="楷体" w:cs="楷体"/>
      <w:kern w:val="0"/>
      <w:sz w:val="30"/>
      <w:szCs w:val="30"/>
    </w:rPr>
  </w:style>
  <w:style w:type="paragraph" w:customStyle="1" w:styleId="1285">
    <w:name w:val="01章标题格式"/>
    <w:basedOn w:val="3"/>
    <w:qFormat/>
    <w:uiPriority w:val="0"/>
    <w:pPr>
      <w:keepNext/>
      <w:keepLines/>
      <w:pageBreakBefore w:val="0"/>
      <w:spacing w:before="340" w:after="330" w:line="576" w:lineRule="auto"/>
      <w:jc w:val="center"/>
    </w:pPr>
    <w:rPr>
      <w:rFonts w:ascii="黑体" w:hAnsi="黑体" w:eastAsia="黑体" w:cs="黑体"/>
      <w:kern w:val="44"/>
      <w:szCs w:val="32"/>
    </w:rPr>
  </w:style>
  <w:style w:type="paragraph" w:customStyle="1" w:styleId="1286">
    <w:name w:val="样式"/>
    <w:basedOn w:val="1"/>
    <w:next w:val="19"/>
    <w:qFormat/>
    <w:uiPriority w:val="99"/>
    <w:pPr>
      <w:spacing w:line="480" w:lineRule="exact"/>
      <w:ind w:firstLine="420" w:firstLineChars="200"/>
      <w:jc w:val="left"/>
    </w:pPr>
    <w:rPr>
      <w:kern w:val="0"/>
      <w:sz w:val="28"/>
      <w:szCs w:val="28"/>
    </w:rPr>
  </w:style>
  <w:style w:type="paragraph" w:customStyle="1" w:styleId="1287">
    <w:name w:val="gw发文字号"/>
    <w:basedOn w:val="1"/>
    <w:qFormat/>
    <w:uiPriority w:val="0"/>
    <w:pPr>
      <w:spacing w:line="600" w:lineRule="exact"/>
      <w:jc w:val="center"/>
    </w:pPr>
    <w:rPr>
      <w:rFonts w:eastAsia="仿宋_GB2312"/>
      <w:kern w:val="0"/>
      <w:sz w:val="32"/>
      <w:szCs w:val="32"/>
    </w:rPr>
  </w:style>
  <w:style w:type="paragraph" w:customStyle="1" w:styleId="1288">
    <w:name w:val="正文文本 21"/>
    <w:basedOn w:val="1"/>
    <w:qFormat/>
    <w:uiPriority w:val="0"/>
    <w:pPr>
      <w:adjustRightInd w:val="0"/>
      <w:spacing w:line="480" w:lineRule="exact"/>
      <w:ind w:firstLine="200" w:firstLineChars="200"/>
      <w:jc w:val="center"/>
      <w:textAlignment w:val="baseline"/>
    </w:pPr>
    <w:rPr>
      <w:rFonts w:ascii="仿宋_GB2312" w:eastAsia="仿宋_GB2312" w:cs="仿宋_GB2312"/>
      <w:kern w:val="0"/>
      <w:sz w:val="24"/>
      <w:szCs w:val="24"/>
    </w:rPr>
  </w:style>
  <w:style w:type="paragraph" w:customStyle="1" w:styleId="1289">
    <w:name w:val="Char16"/>
    <w:basedOn w:val="1"/>
    <w:qFormat/>
    <w:uiPriority w:val="0"/>
    <w:pPr>
      <w:jc w:val="left"/>
    </w:pPr>
    <w:rPr>
      <w:rFonts w:ascii="Tahoma" w:hAnsi="Tahoma" w:cs="Tahoma"/>
      <w:kern w:val="0"/>
      <w:sz w:val="24"/>
      <w:szCs w:val="24"/>
    </w:rPr>
  </w:style>
  <w:style w:type="paragraph" w:customStyle="1" w:styleId="1290">
    <w:name w:val="ST20_1"/>
    <w:basedOn w:val="1"/>
    <w:qFormat/>
    <w:uiPriority w:val="0"/>
    <w:pPr>
      <w:tabs>
        <w:tab w:val="right" w:leader="dot" w:pos="8640"/>
      </w:tabs>
      <w:autoSpaceDE w:val="0"/>
      <w:autoSpaceDN w:val="0"/>
      <w:adjustRightInd w:val="0"/>
      <w:ind w:left="360" w:hanging="360"/>
      <w:jc w:val="left"/>
    </w:pPr>
    <w:rPr>
      <w:rFonts w:ascii="宋体" w:hAnsi="Tms Rmn" w:cs="宋体"/>
      <w:kern w:val="0"/>
      <w:sz w:val="20"/>
    </w:rPr>
  </w:style>
  <w:style w:type="paragraph" w:customStyle="1" w:styleId="1291">
    <w:name w:val="链接"/>
    <w:qFormat/>
    <w:uiPriority w:val="0"/>
    <w:pPr>
      <w:widowControl w:val="0"/>
      <w:autoSpaceDE w:val="0"/>
      <w:autoSpaceDN w:val="0"/>
      <w:adjustRightInd w:val="0"/>
      <w:ind w:left="720"/>
    </w:pPr>
    <w:rPr>
      <w:rFonts w:ascii="Times New Roman" w:hAnsi="Times New Roman" w:eastAsia="宋体" w:cs="Times New Roman"/>
      <w:color w:val="0000FF"/>
      <w:sz w:val="21"/>
      <w:szCs w:val="21"/>
      <w:u w:val="single"/>
      <w:lang w:val="zh-CN" w:eastAsia="zh-CN" w:bidi="ar-SA"/>
    </w:rPr>
  </w:style>
  <w:style w:type="paragraph" w:customStyle="1" w:styleId="1292">
    <w:name w:val="xl165"/>
    <w:basedOn w:val="1"/>
    <w:qFormat/>
    <w:uiPriority w:val="0"/>
    <w:pPr>
      <w:widowControl/>
      <w:spacing w:before="100" w:beforeAutospacing="1" w:after="100" w:afterAutospacing="1"/>
      <w:jc w:val="center"/>
      <w:textAlignment w:val="center"/>
    </w:pPr>
    <w:rPr>
      <w:rFonts w:ascii="宋体" w:hAnsi="宋体" w:cs="宋体"/>
      <w:kern w:val="0"/>
      <w:sz w:val="20"/>
    </w:rPr>
  </w:style>
  <w:style w:type="paragraph" w:customStyle="1" w:styleId="1293">
    <w:name w:val="gw文件题名"/>
    <w:basedOn w:val="1"/>
    <w:qFormat/>
    <w:uiPriority w:val="0"/>
    <w:pPr>
      <w:jc w:val="center"/>
    </w:pPr>
    <w:rPr>
      <w:kern w:val="0"/>
      <w:sz w:val="44"/>
      <w:szCs w:val="44"/>
    </w:rPr>
  </w:style>
  <w:style w:type="paragraph" w:customStyle="1" w:styleId="1294">
    <w:name w:val="样式16"/>
    <w:basedOn w:val="3"/>
    <w:qFormat/>
    <w:uiPriority w:val="0"/>
    <w:pPr>
      <w:keepNext/>
      <w:keepLines/>
      <w:pageBreakBefore w:val="0"/>
      <w:spacing w:before="340" w:after="330" w:line="576" w:lineRule="auto"/>
      <w:jc w:val="center"/>
    </w:pPr>
    <w:rPr>
      <w:rFonts w:hAnsi="宋体"/>
      <w:color w:val="000000"/>
      <w:kern w:val="44"/>
      <w:sz w:val="36"/>
      <w:szCs w:val="36"/>
    </w:rPr>
  </w:style>
  <w:style w:type="paragraph" w:customStyle="1" w:styleId="1295">
    <w:name w:val="第二级"/>
    <w:basedOn w:val="1"/>
    <w:next w:val="1"/>
    <w:qFormat/>
    <w:uiPriority w:val="0"/>
    <w:pPr>
      <w:spacing w:line="600" w:lineRule="exact"/>
      <w:ind w:firstLine="560" w:firstLineChars="200"/>
      <w:jc w:val="left"/>
    </w:pPr>
    <w:rPr>
      <w:rFonts w:ascii="宋体" w:hAnsi="宋体" w:cs="宋体"/>
      <w:kern w:val="0"/>
      <w:sz w:val="28"/>
      <w:szCs w:val="28"/>
    </w:rPr>
  </w:style>
  <w:style w:type="paragraph" w:customStyle="1" w:styleId="1296">
    <w:name w:val="bg附录1标题"/>
    <w:basedOn w:val="1200"/>
    <w:next w:val="538"/>
    <w:qFormat/>
    <w:uiPriority w:val="0"/>
    <w:pPr>
      <w:spacing w:after="0"/>
      <w:ind w:firstLine="482"/>
    </w:pPr>
  </w:style>
  <w:style w:type="paragraph" w:customStyle="1" w:styleId="1297">
    <w:name w:val="reader-word-layer reader-word-s2-1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98">
    <w:name w:val="Char Char Char Char Char Char1 Char Char Char Char"/>
    <w:basedOn w:val="1"/>
    <w:qFormat/>
    <w:uiPriority w:val="0"/>
    <w:pPr>
      <w:spacing w:line="480" w:lineRule="exact"/>
      <w:ind w:firstLine="200" w:firstLineChars="200"/>
      <w:jc w:val="left"/>
    </w:pPr>
    <w:rPr>
      <w:kern w:val="0"/>
      <w:sz w:val="24"/>
      <w:szCs w:val="24"/>
    </w:rPr>
  </w:style>
  <w:style w:type="paragraph" w:customStyle="1" w:styleId="1299">
    <w:name w:val="15"/>
    <w:basedOn w:val="1"/>
    <w:qFormat/>
    <w:uiPriority w:val="0"/>
    <w:pPr>
      <w:widowControl/>
      <w:snapToGrid w:val="0"/>
      <w:spacing w:before="100" w:beforeAutospacing="1" w:after="100" w:afterAutospacing="1" w:line="480" w:lineRule="atLeast"/>
      <w:ind w:firstLine="200" w:firstLineChars="200"/>
    </w:pPr>
    <w:rPr>
      <w:color w:val="000000"/>
      <w:kern w:val="0"/>
      <w:sz w:val="30"/>
      <w:szCs w:val="30"/>
    </w:rPr>
  </w:style>
  <w:style w:type="paragraph" w:customStyle="1" w:styleId="1300">
    <w:name w:val="xl1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4"/>
      <w:szCs w:val="24"/>
    </w:rPr>
  </w:style>
  <w:style w:type="paragraph" w:customStyle="1" w:styleId="1301">
    <w:name w:val="普通文字"/>
    <w:basedOn w:val="1"/>
    <w:qFormat/>
    <w:uiPriority w:val="0"/>
    <w:pPr>
      <w:spacing w:line="480" w:lineRule="exact"/>
      <w:ind w:firstLine="200" w:firstLineChars="200"/>
      <w:jc w:val="left"/>
    </w:pPr>
    <w:rPr>
      <w:rFonts w:ascii="宋体" w:hAnsi="Courier New" w:cs="宋体"/>
      <w:kern w:val="0"/>
      <w:sz w:val="28"/>
      <w:szCs w:val="28"/>
    </w:rPr>
  </w:style>
  <w:style w:type="paragraph" w:customStyle="1" w:styleId="1302">
    <w:name w:val="样式 样式 博士论文-章 + 黑色 + 段前: 0.5 行 段后: 0.5 行"/>
    <w:basedOn w:val="1303"/>
    <w:qFormat/>
    <w:uiPriority w:val="0"/>
    <w:pPr>
      <w:spacing w:beforeLines="100"/>
    </w:pPr>
    <w:rPr>
      <w:b w:val="0"/>
      <w:bCs w:val="0"/>
    </w:rPr>
  </w:style>
  <w:style w:type="paragraph" w:customStyle="1" w:styleId="1303">
    <w:name w:val="样式 博士论文-章 + 黑色"/>
    <w:basedOn w:val="1083"/>
    <w:qFormat/>
    <w:uiPriority w:val="0"/>
  </w:style>
  <w:style w:type="paragraph" w:customStyle="1" w:styleId="1304">
    <w:name w:val="_Style 82"/>
    <w:basedOn w:val="1"/>
    <w:qFormat/>
    <w:uiPriority w:val="0"/>
    <w:pPr>
      <w:spacing w:line="360" w:lineRule="auto"/>
    </w:pPr>
    <w:rPr>
      <w:color w:val="000000"/>
      <w:sz w:val="28"/>
      <w:szCs w:val="28"/>
    </w:rPr>
  </w:style>
  <w:style w:type="paragraph" w:customStyle="1" w:styleId="1305">
    <w:name w:val="小节"/>
    <w:basedOn w:val="1"/>
    <w:next w:val="31"/>
    <w:qFormat/>
    <w:uiPriority w:val="0"/>
    <w:pPr>
      <w:spacing w:before="120" w:line="360" w:lineRule="auto"/>
      <w:jc w:val="left"/>
    </w:pPr>
    <w:rPr>
      <w:rFonts w:eastAsia="仿宋_GB2312"/>
      <w:kern w:val="0"/>
      <w:sz w:val="28"/>
      <w:szCs w:val="28"/>
    </w:rPr>
  </w:style>
  <w:style w:type="paragraph" w:customStyle="1" w:styleId="1306">
    <w:name w:val="样式 宋体 小四 居中 左侧:  0.74 厘米 行距: 固定值 20 磅"/>
    <w:basedOn w:val="1"/>
    <w:qFormat/>
    <w:uiPriority w:val="0"/>
    <w:pPr>
      <w:jc w:val="center"/>
    </w:pPr>
    <w:rPr>
      <w:rFonts w:ascii="宋体" w:hAnsi="宋体" w:cs="宋体"/>
      <w:kern w:val="0"/>
      <w:sz w:val="24"/>
      <w:szCs w:val="24"/>
    </w:rPr>
  </w:style>
  <w:style w:type="paragraph" w:customStyle="1" w:styleId="1307">
    <w:name w:val="char"/>
    <w:basedOn w:val="7"/>
    <w:qFormat/>
    <w:uiPriority w:val="0"/>
    <w:pPr>
      <w:widowControl/>
      <w:spacing w:before="0" w:after="0" w:line="720" w:lineRule="auto"/>
      <w:ind w:firstLine="0" w:firstLineChars="0"/>
      <w:jc w:val="left"/>
      <w:outlineLvl w:val="2"/>
    </w:pPr>
    <w:rPr>
      <w:rFonts w:ascii="Verdana" w:hAnsi="Verdana" w:cs="Verdana"/>
      <w:kern w:val="0"/>
      <w:sz w:val="32"/>
      <w:szCs w:val="32"/>
      <w:lang w:eastAsia="en-US"/>
    </w:rPr>
  </w:style>
  <w:style w:type="paragraph" w:customStyle="1" w:styleId="1308">
    <w:name w:val="bg页码"/>
    <w:basedOn w:val="837"/>
    <w:qFormat/>
    <w:uiPriority w:val="0"/>
    <w:pPr>
      <w:spacing w:line="240" w:lineRule="auto"/>
      <w:ind w:left="284" w:right="284" w:firstLine="0" w:firstLineChars="0"/>
      <w:jc w:val="center"/>
    </w:pPr>
  </w:style>
  <w:style w:type="paragraph" w:customStyle="1" w:styleId="1309">
    <w:name w:val="lcb正文"/>
    <w:basedOn w:val="59"/>
    <w:qFormat/>
    <w:uiPriority w:val="0"/>
    <w:pPr>
      <w:spacing w:line="300" w:lineRule="auto"/>
      <w:ind w:firstLine="420"/>
    </w:pPr>
    <w:rPr>
      <w:sz w:val="21"/>
      <w:szCs w:val="21"/>
    </w:rPr>
  </w:style>
  <w:style w:type="paragraph" w:customStyle="1" w:styleId="1310">
    <w:name w:val="xl124"/>
    <w:basedOn w:val="1"/>
    <w:qFormat/>
    <w:uiPriority w:val="0"/>
    <w:pPr>
      <w:widowControl/>
      <w:spacing w:before="100" w:beforeAutospacing="1" w:after="100" w:afterAutospacing="1"/>
      <w:jc w:val="left"/>
      <w:textAlignment w:val="center"/>
    </w:pPr>
    <w:rPr>
      <w:rFonts w:ascii="仿宋_GB2312" w:hAnsi="宋体" w:eastAsia="仿宋_GB2312" w:cs="仿宋_GB2312"/>
      <w:color w:val="000000"/>
      <w:kern w:val="0"/>
      <w:sz w:val="24"/>
      <w:szCs w:val="24"/>
    </w:rPr>
  </w:style>
  <w:style w:type="paragraph" w:customStyle="1" w:styleId="1311">
    <w:name w:val="样式 四号 行距: 固定值 21 磅1"/>
    <w:basedOn w:val="1"/>
    <w:qFormat/>
    <w:uiPriority w:val="0"/>
    <w:pPr>
      <w:spacing w:line="420" w:lineRule="exact"/>
      <w:ind w:firstLine="561"/>
      <w:jc w:val="left"/>
    </w:pPr>
    <w:rPr>
      <w:kern w:val="0"/>
      <w:sz w:val="28"/>
      <w:szCs w:val="28"/>
    </w:rPr>
  </w:style>
  <w:style w:type="paragraph" w:customStyle="1" w:styleId="1312">
    <w:name w:val="样式 正文文本缩进 + 小五 行距: 1.5 倍行距"/>
    <w:basedOn w:val="32"/>
    <w:qFormat/>
    <w:uiPriority w:val="99"/>
    <w:pPr>
      <w:ind w:firstLine="0" w:firstLineChars="0"/>
    </w:pPr>
    <w:rPr>
      <w:rFonts w:ascii="宋体" w:hAnsi="宋体" w:eastAsia="宋体" w:cs="宋体"/>
      <w:sz w:val="18"/>
      <w:szCs w:val="18"/>
    </w:rPr>
  </w:style>
  <w:style w:type="paragraph" w:customStyle="1" w:styleId="1313">
    <w:name w:val="xl15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314">
    <w:name w:val="样式 样式 样式 小四1 + 蓝色 首行缩进:  2 字符 + 首行缩进:  2 字符"/>
    <w:basedOn w:val="1262"/>
    <w:qFormat/>
    <w:uiPriority w:val="0"/>
  </w:style>
  <w:style w:type="paragraph" w:customStyle="1" w:styleId="1315">
    <w:name w:val="bg题名页责任签"/>
    <w:basedOn w:val="1"/>
    <w:qFormat/>
    <w:uiPriority w:val="0"/>
    <w:pPr>
      <w:spacing w:line="480" w:lineRule="exact"/>
      <w:ind w:left="2552" w:right="1134" w:hanging="1418" w:firstLineChars="200"/>
      <w:jc w:val="left"/>
    </w:pPr>
    <w:rPr>
      <w:kern w:val="0"/>
      <w:sz w:val="28"/>
      <w:szCs w:val="28"/>
    </w:rPr>
  </w:style>
  <w:style w:type="paragraph" w:customStyle="1" w:styleId="1316">
    <w:name w:val="X文"/>
    <w:qFormat/>
    <w:uiPriority w:val="0"/>
    <w:pPr>
      <w:ind w:firstLine="425"/>
    </w:pPr>
    <w:rPr>
      <w:rFonts w:ascii="宋体" w:hAnsi="宋体" w:eastAsia="宋体" w:cs="宋体"/>
      <w:kern w:val="2"/>
      <w:sz w:val="28"/>
      <w:szCs w:val="28"/>
      <w:lang w:val="en-US" w:eastAsia="zh-CN" w:bidi="ar-SA"/>
    </w:rPr>
  </w:style>
  <w:style w:type="paragraph" w:customStyle="1" w:styleId="1317">
    <w:name w:val="bg1"/>
    <w:basedOn w:val="1"/>
    <w:qFormat/>
    <w:uiPriority w:val="0"/>
    <w:pPr>
      <w:widowControl/>
      <w:spacing w:before="100" w:beforeAutospacing="1" w:after="100" w:afterAutospacing="1" w:line="480" w:lineRule="exact"/>
      <w:ind w:firstLine="200" w:firstLineChars="200"/>
      <w:jc w:val="left"/>
    </w:pPr>
    <w:rPr>
      <w:rFonts w:ascii="Arial Unicode MS" w:hAnsi="Arial Unicode MS" w:cs="Arial Unicode MS"/>
      <w:kern w:val="0"/>
      <w:sz w:val="28"/>
      <w:szCs w:val="28"/>
    </w:rPr>
  </w:style>
  <w:style w:type="paragraph" w:customStyle="1" w:styleId="1318">
    <w:name w:val="标题 21"/>
    <w:basedOn w:val="1"/>
    <w:qFormat/>
    <w:uiPriority w:val="0"/>
    <w:pPr>
      <w:keepNext/>
      <w:keepLines/>
      <w:spacing w:before="260" w:after="260" w:line="413" w:lineRule="auto"/>
      <w:jc w:val="left"/>
    </w:pPr>
    <w:rPr>
      <w:rFonts w:ascii="Arial" w:hAnsi="Arial" w:eastAsia="黑体" w:cs="Arial"/>
      <w:b/>
      <w:bCs/>
      <w:kern w:val="0"/>
      <w:sz w:val="32"/>
      <w:szCs w:val="32"/>
    </w:rPr>
  </w:style>
  <w:style w:type="paragraph" w:customStyle="1" w:styleId="1319">
    <w:name w:val="22222"/>
    <w:basedOn w:val="72"/>
    <w:qFormat/>
    <w:uiPriority w:val="0"/>
    <w:pPr>
      <w:pageBreakBefore w:val="0"/>
      <w:tabs>
        <w:tab w:val="left" w:pos="720"/>
      </w:tabs>
      <w:spacing w:before="240" w:after="60"/>
      <w:jc w:val="center"/>
      <w:outlineLvl w:val="9"/>
    </w:pPr>
    <w:rPr>
      <w:rFonts w:ascii="Arial" w:hAnsi="Arial" w:cs="Arial"/>
      <w:spacing w:val="20"/>
      <w:kern w:val="2"/>
      <w:sz w:val="84"/>
      <w:szCs w:val="84"/>
    </w:rPr>
  </w:style>
  <w:style w:type="paragraph" w:customStyle="1" w:styleId="1320">
    <w:name w:val="bg附录2标题"/>
    <w:basedOn w:val="1296"/>
    <w:next w:val="538"/>
    <w:qFormat/>
    <w:uiPriority w:val="0"/>
  </w:style>
  <w:style w:type="paragraph" w:customStyle="1" w:styleId="1321">
    <w:name w:val="样式 一号 居中 行距: 固定值 28 磅"/>
    <w:basedOn w:val="1"/>
    <w:qFormat/>
    <w:uiPriority w:val="0"/>
    <w:pPr>
      <w:spacing w:beforeLines="50" w:afterLines="50"/>
      <w:jc w:val="center"/>
    </w:pPr>
    <w:rPr>
      <w:spacing w:val="40"/>
      <w:sz w:val="52"/>
      <w:szCs w:val="52"/>
    </w:rPr>
  </w:style>
  <w:style w:type="paragraph" w:customStyle="1" w:styleId="1322">
    <w:name w:val="正文文字"/>
    <w:basedOn w:val="1"/>
    <w:qFormat/>
    <w:uiPriority w:val="0"/>
    <w:pPr>
      <w:spacing w:after="120" w:line="480" w:lineRule="exact"/>
      <w:ind w:firstLine="200" w:firstLineChars="200"/>
      <w:jc w:val="left"/>
    </w:pPr>
    <w:rPr>
      <w:kern w:val="0"/>
      <w:sz w:val="28"/>
      <w:szCs w:val="28"/>
    </w:rPr>
  </w:style>
  <w:style w:type="paragraph" w:customStyle="1" w:styleId="1323">
    <w:name w:val="lcb一级标题"/>
    <w:basedOn w:val="1"/>
    <w:qFormat/>
    <w:uiPriority w:val="0"/>
    <w:pPr>
      <w:adjustRightInd w:val="0"/>
      <w:snapToGrid w:val="0"/>
      <w:spacing w:beforeLines="50" w:afterLines="50"/>
      <w:ind w:left="357" w:hanging="357"/>
      <w:jc w:val="left"/>
    </w:pPr>
    <w:rPr>
      <w:rFonts w:eastAsia="黑体"/>
      <w:kern w:val="0"/>
      <w:sz w:val="28"/>
      <w:szCs w:val="28"/>
    </w:rPr>
  </w:style>
  <w:style w:type="paragraph" w:customStyle="1" w:styleId="1324">
    <w:name w:val="bg插图子图编号和名称"/>
    <w:basedOn w:val="538"/>
    <w:qFormat/>
    <w:uiPriority w:val="0"/>
    <w:pPr>
      <w:spacing w:line="240" w:lineRule="auto"/>
      <w:ind w:firstLine="0"/>
      <w:jc w:val="center"/>
    </w:pPr>
    <w:rPr>
      <w:rFonts w:eastAsia="黑体"/>
      <w:kern w:val="0"/>
      <w:sz w:val="21"/>
      <w:szCs w:val="21"/>
    </w:rPr>
  </w:style>
  <w:style w:type="paragraph" w:customStyle="1" w:styleId="1325">
    <w:name w:val="章名"/>
    <w:basedOn w:val="1"/>
    <w:next w:val="19"/>
    <w:qFormat/>
    <w:uiPriority w:val="0"/>
    <w:pPr>
      <w:jc w:val="center"/>
    </w:pPr>
    <w:rPr>
      <w:rFonts w:ascii="黑体" w:hAnsi="宋体" w:eastAsia="黑体" w:cs="黑体"/>
      <w:kern w:val="0"/>
      <w:sz w:val="36"/>
      <w:szCs w:val="36"/>
    </w:rPr>
  </w:style>
  <w:style w:type="paragraph" w:customStyle="1" w:styleId="1326">
    <w:name w:val="博士论文-小节"/>
    <w:basedOn w:val="5"/>
    <w:qFormat/>
    <w:uiPriority w:val="0"/>
    <w:pPr>
      <w:keepNext/>
      <w:keepLines/>
      <w:tabs>
        <w:tab w:val="left" w:pos="0"/>
      </w:tabs>
      <w:adjustRightInd w:val="0"/>
      <w:snapToGrid w:val="0"/>
      <w:spacing w:before="340" w:after="330" w:line="360" w:lineRule="auto"/>
      <w:jc w:val="left"/>
      <w:outlineLvl w:val="3"/>
    </w:pPr>
    <w:rPr>
      <w:rFonts w:ascii="Times New Roman" w:eastAsia="黑体"/>
      <w:sz w:val="28"/>
      <w:szCs w:val="28"/>
    </w:rPr>
  </w:style>
  <w:style w:type="paragraph" w:customStyle="1" w:styleId="1327">
    <w:name w:val="X-1)"/>
    <w:qFormat/>
    <w:uiPriority w:val="0"/>
    <w:pPr>
      <w:ind w:firstLine="425"/>
    </w:pPr>
    <w:rPr>
      <w:rFonts w:ascii="宋体" w:hAnsi="宋体" w:eastAsia="宋体" w:cs="宋体"/>
      <w:kern w:val="2"/>
      <w:sz w:val="28"/>
      <w:szCs w:val="28"/>
      <w:lang w:val="en-US" w:eastAsia="zh-CN" w:bidi="ar-SA"/>
    </w:rPr>
  </w:style>
  <w:style w:type="paragraph" w:customStyle="1" w:styleId="1328">
    <w:name w:val="bgt4条标题"/>
    <w:basedOn w:val="1200"/>
    <w:qFormat/>
    <w:uiPriority w:val="0"/>
    <w:pPr>
      <w:spacing w:line="440" w:lineRule="exact"/>
      <w:ind w:firstLine="200" w:firstLineChars="200"/>
    </w:pPr>
    <w:rPr>
      <w:rFonts w:eastAsia="仿宋_GB2312"/>
      <w:b/>
      <w:bCs/>
      <w:sz w:val="24"/>
      <w:szCs w:val="24"/>
    </w:rPr>
  </w:style>
  <w:style w:type="paragraph" w:customStyle="1" w:styleId="1329">
    <w:name w:val="hui1"/>
    <w:basedOn w:val="1"/>
    <w:qFormat/>
    <w:uiPriority w:val="99"/>
    <w:pPr>
      <w:widowControl/>
      <w:spacing w:before="100" w:beforeAutospacing="1" w:after="100" w:afterAutospacing="1" w:line="300" w:lineRule="atLeast"/>
      <w:jc w:val="left"/>
    </w:pPr>
    <w:rPr>
      <w:rFonts w:ascii="??" w:hAnsi="??" w:cs="??"/>
      <w:kern w:val="0"/>
      <w:sz w:val="18"/>
      <w:szCs w:val="18"/>
    </w:rPr>
  </w:style>
  <w:style w:type="paragraph" w:customStyle="1" w:styleId="1330">
    <w:name w:val="bg签名"/>
    <w:basedOn w:val="538"/>
    <w:next w:val="837"/>
    <w:qFormat/>
    <w:uiPriority w:val="0"/>
    <w:pPr>
      <w:spacing w:line="360" w:lineRule="exact"/>
      <w:ind w:left="3969" w:firstLine="0"/>
      <w:jc w:val="center"/>
    </w:pPr>
    <w:rPr>
      <w:kern w:val="0"/>
      <w:sz w:val="24"/>
      <w:szCs w:val="24"/>
    </w:rPr>
  </w:style>
  <w:style w:type="paragraph" w:customStyle="1" w:styleId="1331">
    <w:name w:val="reader-word-layer reader-word-s2-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32">
    <w:name w:val="样式 lcb三级标题 + 段前: 0.2 行 段后: 0.2 行"/>
    <w:basedOn w:val="1"/>
    <w:qFormat/>
    <w:uiPriority w:val="0"/>
    <w:pPr>
      <w:spacing w:beforeLines="20" w:afterLines="20"/>
      <w:jc w:val="left"/>
    </w:pPr>
    <w:rPr>
      <w:kern w:val="0"/>
      <w:sz w:val="24"/>
      <w:szCs w:val="24"/>
    </w:rPr>
  </w:style>
  <w:style w:type="paragraph" w:customStyle="1" w:styleId="1333">
    <w:name w:val="报告表格内容"/>
    <w:basedOn w:val="1"/>
    <w:qFormat/>
    <w:uiPriority w:val="0"/>
    <w:pPr>
      <w:topLinePunct/>
      <w:adjustRightInd w:val="0"/>
      <w:snapToGrid w:val="0"/>
      <w:jc w:val="center"/>
      <w:textAlignment w:val="center"/>
    </w:pPr>
    <w:rPr>
      <w:kern w:val="18"/>
      <w:sz w:val="18"/>
      <w:szCs w:val="18"/>
    </w:rPr>
  </w:style>
  <w:style w:type="paragraph" w:customStyle="1" w:styleId="1334">
    <w:name w:val="xl140"/>
    <w:basedOn w:val="1"/>
    <w:qFormat/>
    <w:uiPriority w:val="0"/>
    <w:pPr>
      <w:widowControl/>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335">
    <w:name w:val="b"/>
    <w:basedOn w:val="1"/>
    <w:qFormat/>
    <w:uiPriority w:val="99"/>
    <w:pPr>
      <w:jc w:val="center"/>
    </w:pPr>
    <w:rPr>
      <w:rFonts w:eastAsia="黑体"/>
      <w:sz w:val="30"/>
      <w:szCs w:val="30"/>
    </w:rPr>
  </w:style>
  <w:style w:type="paragraph" w:customStyle="1" w:styleId="1336">
    <w:name w:val="xl130"/>
    <w:basedOn w:val="1"/>
    <w:qFormat/>
    <w:uiPriority w:val="0"/>
    <w:pPr>
      <w:widowControl/>
      <w:spacing w:before="100" w:beforeAutospacing="1" w:after="100" w:afterAutospacing="1"/>
      <w:jc w:val="center"/>
      <w:textAlignment w:val="center"/>
    </w:pPr>
    <w:rPr>
      <w:rFonts w:ascii="宋体" w:hAnsi="宋体" w:cs="宋体"/>
      <w:color w:val="000000"/>
      <w:kern w:val="0"/>
      <w:sz w:val="24"/>
      <w:szCs w:val="24"/>
    </w:rPr>
  </w:style>
  <w:style w:type="paragraph" w:customStyle="1" w:styleId="1337">
    <w:name w:val="-17条"/>
    <w:basedOn w:val="1"/>
    <w:qFormat/>
    <w:uiPriority w:val="0"/>
    <w:pPr>
      <w:adjustRightInd w:val="0"/>
    </w:pPr>
    <w:rPr>
      <w:rFonts w:ascii="黑体" w:eastAsia="黑体" w:cs="黑体"/>
      <w:sz w:val="28"/>
      <w:szCs w:val="28"/>
    </w:rPr>
  </w:style>
  <w:style w:type="paragraph" w:customStyle="1" w:styleId="1338">
    <w:name w:val="-19表1"/>
    <w:qFormat/>
    <w:uiPriority w:val="0"/>
    <w:pPr>
      <w:jc w:val="center"/>
    </w:pPr>
    <w:rPr>
      <w:rFonts w:ascii="宋体" w:hAnsi="Times New Roman" w:eastAsia="宋体" w:cs="宋体"/>
      <w:color w:val="000000"/>
      <w:kern w:val="2"/>
      <w:sz w:val="24"/>
      <w:szCs w:val="24"/>
      <w:lang w:val="en-US" w:eastAsia="zh-CN" w:bidi="ar-SA"/>
    </w:rPr>
  </w:style>
  <w:style w:type="paragraph" w:customStyle="1" w:styleId="1339">
    <w:name w:val="报告标题3"/>
    <w:basedOn w:val="1"/>
    <w:next w:val="1"/>
    <w:qFormat/>
    <w:uiPriority w:val="0"/>
    <w:pPr>
      <w:keepNext/>
      <w:adjustRightInd w:val="0"/>
      <w:snapToGrid w:val="0"/>
      <w:spacing w:before="120" w:after="120" w:line="420" w:lineRule="atLeast"/>
      <w:outlineLvl w:val="2"/>
    </w:pPr>
    <w:rPr>
      <w:rFonts w:eastAsia="黑体"/>
      <w:sz w:val="24"/>
      <w:szCs w:val="24"/>
    </w:rPr>
  </w:style>
  <w:style w:type="paragraph" w:customStyle="1" w:styleId="1340">
    <w:name w:val="报告标题2"/>
    <w:basedOn w:val="1"/>
    <w:next w:val="1"/>
    <w:qFormat/>
    <w:uiPriority w:val="0"/>
    <w:pPr>
      <w:keepNext/>
      <w:keepLines/>
      <w:adjustRightInd w:val="0"/>
      <w:snapToGrid w:val="0"/>
      <w:spacing w:before="240" w:after="120" w:line="420" w:lineRule="atLeast"/>
      <w:outlineLvl w:val="1"/>
    </w:pPr>
    <w:rPr>
      <w:rFonts w:eastAsia="黑体"/>
      <w:sz w:val="30"/>
      <w:szCs w:val="30"/>
    </w:rPr>
  </w:style>
  <w:style w:type="paragraph" w:customStyle="1" w:styleId="1341">
    <w:name w:val="样式 标题 1 + 居中"/>
    <w:basedOn w:val="3"/>
    <w:qFormat/>
    <w:uiPriority w:val="0"/>
    <w:pPr>
      <w:keepNext/>
      <w:keepLines/>
      <w:pageBreakBefore w:val="0"/>
      <w:snapToGrid w:val="0"/>
    </w:pPr>
    <w:rPr>
      <w:sz w:val="28"/>
      <w:szCs w:val="28"/>
    </w:rPr>
  </w:style>
  <w:style w:type="paragraph" w:customStyle="1" w:styleId="1342">
    <w:name w:val="样式 样式 样式 正文本 + 首行缩进:  2 字符 + 首行缩进:  2 字符1 + 首行缩进:  2 字符"/>
    <w:basedOn w:val="1"/>
    <w:qFormat/>
    <w:uiPriority w:val="0"/>
    <w:pPr>
      <w:spacing w:line="480" w:lineRule="exact"/>
      <w:ind w:firstLine="562" w:firstLineChars="200"/>
      <w:jc w:val="left"/>
    </w:pPr>
    <w:rPr>
      <w:rFonts w:ascii="仿宋_GB2312" w:hAnsi="宋体" w:eastAsia="仿宋_GB2312" w:cs="仿宋_GB2312"/>
      <w:b/>
      <w:bCs/>
      <w:color w:val="000000"/>
      <w:kern w:val="0"/>
      <w:sz w:val="28"/>
      <w:szCs w:val="28"/>
    </w:rPr>
  </w:style>
  <w:style w:type="paragraph" w:customStyle="1" w:styleId="1343">
    <w:name w:val="xl123"/>
    <w:basedOn w:val="1"/>
    <w:qFormat/>
    <w:uiPriority w:val="99"/>
    <w:pPr>
      <w:widowControl/>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344">
    <w:name w:val="xl125"/>
    <w:basedOn w:val="1"/>
    <w:qFormat/>
    <w:uiPriority w:val="0"/>
    <w:pPr>
      <w:widowControl/>
      <w:spacing w:before="100" w:beforeAutospacing="1" w:after="100" w:afterAutospacing="1"/>
      <w:jc w:val="left"/>
      <w:textAlignment w:val="center"/>
    </w:pPr>
    <w:rPr>
      <w:rFonts w:ascii="仿宋_GB2312" w:hAnsi="宋体" w:eastAsia="仿宋_GB2312" w:cs="仿宋_GB2312"/>
      <w:color w:val="000000"/>
      <w:kern w:val="0"/>
      <w:sz w:val="24"/>
      <w:szCs w:val="24"/>
    </w:rPr>
  </w:style>
  <w:style w:type="paragraph" w:customStyle="1" w:styleId="1345">
    <w:name w:val="xl126"/>
    <w:basedOn w:val="1"/>
    <w:qFormat/>
    <w:uiPriority w:val="0"/>
    <w:pPr>
      <w:widowControl/>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346">
    <w:name w:val="xl128"/>
    <w:basedOn w:val="1"/>
    <w:qFormat/>
    <w:uiPriority w:val="0"/>
    <w:pPr>
      <w:widowControl/>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347">
    <w:name w:val="xl131"/>
    <w:basedOn w:val="1"/>
    <w:qFormat/>
    <w:uiPriority w:val="0"/>
    <w:pPr>
      <w:widowControl/>
      <w:spacing w:before="100" w:beforeAutospacing="1" w:after="100" w:afterAutospacing="1"/>
      <w:jc w:val="left"/>
      <w:textAlignment w:val="center"/>
    </w:pPr>
    <w:rPr>
      <w:rFonts w:ascii="宋体" w:hAnsi="宋体" w:cs="宋体"/>
      <w:color w:val="000000"/>
      <w:kern w:val="0"/>
      <w:sz w:val="24"/>
      <w:szCs w:val="24"/>
    </w:rPr>
  </w:style>
  <w:style w:type="paragraph" w:customStyle="1" w:styleId="1348">
    <w:name w:val="xl132"/>
    <w:basedOn w:val="1"/>
    <w:qFormat/>
    <w:uiPriority w:val="0"/>
    <w:pPr>
      <w:widowControl/>
      <w:spacing w:before="100" w:beforeAutospacing="1" w:after="100" w:afterAutospacing="1"/>
      <w:jc w:val="center"/>
      <w:textAlignment w:val="center"/>
    </w:pPr>
    <w:rPr>
      <w:rFonts w:ascii="宋体" w:hAnsi="宋体" w:cs="宋体"/>
      <w:color w:val="000000"/>
      <w:kern w:val="0"/>
      <w:sz w:val="24"/>
      <w:szCs w:val="24"/>
    </w:rPr>
  </w:style>
  <w:style w:type="paragraph" w:customStyle="1" w:styleId="1349">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仿宋_GB2312" w:hAnsi="宋体" w:eastAsia="仿宋_GB2312" w:cs="仿宋_GB2312"/>
      <w:color w:val="000000"/>
      <w:kern w:val="0"/>
      <w:sz w:val="20"/>
    </w:rPr>
  </w:style>
  <w:style w:type="paragraph" w:customStyle="1" w:styleId="1350">
    <w:name w:val="xl135"/>
    <w:basedOn w:val="1"/>
    <w:qFormat/>
    <w:uiPriority w:val="0"/>
    <w:pPr>
      <w:widowControl/>
      <w:pBdr>
        <w:left w:val="single" w:color="auto" w:sz="4" w:space="0"/>
        <w:bottom w:val="single" w:color="auto" w:sz="4" w:space="0"/>
      </w:pBdr>
      <w:spacing w:before="100" w:beforeAutospacing="1" w:after="100" w:afterAutospacing="1"/>
      <w:jc w:val="left"/>
      <w:textAlignment w:val="center"/>
    </w:pPr>
    <w:rPr>
      <w:rFonts w:ascii="仿宋_GB2312" w:hAnsi="宋体" w:eastAsia="仿宋_GB2312" w:cs="仿宋_GB2312"/>
      <w:color w:val="000000"/>
      <w:kern w:val="0"/>
      <w:sz w:val="24"/>
      <w:szCs w:val="24"/>
    </w:rPr>
  </w:style>
  <w:style w:type="paragraph" w:customStyle="1" w:styleId="1351">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仿宋_GB2312" w:hAnsi="宋体" w:eastAsia="仿宋_GB2312" w:cs="仿宋_GB2312"/>
      <w:color w:val="000000"/>
      <w:kern w:val="0"/>
      <w:sz w:val="24"/>
      <w:szCs w:val="24"/>
    </w:rPr>
  </w:style>
  <w:style w:type="paragraph" w:customStyle="1" w:styleId="1352">
    <w:name w:val="xl1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353">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1354">
    <w:name w:val="xl149"/>
    <w:basedOn w:val="1"/>
    <w:qFormat/>
    <w:uiPriority w:val="0"/>
    <w:pPr>
      <w:widowControl/>
      <w:pBdr>
        <w:bottom w:val="single" w:color="auto" w:sz="4" w:space="0"/>
      </w:pBdr>
      <w:spacing w:before="100" w:beforeAutospacing="1" w:after="100" w:afterAutospacing="1"/>
      <w:jc w:val="right"/>
      <w:textAlignment w:val="center"/>
    </w:pPr>
    <w:rPr>
      <w:rFonts w:ascii="仿宋_GB2312" w:hAnsi="宋体" w:eastAsia="仿宋_GB2312" w:cs="仿宋_GB2312"/>
      <w:color w:val="000000"/>
      <w:kern w:val="0"/>
      <w:sz w:val="24"/>
      <w:szCs w:val="24"/>
    </w:rPr>
  </w:style>
  <w:style w:type="paragraph" w:customStyle="1" w:styleId="1355">
    <w:name w:val="xl151"/>
    <w:basedOn w:val="1"/>
    <w:qFormat/>
    <w:uiPriority w:val="0"/>
    <w:pPr>
      <w:widowControl/>
      <w:pBdr>
        <w:bottom w:val="single" w:color="auto" w:sz="4" w:space="0"/>
      </w:pBdr>
      <w:spacing w:before="100" w:beforeAutospacing="1" w:after="100" w:afterAutospacing="1"/>
      <w:jc w:val="left"/>
      <w:textAlignment w:val="center"/>
    </w:pPr>
    <w:rPr>
      <w:rFonts w:ascii="仿宋_GB2312" w:hAnsi="宋体" w:eastAsia="仿宋_GB2312" w:cs="仿宋_GB2312"/>
      <w:color w:val="000000"/>
      <w:kern w:val="0"/>
      <w:sz w:val="24"/>
      <w:szCs w:val="24"/>
    </w:rPr>
  </w:style>
  <w:style w:type="paragraph" w:customStyle="1" w:styleId="1356">
    <w:name w:val="xl153"/>
    <w:basedOn w:val="1"/>
    <w:qFormat/>
    <w:uiPriority w:val="0"/>
    <w:pPr>
      <w:widowControl/>
      <w:pBdr>
        <w:bottom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357">
    <w:name w:val="xl154"/>
    <w:basedOn w:val="1"/>
    <w:qFormat/>
    <w:uiPriority w:val="0"/>
    <w:pPr>
      <w:widowControl/>
      <w:pBdr>
        <w:top w:val="single" w:color="auto" w:sz="4" w:space="0"/>
        <w:left w:val="single" w:color="000000" w:sz="4" w:space="0"/>
        <w:bottom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358">
    <w:name w:val="xl1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359">
    <w:name w:val="xl1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360">
    <w:name w:val="xl161"/>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361">
    <w:name w:val="xl163"/>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362">
    <w:name w:val="xl16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仿宋_GB2312" w:hAnsi="宋体" w:eastAsia="仿宋_GB2312" w:cs="仿宋_GB2312"/>
      <w:color w:val="000000"/>
      <w:kern w:val="0"/>
      <w:sz w:val="24"/>
      <w:szCs w:val="24"/>
    </w:rPr>
  </w:style>
  <w:style w:type="paragraph" w:customStyle="1" w:styleId="1363">
    <w:name w:val="_Style 73"/>
    <w:basedOn w:val="1"/>
    <w:qFormat/>
    <w:uiPriority w:val="0"/>
    <w:pPr>
      <w:spacing w:line="360" w:lineRule="auto"/>
      <w:ind w:firstLine="200" w:firstLineChars="200"/>
    </w:pPr>
    <w:rPr>
      <w:sz w:val="28"/>
      <w:szCs w:val="28"/>
    </w:rPr>
  </w:style>
  <w:style w:type="paragraph" w:customStyle="1" w:styleId="1364">
    <w:name w:val="列出段落3"/>
    <w:basedOn w:val="1"/>
    <w:qFormat/>
    <w:uiPriority w:val="99"/>
    <w:pPr>
      <w:ind w:firstLine="420" w:firstLineChars="200"/>
    </w:pPr>
    <w:rPr>
      <w:rFonts w:ascii="Tahoma" w:hAnsi="Tahoma" w:eastAsia="仿宋_GB2312" w:cs="Tahoma"/>
      <w:sz w:val="28"/>
      <w:szCs w:val="28"/>
    </w:rPr>
  </w:style>
  <w:style w:type="paragraph" w:customStyle="1" w:styleId="1365">
    <w:name w:val="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1366">
    <w:name w:val="样式 段前: 0.5 行 行距: 固定值 25 磅"/>
    <w:basedOn w:val="1"/>
    <w:qFormat/>
    <w:uiPriority w:val="0"/>
    <w:pPr>
      <w:spacing w:line="540" w:lineRule="exact"/>
      <w:ind w:firstLine="200" w:firstLineChars="200"/>
    </w:pPr>
    <w:rPr>
      <w:sz w:val="28"/>
      <w:szCs w:val="28"/>
    </w:rPr>
  </w:style>
  <w:style w:type="paragraph" w:customStyle="1" w:styleId="1367">
    <w:name w:val="Char Char Char Char Char Char Char Char Char Char Char Char Char Char Char Char Char Char Char Char Char3"/>
    <w:basedOn w:val="1"/>
    <w:qFormat/>
    <w:uiPriority w:val="0"/>
    <w:rPr>
      <w:sz w:val="28"/>
      <w:szCs w:val="28"/>
    </w:rPr>
  </w:style>
  <w:style w:type="paragraph" w:customStyle="1" w:styleId="1368">
    <w:name w:val="li-正文(keyan)"/>
    <w:basedOn w:val="1"/>
    <w:qFormat/>
    <w:uiPriority w:val="0"/>
    <w:pPr>
      <w:spacing w:line="540" w:lineRule="exact"/>
    </w:pPr>
    <w:rPr>
      <w:sz w:val="28"/>
      <w:szCs w:val="28"/>
    </w:rPr>
  </w:style>
  <w:style w:type="paragraph" w:customStyle="1" w:styleId="1369">
    <w:name w:val="li-2"/>
    <w:basedOn w:val="4"/>
    <w:qFormat/>
    <w:uiPriority w:val="0"/>
    <w:pPr>
      <w:tabs>
        <w:tab w:val="left" w:pos="0"/>
      </w:tabs>
      <w:adjustRightInd/>
      <w:snapToGrid/>
      <w:spacing w:before="260" w:beforeLines="0" w:after="260" w:line="540" w:lineRule="exact"/>
      <w:jc w:val="left"/>
    </w:pPr>
    <w:rPr>
      <w:rFonts w:ascii="Arial" w:eastAsia="黑体" w:cs="Arial"/>
      <w:b w:val="0"/>
      <w:szCs w:val="30"/>
    </w:rPr>
  </w:style>
  <w:style w:type="paragraph" w:customStyle="1" w:styleId="1370">
    <w:name w:val="样式 (中文) 仿宋_GB2312 四号"/>
    <w:basedOn w:val="1"/>
    <w:qFormat/>
    <w:uiPriority w:val="0"/>
    <w:pPr>
      <w:spacing w:line="560" w:lineRule="exact"/>
      <w:ind w:firstLine="480" w:firstLineChars="200"/>
    </w:pPr>
    <w:rPr>
      <w:rFonts w:ascii="仿宋_GB2312" w:hAnsi="宋体" w:eastAsia="仿宋_GB2312" w:cs="仿宋_GB2312"/>
      <w:sz w:val="24"/>
      <w:szCs w:val="24"/>
    </w:rPr>
  </w:style>
  <w:style w:type="paragraph" w:customStyle="1" w:styleId="1371">
    <w:name w:val="正文三"/>
    <w:basedOn w:val="1"/>
    <w:qFormat/>
    <w:uiPriority w:val="0"/>
    <w:pPr>
      <w:tabs>
        <w:tab w:val="left" w:pos="495"/>
      </w:tabs>
      <w:spacing w:line="360" w:lineRule="auto"/>
      <w:ind w:left="495" w:hanging="495"/>
    </w:pPr>
    <w:rPr>
      <w:sz w:val="28"/>
      <w:szCs w:val="28"/>
    </w:rPr>
  </w:style>
  <w:style w:type="paragraph" w:customStyle="1" w:styleId="1372">
    <w:name w:val="样式 标题 3 + 左侧:  0.49 厘米 右侧:  0.49 厘米"/>
    <w:basedOn w:val="5"/>
    <w:next w:val="20"/>
    <w:qFormat/>
    <w:uiPriority w:val="0"/>
    <w:pPr>
      <w:keepNext/>
      <w:keepLines/>
      <w:tabs>
        <w:tab w:val="left" w:pos="0"/>
      </w:tabs>
      <w:spacing w:before="260" w:after="260" w:line="415" w:lineRule="auto"/>
      <w:ind w:right="280"/>
    </w:pPr>
    <w:rPr>
      <w:rFonts w:ascii="Times New Roman"/>
      <w:b/>
      <w:bCs/>
      <w:kern w:val="0"/>
      <w:sz w:val="28"/>
      <w:szCs w:val="28"/>
    </w:rPr>
  </w:style>
  <w:style w:type="paragraph" w:customStyle="1" w:styleId="1373">
    <w:name w:val="标题6"/>
    <w:basedOn w:val="1"/>
    <w:next w:val="1"/>
    <w:qFormat/>
    <w:uiPriority w:val="0"/>
    <w:pPr>
      <w:overflowPunct w:val="0"/>
      <w:adjustRightInd w:val="0"/>
      <w:spacing w:before="100" w:after="100" w:line="540" w:lineRule="exact"/>
      <w:outlineLvl w:val="5"/>
    </w:pPr>
    <w:rPr>
      <w:rFonts w:ascii="宋体" w:hAnsi="宋体" w:cs="宋体"/>
      <w:b/>
      <w:bCs/>
      <w:kern w:val="0"/>
      <w:sz w:val="28"/>
      <w:szCs w:val="28"/>
      <w:lang w:val="zh-CN"/>
    </w:rPr>
  </w:style>
  <w:style w:type="paragraph" w:customStyle="1" w:styleId="1374">
    <w:name w:val="Char Char221"/>
    <w:basedOn w:val="1"/>
    <w:qFormat/>
    <w:uiPriority w:val="0"/>
    <w:rPr>
      <w:sz w:val="24"/>
      <w:szCs w:val="24"/>
    </w:rPr>
  </w:style>
  <w:style w:type="paragraph" w:customStyle="1" w:styleId="1375">
    <w:name w:val="正 文"/>
    <w:basedOn w:val="1"/>
    <w:qFormat/>
    <w:uiPriority w:val="99"/>
    <w:pPr>
      <w:spacing w:line="480" w:lineRule="exact"/>
      <w:ind w:firstLine="200" w:firstLineChars="200"/>
    </w:pPr>
    <w:rPr>
      <w:rFonts w:ascii="仿宋_GB2312" w:hAnsi="华文仿宋" w:eastAsia="仿宋_GB2312" w:cs="仿宋_GB2312"/>
      <w:sz w:val="28"/>
      <w:szCs w:val="28"/>
      <w:lang w:eastAsia="en-US"/>
    </w:rPr>
  </w:style>
  <w:style w:type="paragraph" w:customStyle="1" w:styleId="1376">
    <w:name w:val="列出段落4"/>
    <w:basedOn w:val="1"/>
    <w:qFormat/>
    <w:uiPriority w:val="99"/>
    <w:pPr>
      <w:ind w:firstLine="420" w:firstLineChars="200"/>
    </w:pPr>
    <w:rPr>
      <w:rFonts w:ascii="Tahoma" w:hAnsi="Tahoma" w:eastAsia="仿宋_GB2312" w:cs="Tahoma"/>
      <w:sz w:val="28"/>
      <w:szCs w:val="28"/>
    </w:rPr>
  </w:style>
  <w:style w:type="paragraph" w:customStyle="1" w:styleId="1377">
    <w:name w:val="jj正文"/>
    <w:basedOn w:val="1"/>
    <w:qFormat/>
    <w:uiPriority w:val="0"/>
    <w:pPr>
      <w:spacing w:line="480" w:lineRule="exact"/>
      <w:ind w:firstLine="200" w:firstLineChars="200"/>
    </w:pPr>
    <w:rPr>
      <w:rFonts w:ascii="仿宋_GB2312" w:hAnsi="Tahoma" w:eastAsia="仿宋_GB2312" w:cs="Tahoma"/>
      <w:kern w:val="0"/>
      <w:sz w:val="28"/>
      <w:szCs w:val="24"/>
    </w:rPr>
  </w:style>
  <w:style w:type="paragraph" w:customStyle="1" w:styleId="1378">
    <w:name w:val="WPSOffice手动目录 1"/>
    <w:qFormat/>
    <w:uiPriority w:val="0"/>
    <w:rPr>
      <w:rFonts w:ascii="Times New Roman" w:hAnsi="Times New Roman" w:eastAsia="宋体" w:cs="Times New Roman"/>
      <w:lang w:val="en-US" w:eastAsia="zh-CN" w:bidi="ar-SA"/>
    </w:rPr>
  </w:style>
  <w:style w:type="paragraph" w:customStyle="1" w:styleId="1379">
    <w:name w:val="文字"/>
    <w:basedOn w:val="1"/>
    <w:qFormat/>
    <w:uiPriority w:val="0"/>
    <w:pPr>
      <w:adjustRightInd w:val="0"/>
      <w:snapToGrid w:val="0"/>
      <w:spacing w:line="360" w:lineRule="exact"/>
      <w:ind w:firstLine="480" w:firstLineChars="200"/>
    </w:pPr>
    <w:rPr>
      <w:rFonts w:ascii="宋体"/>
      <w:color w:val="000000"/>
      <w:sz w:val="24"/>
      <w:szCs w:val="24"/>
    </w:rPr>
  </w:style>
  <w:style w:type="paragraph" w:customStyle="1" w:styleId="1380">
    <w:name w:val="Char Char29"/>
    <w:basedOn w:val="1"/>
    <w:qFormat/>
    <w:uiPriority w:val="0"/>
    <w:rPr>
      <w:sz w:val="24"/>
      <w:szCs w:val="24"/>
    </w:rPr>
  </w:style>
  <w:style w:type="paragraph" w:customStyle="1" w:styleId="138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382">
    <w:name w:val="样式 宋体 四号 行距: 1.5 倍行距 首行缩进:  2 字符"/>
    <w:basedOn w:val="1"/>
    <w:qFormat/>
    <w:uiPriority w:val="0"/>
    <w:pPr>
      <w:spacing w:line="360" w:lineRule="auto"/>
      <w:ind w:right="-115" w:rightChars="-55" w:firstLine="840" w:firstLineChars="300"/>
      <w:jc w:val="left"/>
    </w:pPr>
    <w:rPr>
      <w:rFonts w:ascii="宋体" w:hAnsi="宋体" w:cs="宋体"/>
      <w:bCs/>
      <w:szCs w:val="28"/>
    </w:rPr>
  </w:style>
  <w:style w:type="paragraph" w:customStyle="1" w:styleId="1383">
    <w:name w:val="表格内容-两端对齐"/>
    <w:basedOn w:val="1"/>
    <w:qFormat/>
    <w:uiPriority w:val="0"/>
    <w:rPr>
      <w:szCs w:val="21"/>
    </w:rPr>
  </w:style>
  <w:style w:type="paragraph" w:customStyle="1" w:styleId="1384">
    <w:name w:val="样式 正文缩进 + 首行缩进:  2 字符"/>
    <w:basedOn w:val="19"/>
    <w:qFormat/>
    <w:uiPriority w:val="0"/>
    <w:pPr>
      <w:adjustRightInd/>
      <w:spacing w:line="360" w:lineRule="auto"/>
      <w:ind w:firstLine="560" w:firstLineChars="200"/>
      <w:jc w:val="both"/>
      <w:textAlignment w:val="auto"/>
    </w:pPr>
    <w:rPr>
      <w:rFonts w:ascii="宋体" w:hAnsi="宋体" w:cs="宋体"/>
      <w:kern w:val="2"/>
      <w:sz w:val="28"/>
      <w:szCs w:val="28"/>
    </w:rPr>
  </w:style>
  <w:style w:type="paragraph" w:customStyle="1" w:styleId="1385">
    <w:name w:val="MTDisplayEquation"/>
    <w:basedOn w:val="1"/>
    <w:next w:val="1"/>
    <w:qFormat/>
    <w:uiPriority w:val="0"/>
    <w:pPr>
      <w:tabs>
        <w:tab w:val="center" w:pos="4540"/>
        <w:tab w:val="right" w:pos="9080"/>
      </w:tabs>
      <w:spacing w:line="500" w:lineRule="exact"/>
      <w:ind w:firstLine="570"/>
    </w:pPr>
    <w:rPr>
      <w:sz w:val="28"/>
      <w:szCs w:val="21"/>
    </w:rPr>
  </w:style>
  <w:style w:type="paragraph" w:customStyle="1" w:styleId="1386">
    <w:name w:val="Char Char Char Char4"/>
    <w:basedOn w:val="1"/>
    <w:qFormat/>
    <w:uiPriority w:val="0"/>
    <w:rPr>
      <w:szCs w:val="21"/>
    </w:rPr>
  </w:style>
  <w:style w:type="paragraph" w:customStyle="1" w:styleId="1387">
    <w:name w:val="Char Char30"/>
    <w:basedOn w:val="1"/>
    <w:qFormat/>
    <w:uiPriority w:val="0"/>
    <w:rPr>
      <w:sz w:val="24"/>
      <w:szCs w:val="24"/>
    </w:rPr>
  </w:style>
  <w:style w:type="paragraph" w:customStyle="1" w:styleId="1388">
    <w:name w:val="Char Char Char4"/>
    <w:basedOn w:val="1"/>
    <w:qFormat/>
    <w:uiPriority w:val="0"/>
    <w:pPr>
      <w:spacing w:line="360" w:lineRule="auto"/>
      <w:ind w:firstLine="200" w:firstLineChars="200"/>
    </w:pPr>
    <w:rPr>
      <w:rFonts w:ascii="宋体" w:hAnsi="宋体" w:cs="宋体"/>
      <w:sz w:val="24"/>
      <w:szCs w:val="24"/>
    </w:rPr>
  </w:style>
  <w:style w:type="paragraph" w:customStyle="1" w:styleId="1389">
    <w:name w:val="jj表格"/>
    <w:basedOn w:val="1"/>
    <w:next w:val="31"/>
    <w:qFormat/>
    <w:uiPriority w:val="0"/>
    <w:pPr>
      <w:widowControl/>
      <w:spacing w:line="480" w:lineRule="exact"/>
      <w:jc w:val="center"/>
    </w:pPr>
    <w:rPr>
      <w:rFonts w:ascii="仿宋_GB2312" w:hAnsi="宋体" w:eastAsia="仿宋_GB2312"/>
      <w:kern w:val="0"/>
      <w:sz w:val="24"/>
      <w:szCs w:val="28"/>
      <w:lang w:eastAsia="en-US" w:bidi="en-US"/>
    </w:rPr>
  </w:style>
  <w:style w:type="paragraph" w:customStyle="1" w:styleId="1390">
    <w:name w:val="新编"/>
    <w:basedOn w:val="1"/>
    <w:qFormat/>
    <w:uiPriority w:val="0"/>
    <w:pPr>
      <w:spacing w:line="500" w:lineRule="exact"/>
      <w:ind w:firstLine="560" w:firstLineChars="200"/>
    </w:pPr>
    <w:rPr>
      <w:rFonts w:ascii="宋体" w:hAnsi="宋体" w:eastAsia="..ì." w:cs="Tahoma"/>
      <w:sz w:val="28"/>
    </w:rPr>
  </w:style>
  <w:style w:type="paragraph" w:customStyle="1" w:styleId="1391">
    <w:name w:val="kj_1"/>
    <w:basedOn w:val="1"/>
    <w:qFormat/>
    <w:uiPriority w:val="0"/>
    <w:pPr>
      <w:autoSpaceDE w:val="0"/>
      <w:autoSpaceDN w:val="0"/>
      <w:adjustRightInd w:val="0"/>
      <w:spacing w:line="520" w:lineRule="exact"/>
      <w:ind w:firstLine="640" w:firstLineChars="200"/>
      <w:jc w:val="left"/>
      <w:outlineLvl w:val="1"/>
    </w:pPr>
    <w:rPr>
      <w:rFonts w:ascii="宋体" w:hAnsi="宋体" w:eastAsia="仿宋"/>
      <w:b/>
      <w:kern w:val="0"/>
      <w:sz w:val="28"/>
      <w:szCs w:val="21"/>
    </w:rPr>
  </w:style>
  <w:style w:type="paragraph" w:customStyle="1" w:styleId="1392">
    <w:name w:val="样式 样式 样式 首行缩进:  2 字符 + 首行缩进:  2 字符 + 首行缩进:  2 字符"/>
    <w:basedOn w:val="1"/>
    <w:qFormat/>
    <w:uiPriority w:val="0"/>
    <w:pPr>
      <w:spacing w:line="480" w:lineRule="exact"/>
      <w:ind w:firstLine="560" w:firstLineChars="200"/>
    </w:pPr>
    <w:rPr>
      <w:rFonts w:ascii="仿宋_GB2312" w:hAnsi="仿宋" w:eastAsia="仿宋_GB2312" w:cs="宋体"/>
      <w:sz w:val="28"/>
    </w:rPr>
  </w:style>
  <w:style w:type="paragraph" w:customStyle="1" w:styleId="1393">
    <w:name w:val="四级条标题"/>
    <w:basedOn w:val="1394"/>
    <w:next w:val="171"/>
    <w:qFormat/>
    <w:uiPriority w:val="0"/>
    <w:pPr>
      <w:tabs>
        <w:tab w:val="left" w:pos="720"/>
        <w:tab w:val="left" w:pos="780"/>
        <w:tab w:val="left" w:pos="1080"/>
      </w:tabs>
      <w:ind w:leftChars="0" w:firstLine="0" w:firstLineChars="0"/>
      <w:outlineLvl w:val="5"/>
    </w:pPr>
  </w:style>
  <w:style w:type="paragraph" w:customStyle="1" w:styleId="1394">
    <w:name w:val="三级条标题"/>
    <w:basedOn w:val="656"/>
    <w:next w:val="171"/>
    <w:qFormat/>
    <w:uiPriority w:val="0"/>
    <w:pPr>
      <w:tabs>
        <w:tab w:val="left" w:pos="720"/>
        <w:tab w:val="left" w:pos="780"/>
      </w:tabs>
      <w:spacing w:before="50" w:beforeLines="50" w:after="50" w:afterLines="50"/>
      <w:ind w:left="0" w:leftChars="200" w:hanging="200" w:hangingChars="200"/>
      <w:outlineLvl w:val="4"/>
    </w:pPr>
    <w:rPr>
      <w:rFonts w:ascii="黑体"/>
      <w:sz w:val="21"/>
      <w:szCs w:val="21"/>
    </w:rPr>
  </w:style>
  <w:style w:type="paragraph" w:customStyle="1" w:styleId="1395">
    <w:name w:val="_Style 131"/>
    <w:semiHidden/>
    <w:qFormat/>
    <w:uiPriority w:val="0"/>
    <w:rPr>
      <w:rFonts w:ascii="Times New Roman" w:hAnsi="Times New Roman" w:eastAsia="宋体" w:cs="Times New Roman"/>
      <w:kern w:val="2"/>
      <w:sz w:val="21"/>
      <w:szCs w:val="24"/>
      <w:lang w:val="en-US" w:eastAsia="zh-CN" w:bidi="ar-SA"/>
    </w:rPr>
  </w:style>
  <w:style w:type="paragraph" w:customStyle="1" w:styleId="1396">
    <w:name w:val="_Style 132"/>
    <w:basedOn w:val="3"/>
    <w:next w:val="1"/>
    <w:qFormat/>
    <w:uiPriority w:val="0"/>
    <w:pPr>
      <w:keepNext/>
      <w:keepLines/>
      <w:pageBreakBefore w:val="0"/>
      <w:widowControl/>
      <w:spacing w:before="480" w:beforeLines="50" w:line="276" w:lineRule="auto"/>
      <w:jc w:val="left"/>
      <w:outlineLvl w:val="9"/>
    </w:pPr>
    <w:rPr>
      <w:rFonts w:ascii="Cambria" w:hAnsi="Cambria" w:eastAsia="仿宋"/>
      <w:b/>
      <w:bCs/>
      <w:color w:val="365F91"/>
      <w:sz w:val="28"/>
      <w:szCs w:val="28"/>
    </w:rPr>
  </w:style>
  <w:style w:type="paragraph" w:customStyle="1" w:styleId="1397">
    <w:name w:val="样式 正文文本缩进 + 小四 自动设置 首行缩进:  2 字符 行距: 1.5 倍行距"/>
    <w:basedOn w:val="32"/>
    <w:qFormat/>
    <w:uiPriority w:val="0"/>
    <w:pPr>
      <w:snapToGrid w:val="0"/>
      <w:spacing w:line="360" w:lineRule="auto"/>
      <w:ind w:firstLine="0" w:firstLineChars="0"/>
      <w:outlineLvl w:val="2"/>
    </w:pPr>
    <w:rPr>
      <w:rFonts w:eastAsia="仿宋" w:cs="宋体"/>
      <w:b/>
      <w:bCs/>
      <w:kern w:val="0"/>
      <w:sz w:val="24"/>
      <w:szCs w:val="28"/>
    </w:rPr>
  </w:style>
  <w:style w:type="paragraph" w:customStyle="1" w:styleId="1398">
    <w:name w:val="mytext"/>
    <w:basedOn w:val="1"/>
    <w:qFormat/>
    <w:uiPriority w:val="0"/>
    <w:pPr>
      <w:widowControl/>
      <w:spacing w:before="100" w:beforeAutospacing="1" w:after="100" w:afterAutospacing="1" w:line="520" w:lineRule="exact"/>
      <w:ind w:firstLine="640" w:firstLineChars="200"/>
      <w:jc w:val="left"/>
    </w:pPr>
    <w:rPr>
      <w:rFonts w:ascii="宋体" w:hAnsi="宋体" w:eastAsia="仿宋"/>
      <w:color w:val="000000"/>
      <w:kern w:val="0"/>
      <w:sz w:val="24"/>
      <w:szCs w:val="24"/>
    </w:rPr>
  </w:style>
  <w:style w:type="paragraph" w:customStyle="1" w:styleId="1399">
    <w:name w:val="五级条标题"/>
    <w:basedOn w:val="1393"/>
    <w:next w:val="171"/>
    <w:qFormat/>
    <w:uiPriority w:val="0"/>
    <w:pPr>
      <w:outlineLvl w:val="6"/>
    </w:pPr>
  </w:style>
  <w:style w:type="paragraph" w:customStyle="1" w:styleId="1400">
    <w:name w:val="章标题"/>
    <w:next w:val="171"/>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1401">
    <w:name w:val="附件标题"/>
    <w:basedOn w:val="41"/>
    <w:next w:val="41"/>
    <w:qFormat/>
    <w:uiPriority w:val="0"/>
    <w:pPr>
      <w:spacing w:line="360" w:lineRule="exact"/>
      <w:ind w:firstLine="640" w:firstLineChars="200"/>
      <w:jc w:val="center"/>
    </w:pPr>
    <w:rPr>
      <w:rFonts w:ascii="Times New Roman" w:hAnsi="Times New Roman" w:eastAsia="仿宋" w:cs="宋体"/>
      <w:bCs/>
      <w:sz w:val="32"/>
    </w:rPr>
  </w:style>
  <w:style w:type="paragraph" w:customStyle="1" w:styleId="1402">
    <w:name w:val="Char Char103"/>
    <w:basedOn w:val="1"/>
    <w:qFormat/>
    <w:uiPriority w:val="0"/>
    <w:rPr>
      <w:szCs w:val="24"/>
    </w:rPr>
  </w:style>
  <w:style w:type="paragraph" w:customStyle="1" w:styleId="1403">
    <w:name w:val="Char Char104"/>
    <w:basedOn w:val="1"/>
    <w:qFormat/>
    <w:uiPriority w:val="0"/>
    <w:rPr>
      <w:szCs w:val="24"/>
    </w:rPr>
  </w:style>
  <w:style w:type="character" w:customStyle="1" w:styleId="1404">
    <w:name w:val="未处理的提及4"/>
    <w:basedOn w:val="79"/>
    <w:unhideWhenUsed/>
    <w:qFormat/>
    <w:uiPriority w:val="99"/>
    <w:rPr>
      <w:color w:val="605E5C"/>
      <w:shd w:val="clear" w:color="auto" w:fill="E1DFDD"/>
    </w:rPr>
  </w:style>
  <w:style w:type="paragraph" w:customStyle="1" w:styleId="1405">
    <w:name w:val="修订2"/>
    <w:qFormat/>
    <w:uiPriority w:val="99"/>
    <w:rPr>
      <w:rFonts w:ascii="Tahoma" w:hAnsi="Tahoma" w:eastAsia="..ì." w:cs="Tahoma"/>
      <w:kern w:val="2"/>
      <w:sz w:val="21"/>
      <w:lang w:val="en-US" w:eastAsia="zh-CN" w:bidi="ar-SA"/>
    </w:rPr>
  </w:style>
  <w:style w:type="paragraph" w:customStyle="1" w:styleId="1406">
    <w:name w:val="正文文本2"/>
    <w:basedOn w:val="1"/>
    <w:qFormat/>
    <w:uiPriority w:val="0"/>
    <w:pPr>
      <w:jc w:val="center"/>
    </w:pPr>
    <w:rPr>
      <w:rFonts w:ascii="????" w:eastAsia="Times New Roman" w:cs="????"/>
      <w:szCs w:val="21"/>
    </w:rPr>
  </w:style>
  <w:style w:type="paragraph" w:customStyle="1" w:styleId="1407">
    <w:name w:val="_Style 84"/>
    <w:qFormat/>
    <w:uiPriority w:val="0"/>
    <w:pPr>
      <w:widowControl w:val="0"/>
      <w:jc w:val="both"/>
    </w:pPr>
    <w:rPr>
      <w:rFonts w:ascii="Tahoma" w:hAnsi="Tahoma" w:eastAsia="..ì." w:cs="Tahoma"/>
      <w:kern w:val="2"/>
      <w:sz w:val="21"/>
      <w:szCs w:val="24"/>
      <w:lang w:val="en-US" w:eastAsia="zh-CN" w:bidi="ar-SA"/>
    </w:rPr>
  </w:style>
  <w:style w:type="paragraph" w:customStyle="1" w:styleId="1408">
    <w:name w:val="表格标题"/>
    <w:basedOn w:val="1"/>
    <w:qFormat/>
    <w:uiPriority w:val="0"/>
    <w:pPr>
      <w:spacing w:line="520" w:lineRule="exact"/>
      <w:ind w:firstLine="480" w:firstLineChars="200"/>
      <w:jc w:val="center"/>
    </w:pPr>
    <w:rPr>
      <w:rFonts w:ascii="仿宋_GB2312" w:hAnsi="宋体" w:eastAsia="仿宋_GB2312"/>
      <w:color w:val="000000"/>
      <w:sz w:val="24"/>
      <w:szCs w:val="24"/>
    </w:rPr>
  </w:style>
  <w:style w:type="paragraph" w:customStyle="1" w:styleId="1409">
    <w:name w:val="t11"/>
    <w:basedOn w:val="1"/>
    <w:qFormat/>
    <w:uiPriority w:val="99"/>
    <w:pPr>
      <w:widowControl/>
      <w:spacing w:before="150" w:after="150" w:line="360" w:lineRule="auto"/>
      <w:jc w:val="left"/>
    </w:pPr>
    <w:rPr>
      <w:rFonts w:ascii="Arial" w:hAnsi="Arial" w:cs="Arial"/>
      <w:color w:val="666666"/>
      <w:kern w:val="0"/>
      <w:sz w:val="18"/>
      <w:szCs w:val="18"/>
    </w:rPr>
  </w:style>
  <w:style w:type="paragraph" w:customStyle="1" w:styleId="1410">
    <w:name w:val="样式 仿宋_GB2312 行距: 固定值 28 磅"/>
    <w:basedOn w:val="1"/>
    <w:qFormat/>
    <w:uiPriority w:val="99"/>
    <w:pPr>
      <w:spacing w:line="560" w:lineRule="exact"/>
      <w:ind w:firstLine="560" w:firstLineChars="200"/>
    </w:pPr>
    <w:rPr>
      <w:rFonts w:ascii="仿宋_GB2312" w:hAnsi="宋体" w:eastAsia="仿宋_GB2312" w:cs="宋体"/>
      <w:sz w:val="28"/>
    </w:rPr>
  </w:style>
  <w:style w:type="paragraph" w:customStyle="1" w:styleId="1411">
    <w:name w:val="Char Char Char Char Char Char Char Char Char Char Char Char Char Char Char Char Char Char Char Char Char Char Char Char Char"/>
    <w:basedOn w:val="1"/>
    <w:qFormat/>
    <w:uiPriority w:val="99"/>
    <w:rPr>
      <w:szCs w:val="24"/>
    </w:rPr>
  </w:style>
  <w:style w:type="paragraph" w:customStyle="1" w:styleId="1412">
    <w:name w:val="样式 首行缩进:  2 字符1"/>
    <w:basedOn w:val="1"/>
    <w:qFormat/>
    <w:uiPriority w:val="99"/>
    <w:pPr>
      <w:ind w:firstLine="560" w:firstLineChars="200"/>
      <w:jc w:val="left"/>
    </w:pPr>
    <w:rPr>
      <w:rFonts w:ascii="宋体" w:cs="宋体"/>
      <w:sz w:val="28"/>
    </w:rPr>
  </w:style>
  <w:style w:type="paragraph" w:customStyle="1" w:styleId="1413">
    <w:name w:val="样式 标题 2 + 仿宋_GB2312 加粗"/>
    <w:basedOn w:val="4"/>
    <w:qFormat/>
    <w:uiPriority w:val="99"/>
    <w:pPr>
      <w:keepNext w:val="0"/>
      <w:keepLines w:val="0"/>
      <w:tabs>
        <w:tab w:val="left" w:pos="737"/>
        <w:tab w:val="left" w:pos="840"/>
        <w:tab w:val="left" w:pos="947"/>
      </w:tabs>
      <w:adjustRightInd/>
      <w:snapToGrid/>
      <w:spacing w:before="260" w:after="260" w:afterLines="100" w:line="0" w:lineRule="atLeast"/>
      <w:jc w:val="both"/>
    </w:pPr>
    <w:rPr>
      <w:rFonts w:ascii="仿宋_GB2312" w:hAnsi="仿宋_GB2312" w:eastAsia="黑体"/>
      <w:bCs/>
      <w:color w:val="000000"/>
      <w:szCs w:val="30"/>
    </w:rPr>
  </w:style>
  <w:style w:type="paragraph" w:customStyle="1" w:styleId="1414">
    <w:name w:val="et28"/>
    <w:basedOn w:val="1"/>
    <w:qFormat/>
    <w:uiPriority w:val="99"/>
    <w:pPr>
      <w:widowControl/>
      <w:spacing w:before="100" w:beforeAutospacing="1" w:after="100" w:afterAutospacing="1"/>
      <w:jc w:val="left"/>
      <w:textAlignment w:val="center"/>
    </w:pPr>
    <w:rPr>
      <w:rFonts w:ascii="宋体" w:hAnsi="宋体" w:cs="宋体"/>
      <w:color w:val="000000"/>
      <w:kern w:val="0"/>
      <w:sz w:val="24"/>
      <w:szCs w:val="24"/>
    </w:rPr>
  </w:style>
  <w:style w:type="paragraph" w:customStyle="1" w:styleId="1415">
    <w:name w:val="et29"/>
    <w:basedOn w:val="1"/>
    <w:qFormat/>
    <w:uiPriority w:val="99"/>
    <w:pPr>
      <w:widowControl/>
      <w:spacing w:before="100" w:beforeAutospacing="1" w:after="100" w:afterAutospacing="1"/>
      <w:jc w:val="left"/>
      <w:textAlignment w:val="center"/>
    </w:pPr>
    <w:rPr>
      <w:rFonts w:ascii="宋体" w:hAnsi="宋体" w:cs="宋体"/>
      <w:color w:val="000000"/>
      <w:kern w:val="0"/>
      <w:sz w:val="24"/>
      <w:szCs w:val="24"/>
    </w:rPr>
  </w:style>
  <w:style w:type="paragraph" w:customStyle="1" w:styleId="1416">
    <w:name w:val="Char Char1 Char Char Char Char Char Char Char Char Char Char Char Char Char Char2"/>
    <w:basedOn w:val="1"/>
    <w:qFormat/>
    <w:uiPriority w:val="99"/>
    <w:pPr>
      <w:widowControl/>
      <w:spacing w:after="160" w:line="240" w:lineRule="exact"/>
      <w:jc w:val="left"/>
    </w:pPr>
    <w:rPr>
      <w:rFonts w:ascii="Verdana" w:hAnsi="Verdana" w:cs="Verdana"/>
      <w:kern w:val="0"/>
      <w:sz w:val="20"/>
      <w:lang w:eastAsia="en-US"/>
    </w:rPr>
  </w:style>
  <w:style w:type="paragraph" w:customStyle="1" w:styleId="1417">
    <w:name w:val="Char Char1 Char Char Char Char Char Char Char Char Char Char Char Char Char Char1"/>
    <w:basedOn w:val="1"/>
    <w:qFormat/>
    <w:uiPriority w:val="99"/>
    <w:pPr>
      <w:widowControl/>
      <w:spacing w:after="160" w:line="240" w:lineRule="exact"/>
      <w:jc w:val="left"/>
    </w:pPr>
    <w:rPr>
      <w:rFonts w:ascii="Verdana" w:hAnsi="Verdana" w:cs="Verdana"/>
      <w:kern w:val="0"/>
      <w:sz w:val="20"/>
      <w:lang w:eastAsia="en-US"/>
    </w:rPr>
  </w:style>
  <w:style w:type="paragraph" w:customStyle="1" w:styleId="1418">
    <w:name w:val="5文章(治)"/>
    <w:basedOn w:val="1"/>
    <w:qFormat/>
    <w:uiPriority w:val="0"/>
    <w:pPr>
      <w:spacing w:line="360" w:lineRule="auto"/>
      <w:ind w:firstLine="560" w:firstLineChars="200"/>
      <w:jc w:val="left"/>
    </w:pPr>
    <w:rPr>
      <w:rFonts w:eastAsia="楷体_GB2312"/>
      <w:sz w:val="28"/>
    </w:rPr>
  </w:style>
  <w:style w:type="paragraph" w:customStyle="1" w:styleId="1419">
    <w:name w:val="样式 正文文本缩进 + 宋体 小四"/>
    <w:basedOn w:val="32"/>
    <w:qFormat/>
    <w:uiPriority w:val="0"/>
    <w:pPr>
      <w:tabs>
        <w:tab w:val="left" w:pos="1110"/>
      </w:tabs>
      <w:spacing w:line="360" w:lineRule="auto"/>
      <w:ind w:firstLine="200" w:firstLineChars="200"/>
      <w:jc w:val="left"/>
    </w:pPr>
    <w:rPr>
      <w:rFonts w:ascii="宋体" w:hAnsi="宋体" w:eastAsia="宋体"/>
      <w:b/>
      <w:sz w:val="24"/>
      <w:szCs w:val="24"/>
    </w:rPr>
  </w:style>
  <w:style w:type="paragraph" w:customStyle="1" w:styleId="1420">
    <w:name w:val="标三"/>
    <w:basedOn w:val="1421"/>
    <w:qFormat/>
    <w:uiPriority w:val="0"/>
    <w:rPr>
      <w:rFonts w:ascii="宋体" w:hAnsi="宋体" w:eastAsia="宋体"/>
      <w:kern w:val="2"/>
    </w:rPr>
  </w:style>
  <w:style w:type="paragraph" w:customStyle="1" w:styleId="1421">
    <w:name w:val="标题3"/>
    <w:basedOn w:val="1"/>
    <w:qFormat/>
    <w:uiPriority w:val="0"/>
    <w:pPr>
      <w:spacing w:line="360" w:lineRule="auto"/>
      <w:outlineLvl w:val="2"/>
    </w:pPr>
    <w:rPr>
      <w:rFonts w:ascii="Tahoma" w:eastAsia="仿宋_GB2312" w:cs="Tahoma"/>
      <w:b/>
      <w:kern w:val="0"/>
      <w:sz w:val="28"/>
      <w:szCs w:val="28"/>
    </w:rPr>
  </w:style>
  <w:style w:type="paragraph" w:customStyle="1" w:styleId="1422">
    <w:name w:val="标四"/>
    <w:basedOn w:val="1"/>
    <w:qFormat/>
    <w:uiPriority w:val="0"/>
    <w:pPr>
      <w:ind w:firstLine="280" w:firstLineChars="100"/>
      <w:jc w:val="left"/>
      <w:outlineLvl w:val="3"/>
    </w:pPr>
    <w:rPr>
      <w:rFonts w:ascii="Tahoma" w:hAnsi="Tahoma" w:eastAsia="仿宋_GB2312" w:cs="Tahoma"/>
      <w:kern w:val="0"/>
      <w:sz w:val="28"/>
    </w:rPr>
  </w:style>
  <w:style w:type="paragraph" w:customStyle="1" w:styleId="1423">
    <w:name w:val="表格抬头"/>
    <w:basedOn w:val="1"/>
    <w:qFormat/>
    <w:uiPriority w:val="0"/>
    <w:pPr>
      <w:jc w:val="left"/>
    </w:pPr>
    <w:rPr>
      <w:rFonts w:ascii="Tahoma" w:hAnsi="Tahoma" w:eastAsia="仿宋_GB2312" w:cs="宋体"/>
      <w:sz w:val="24"/>
      <w:szCs w:val="24"/>
    </w:rPr>
  </w:style>
  <w:style w:type="paragraph" w:customStyle="1" w:styleId="1424">
    <w:name w:val="标正"/>
    <w:basedOn w:val="1"/>
    <w:qFormat/>
    <w:uiPriority w:val="0"/>
    <w:rPr>
      <w:rFonts w:ascii="Tahoma" w:eastAsia="仿宋_GB2312" w:cs="Tahoma"/>
      <w:kern w:val="0"/>
      <w:sz w:val="28"/>
      <w:szCs w:val="24"/>
    </w:rPr>
  </w:style>
  <w:style w:type="paragraph" w:customStyle="1" w:styleId="1425">
    <w:name w:val="首行缩进2字符"/>
    <w:basedOn w:val="1"/>
    <w:qFormat/>
    <w:uiPriority w:val="0"/>
    <w:pPr>
      <w:widowControl/>
      <w:ind w:firstLine="560" w:firstLineChars="200"/>
      <w:jc w:val="left"/>
    </w:pPr>
    <w:rPr>
      <w:rFonts w:ascii="Tahoma" w:hAnsi="Tahoma" w:eastAsia="仿宋_GB2312" w:cs="Tahoma"/>
      <w:color w:val="000000"/>
      <w:kern w:val="0"/>
      <w:sz w:val="28"/>
      <w:szCs w:val="28"/>
      <w:lang w:eastAsia="en-US" w:bidi="en-US"/>
    </w:rPr>
  </w:style>
  <w:style w:type="paragraph" w:customStyle="1" w:styleId="1426">
    <w:name w:val="ABIAO"/>
    <w:basedOn w:val="34"/>
    <w:qFormat/>
    <w:uiPriority w:val="0"/>
    <w:pPr>
      <w:ind w:left="-94" w:leftChars="0" w:firstLine="0" w:firstLineChars="0"/>
      <w:jc w:val="center"/>
    </w:pPr>
    <w:rPr>
      <w:rFonts w:hAnsi="宋体" w:cs="宋体"/>
      <w:color w:val="000000"/>
      <w:kern w:val="1"/>
      <w:sz w:val="18"/>
      <w:szCs w:val="20"/>
    </w:rPr>
  </w:style>
  <w:style w:type="paragraph" w:customStyle="1" w:styleId="1427">
    <w:name w:val="列出段落5"/>
    <w:basedOn w:val="1"/>
    <w:unhideWhenUsed/>
    <w:qFormat/>
    <w:uiPriority w:val="99"/>
    <w:pPr>
      <w:ind w:firstLine="420" w:firstLineChars="200"/>
    </w:pPr>
    <w:rPr>
      <w:rFonts w:hint="eastAsia" w:ascii="Calibri" w:hAnsi="Calibri" w:eastAsia="仿宋_GB2312" w:cs="Tahoma"/>
      <w:szCs w:val="28"/>
    </w:rPr>
  </w:style>
  <w:style w:type="paragraph" w:customStyle="1" w:styleId="1428">
    <w:name w:val="列表段落1"/>
    <w:basedOn w:val="1"/>
    <w:qFormat/>
    <w:uiPriority w:val="0"/>
    <w:pPr>
      <w:ind w:firstLine="200" w:firstLineChars="200"/>
    </w:pPr>
    <w:rPr>
      <w:rFonts w:ascii="Calibri" w:hAnsi="Calibri" w:eastAsia="仿宋_GB2312" w:cs="Tahoma"/>
      <w:sz w:val="28"/>
      <w:szCs w:val="22"/>
    </w:rPr>
  </w:style>
  <w:style w:type="paragraph" w:customStyle="1" w:styleId="1429">
    <w:name w:val="正文缩进2"/>
    <w:basedOn w:val="1"/>
    <w:unhideWhenUsed/>
    <w:qFormat/>
    <w:uiPriority w:val="99"/>
    <w:pPr>
      <w:adjustRightInd w:val="0"/>
      <w:spacing w:line="312" w:lineRule="atLeast"/>
      <w:ind w:firstLine="420"/>
      <w:textAlignment w:val="baseline"/>
    </w:pPr>
    <w:rPr>
      <w:rFonts w:hint="eastAsia" w:ascii="Tahoma" w:hAnsi="Tahoma" w:eastAsia="仿宋_GB2312" w:cs="Tahoma"/>
      <w:sz w:val="28"/>
      <w:szCs w:val="28"/>
    </w:rPr>
  </w:style>
  <w:style w:type="paragraph" w:customStyle="1" w:styleId="1430">
    <w:name w:val="表格内"/>
    <w:basedOn w:val="1"/>
    <w:qFormat/>
    <w:uiPriority w:val="0"/>
    <w:pPr>
      <w:jc w:val="center"/>
    </w:pPr>
    <w:rPr>
      <w:rFonts w:ascii="Tahoma" w:hAnsi="Tahoma" w:eastAsia="仿宋_GB2312" w:cs="Tahoma"/>
      <w:szCs w:val="28"/>
    </w:rPr>
  </w:style>
  <w:style w:type="paragraph" w:customStyle="1" w:styleId="1431">
    <w:name w:val="标头"/>
    <w:basedOn w:val="1"/>
    <w:qFormat/>
    <w:uiPriority w:val="0"/>
    <w:pPr>
      <w:spacing w:line="800" w:lineRule="exact"/>
      <w:ind w:firstLine="92" w:firstLineChars="92"/>
      <w:jc w:val="center"/>
    </w:pPr>
    <w:rPr>
      <w:rFonts w:eastAsia="仿宋_GB2312" w:cs="Tahoma"/>
      <w:b/>
      <w:sz w:val="52"/>
      <w:szCs w:val="52"/>
    </w:rPr>
  </w:style>
  <w:style w:type="paragraph" w:customStyle="1" w:styleId="1432">
    <w:name w:val="标表名"/>
    <w:basedOn w:val="1"/>
    <w:qFormat/>
    <w:uiPriority w:val="0"/>
    <w:pPr>
      <w:wordWrap w:val="0"/>
      <w:spacing w:line="480" w:lineRule="exact"/>
      <w:jc w:val="center"/>
    </w:pPr>
    <w:rPr>
      <w:rFonts w:ascii="Tahoma" w:hAnsi="Tahoma" w:eastAsia="仿宋_GB2312"/>
      <w:bCs/>
      <w:sz w:val="28"/>
      <w:szCs w:val="28"/>
      <w:lang w:val="en-GB"/>
    </w:rPr>
  </w:style>
  <w:style w:type="paragraph" w:customStyle="1" w:styleId="1433">
    <w:name w:val="TOC 72"/>
    <w:basedOn w:val="1"/>
    <w:next w:val="1"/>
    <w:autoRedefine/>
    <w:unhideWhenUsed/>
    <w:qFormat/>
    <w:uiPriority w:val="99"/>
    <w:pPr>
      <w:spacing w:after="160" w:line="278" w:lineRule="auto"/>
      <w:ind w:left="2520" w:leftChars="1200"/>
      <w:jc w:val="left"/>
    </w:pPr>
    <w:rPr>
      <w:rFonts w:ascii="等线" w:hAnsi="等线" w:eastAsia="等线"/>
      <w:sz w:val="22"/>
      <w:szCs w:val="24"/>
      <w14:ligatures w14:val="standardContextual"/>
    </w:rPr>
  </w:style>
  <w:style w:type="paragraph" w:customStyle="1" w:styleId="1434">
    <w:name w:val="TOC 52"/>
    <w:basedOn w:val="1"/>
    <w:next w:val="1"/>
    <w:autoRedefine/>
    <w:unhideWhenUsed/>
    <w:qFormat/>
    <w:uiPriority w:val="99"/>
    <w:pPr>
      <w:spacing w:after="160" w:line="278" w:lineRule="auto"/>
      <w:ind w:left="1680" w:leftChars="800"/>
      <w:jc w:val="left"/>
    </w:pPr>
    <w:rPr>
      <w:rFonts w:ascii="等线" w:hAnsi="等线" w:eastAsia="等线"/>
      <w:sz w:val="22"/>
      <w:szCs w:val="24"/>
      <w14:ligatures w14:val="standardContextual"/>
    </w:rPr>
  </w:style>
  <w:style w:type="paragraph" w:customStyle="1" w:styleId="1435">
    <w:name w:val="TOC 82"/>
    <w:basedOn w:val="1"/>
    <w:next w:val="1"/>
    <w:autoRedefine/>
    <w:unhideWhenUsed/>
    <w:qFormat/>
    <w:uiPriority w:val="99"/>
    <w:pPr>
      <w:spacing w:after="160" w:line="278" w:lineRule="auto"/>
      <w:ind w:left="2940" w:leftChars="1400"/>
      <w:jc w:val="left"/>
    </w:pPr>
    <w:rPr>
      <w:rFonts w:ascii="等线" w:hAnsi="等线" w:eastAsia="等线"/>
      <w:sz w:val="22"/>
      <w:szCs w:val="24"/>
      <w14:ligatures w14:val="standardContextual"/>
    </w:rPr>
  </w:style>
  <w:style w:type="paragraph" w:customStyle="1" w:styleId="1436">
    <w:name w:val="TOC 62"/>
    <w:basedOn w:val="1"/>
    <w:next w:val="1"/>
    <w:autoRedefine/>
    <w:unhideWhenUsed/>
    <w:qFormat/>
    <w:uiPriority w:val="99"/>
    <w:pPr>
      <w:spacing w:after="160" w:line="278" w:lineRule="auto"/>
      <w:ind w:left="2100" w:leftChars="1000"/>
      <w:jc w:val="left"/>
    </w:pPr>
    <w:rPr>
      <w:rFonts w:ascii="等线" w:hAnsi="等线" w:eastAsia="等线"/>
      <w:sz w:val="22"/>
      <w:szCs w:val="24"/>
      <w14:ligatures w14:val="standardContextual"/>
    </w:rPr>
  </w:style>
  <w:style w:type="paragraph" w:customStyle="1" w:styleId="1437">
    <w:name w:val="TOC 92"/>
    <w:basedOn w:val="1"/>
    <w:next w:val="1"/>
    <w:autoRedefine/>
    <w:unhideWhenUsed/>
    <w:qFormat/>
    <w:uiPriority w:val="99"/>
    <w:pPr>
      <w:spacing w:after="160" w:line="278" w:lineRule="auto"/>
      <w:ind w:left="3360" w:leftChars="1600"/>
      <w:jc w:val="left"/>
    </w:pPr>
    <w:rPr>
      <w:rFonts w:ascii="等线" w:hAnsi="等线" w:eastAsia="等线"/>
      <w:sz w:val="22"/>
      <w:szCs w:val="24"/>
      <w14:ligatures w14:val="standardContextual"/>
    </w:rPr>
  </w:style>
  <w:style w:type="table" w:customStyle="1" w:styleId="1438">
    <w:name w:val="网格型10"/>
    <w:basedOn w:val="76"/>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9">
    <w:name w:val="网格型32"/>
    <w:basedOn w:val="7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0">
    <w:name w:val="网格型15"/>
    <w:basedOn w:val="7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1">
    <w:name w:val="网格型24"/>
    <w:basedOn w:val="7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2">
    <w:name w:val="网格型112"/>
    <w:basedOn w:val="76"/>
    <w:autoRedefine/>
    <w:qFormat/>
    <w:uiPriority w:val="0"/>
    <w:pPr>
      <w:widowControl w:val="0"/>
      <w:adjustRightInd w:val="0"/>
      <w:spacing w:line="360"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3">
    <w:name w:val="Table Normal13"/>
    <w:basedOn w:val="76"/>
    <w:autoRedefine/>
    <w:qFormat/>
    <w:uiPriority w:val="0"/>
    <w:rPr>
      <w:rFonts w:eastAsia="Times New Roman"/>
    </w:rPr>
    <w:tblPr>
      <w:tblCellMar>
        <w:left w:w="0" w:type="dxa"/>
        <w:right w:w="0" w:type="dxa"/>
      </w:tblCellMar>
    </w:tblPr>
  </w:style>
  <w:style w:type="table" w:customStyle="1" w:styleId="1444">
    <w:name w:val="Table Normal14"/>
    <w:autoRedefine/>
    <w:semiHidden/>
    <w:unhideWhenUsed/>
    <w:qFormat/>
    <w:uiPriority w:val="0"/>
    <w:rPr>
      <w:rFonts w:ascii="Arial" w:hAnsi="Arial" w:cs="Arial"/>
    </w:rPr>
    <w:tblPr>
      <w:tblCellMar>
        <w:top w:w="0" w:type="dxa"/>
        <w:left w:w="0" w:type="dxa"/>
        <w:bottom w:w="0" w:type="dxa"/>
        <w:right w:w="0" w:type="dxa"/>
      </w:tblCellMar>
    </w:tblPr>
  </w:style>
  <w:style w:type="table" w:customStyle="1" w:styleId="1445">
    <w:name w:val="Table Normal22"/>
    <w:autoRedefine/>
    <w:semiHidden/>
    <w:unhideWhenUsed/>
    <w:qFormat/>
    <w:uiPriority w:val="0"/>
    <w:rPr>
      <w:rFonts w:ascii="Arial" w:hAnsi="Arial" w:cs="Arial"/>
    </w:rPr>
    <w:tblPr>
      <w:tblCellMar>
        <w:top w:w="0" w:type="dxa"/>
        <w:left w:w="0" w:type="dxa"/>
        <w:bottom w:w="0" w:type="dxa"/>
        <w:right w:w="0" w:type="dxa"/>
      </w:tblCellMar>
    </w:tblPr>
  </w:style>
  <w:style w:type="table" w:customStyle="1" w:styleId="1446">
    <w:name w:val="网格型42"/>
    <w:basedOn w:val="7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7">
    <w:name w:val="网格型52"/>
    <w:basedOn w:val="7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8">
    <w:name w:val="网格型62"/>
    <w:basedOn w:val="7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9">
    <w:name w:val="网格型72"/>
    <w:basedOn w:val="76"/>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0">
    <w:name w:val="Table Normal82"/>
    <w:semiHidden/>
    <w:unhideWhenUsed/>
    <w:qFormat/>
    <w:uiPriority w:val="0"/>
    <w:rPr>
      <w:rFonts w:ascii="Arial" w:hAnsi="Arial" w:eastAsia="等线" w:cs="Arial"/>
      <w:snapToGrid w:val="0"/>
      <w:color w:val="000000"/>
      <w:szCs w:val="21"/>
      <w:lang w:eastAsia="en-US"/>
    </w:rPr>
    <w:tblPr>
      <w:tblCellMar>
        <w:top w:w="0" w:type="dxa"/>
        <w:left w:w="0" w:type="dxa"/>
        <w:bottom w:w="0" w:type="dxa"/>
        <w:right w:w="0" w:type="dxa"/>
      </w:tblCellMar>
    </w:tblPr>
  </w:style>
  <w:style w:type="character" w:customStyle="1" w:styleId="1451">
    <w:name w:val="未处理的提及5"/>
    <w:basedOn w:val="79"/>
    <w:semiHidden/>
    <w:unhideWhenUsed/>
    <w:qFormat/>
    <w:uiPriority w:val="99"/>
    <w:rPr>
      <w:color w:val="605E5C"/>
      <w:shd w:val="clear" w:color="auto" w:fill="E1DFDD"/>
    </w:rPr>
  </w:style>
  <w:style w:type="character" w:customStyle="1" w:styleId="1452">
    <w:name w:val="font241"/>
    <w:basedOn w:val="79"/>
    <w:qFormat/>
    <w:uiPriority w:val="0"/>
    <w:rPr>
      <w:rFonts w:hint="eastAsia" w:ascii="宋体" w:hAnsi="宋体" w:eastAsia="宋体" w:cs="宋体"/>
      <w:b/>
      <w:bCs/>
      <w:color w:val="000000"/>
      <w:sz w:val="22"/>
      <w:szCs w:val="22"/>
      <w:u w:val="none"/>
    </w:rPr>
  </w:style>
  <w:style w:type="character" w:customStyle="1" w:styleId="1453">
    <w:name w:val="font251"/>
    <w:basedOn w:val="79"/>
    <w:qFormat/>
    <w:uiPriority w:val="0"/>
    <w:rPr>
      <w:rFonts w:hint="eastAsia" w:ascii="宋体" w:hAnsi="宋体" w:eastAsia="宋体" w:cs="宋体"/>
      <w:color w:val="000000"/>
      <w:sz w:val="22"/>
      <w:szCs w:val="22"/>
      <w:u w:val="none"/>
      <w:vertAlign w:val="superscript"/>
    </w:rPr>
  </w:style>
  <w:style w:type="character" w:customStyle="1" w:styleId="1454">
    <w:name w:val="font261"/>
    <w:basedOn w:val="79"/>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5.xml"/><Relationship Id="rId25" Type="http://schemas.openxmlformats.org/officeDocument/2006/relationships/footer" Target="footer14.xml"/><Relationship Id="rId24" Type="http://schemas.openxmlformats.org/officeDocument/2006/relationships/header" Target="header9.xml"/><Relationship Id="rId23" Type="http://schemas.openxmlformats.org/officeDocument/2006/relationships/footer" Target="footer13.xml"/><Relationship Id="rId22" Type="http://schemas.openxmlformats.org/officeDocument/2006/relationships/header" Target="header8.xml"/><Relationship Id="rId21" Type="http://schemas.openxmlformats.org/officeDocument/2006/relationships/footer" Target="footer12.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11.xml"/><Relationship Id="rId17" Type="http://schemas.openxmlformats.org/officeDocument/2006/relationships/header" Target="header5.xml"/><Relationship Id="rId16" Type="http://schemas.openxmlformats.org/officeDocument/2006/relationships/header" Target="header4.xml"/><Relationship Id="rId15" Type="http://schemas.openxmlformats.org/officeDocument/2006/relationships/footer" Target="footer10.xml"/><Relationship Id="rId14" Type="http://schemas.openxmlformats.org/officeDocument/2006/relationships/header" Target="header3.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DE7ECB-9196-4968-BF9E-98FBF5859A2B}">
  <ds:schemaRefs/>
</ds:datastoreItem>
</file>

<file path=docProps/app.xml><?xml version="1.0" encoding="utf-8"?>
<Properties xmlns="http://schemas.openxmlformats.org/officeDocument/2006/extended-properties" xmlns:vt="http://schemas.openxmlformats.org/officeDocument/2006/docPropsVTypes">
  <Template>Normal</Template>
  <Pages>161</Pages>
  <Words>13288</Words>
  <Characters>15313</Characters>
  <Lines>674</Lines>
  <Paragraphs>189</Paragraphs>
  <TotalTime>5</TotalTime>
  <ScaleCrop>false</ScaleCrop>
  <LinksUpToDate>false</LinksUpToDate>
  <CharactersWithSpaces>15511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2026-07-18T03:24:00Z</dcterms:created>
  <dc:creator>Administrator</dc:creator>
  <cp:lastModifiedBy>在路上。</cp:lastModifiedBy>
  <cp:lastPrinted>2026-10-08T23:52:00Z</cp:lastPrinted>
  <dcterms:modified xsi:type="dcterms:W3CDTF">2026-10-27T01:22:57Z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eyJoZGlkIjoiZGUyYWM5YTE4ZmFhNzRkYjUyNjczNWMwYjRhMDQyYmEiLCJ1c2VySWQiOiIzMTc5NDEwNjgifQ==</vt:lpwstr>
  </property>
  <property fmtid="{D5CDD505-2E9C-101B-9397-08002B2CF9AE}" pid="4" name="ICV">
    <vt:lpwstr>BE59089538ED49F29DA709962DE10066_13</vt:lpwstr>
  </property>
</Properties>
</file>